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r>
        <w:rPr>
          <w:rFonts w:hint="default" w:ascii="Times New Roman" w:hAnsi="Times New Roman" w:eastAsia="仿宋_GB2312" w:cs="Times New Roman"/>
          <w:bCs/>
          <w:kern w:val="0"/>
          <w:sz w:val="32"/>
          <w:szCs w:val="32"/>
        </w:rPr>
        <w:t>美</w:t>
      </w:r>
      <w:r>
        <w:rPr>
          <w:rFonts w:hint="default" w:ascii="Times New Roman" w:hAnsi="Times New Roman" w:eastAsia="仿宋_GB2312" w:cs="Times New Roman"/>
          <w:bCs/>
          <w:kern w:val="0"/>
          <w:sz w:val="32"/>
          <w:szCs w:val="32"/>
          <w:lang w:eastAsia="zh-CN"/>
        </w:rPr>
        <w:t>政</w:t>
      </w:r>
      <w:r>
        <w:rPr>
          <w:rFonts w:hint="default" w:ascii="Times New Roman" w:hAnsi="Times New Roman" w:eastAsia="仿宋_GB2312" w:cs="Times New Roman"/>
          <w:bCs/>
          <w:kern w:val="0"/>
          <w:sz w:val="32"/>
          <w:szCs w:val="32"/>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143</w:t>
      </w:r>
      <w:r>
        <w:rPr>
          <w:rFonts w:hint="default" w:ascii="Times New Roman" w:hAnsi="Times New Roman" w:eastAsia="仿宋_GB2312" w:cs="Times New Roman"/>
          <w:bCs/>
          <w:kern w:val="0"/>
          <w:sz w:val="32"/>
          <w:szCs w:val="32"/>
        </w:rPr>
        <w:t>号</w:t>
      </w:r>
    </w:p>
    <w:p>
      <w:pPr>
        <w:autoSpaceDN w:val="0"/>
        <w:spacing w:line="540" w:lineRule="exact"/>
        <w:jc w:val="center"/>
        <w:rPr>
          <w:rFonts w:hint="eastAsia" w:ascii="方正小标宋简体" w:hAnsi="黑体" w:eastAsia="方正小标宋简体"/>
          <w:color w:val="000000"/>
          <w:sz w:val="44"/>
          <w:szCs w:val="44"/>
        </w:rPr>
      </w:pPr>
    </w:p>
    <w:p>
      <w:pPr>
        <w:autoSpaceDN w:val="0"/>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德化县</w:t>
      </w:r>
      <w:r>
        <w:rPr>
          <w:rFonts w:hint="eastAsia" w:ascii="方正小标宋简体" w:hAnsi="方正小标宋简体" w:eastAsia="方正小标宋简体" w:cs="方正小标宋简体"/>
          <w:color w:val="000000"/>
          <w:sz w:val="44"/>
          <w:szCs w:val="44"/>
          <w:lang w:eastAsia="zh-CN"/>
        </w:rPr>
        <w:t>美湖镇</w:t>
      </w:r>
      <w:r>
        <w:rPr>
          <w:rFonts w:hint="eastAsia" w:ascii="方正小标宋简体" w:hAnsi="方正小标宋简体" w:eastAsia="方正小标宋简体" w:cs="方正小标宋简体"/>
          <w:color w:val="000000"/>
          <w:sz w:val="44"/>
          <w:szCs w:val="44"/>
        </w:rPr>
        <w:t>201</w:t>
      </w:r>
      <w:r>
        <w:rPr>
          <w:rFonts w:hint="eastAsia" w:ascii="方正小标宋简体" w:hAnsi="方正小标宋简体" w:eastAsia="方正小标宋简体" w:cs="方正小标宋简体"/>
          <w:color w:val="000000"/>
          <w:sz w:val="44"/>
          <w:szCs w:val="44"/>
          <w:lang w:val="en-US" w:eastAsia="zh-CN"/>
        </w:rPr>
        <w:t>9</w:t>
      </w:r>
      <w:r>
        <w:rPr>
          <w:rFonts w:hint="eastAsia" w:ascii="方正小标宋简体" w:hAnsi="方正小标宋简体" w:eastAsia="方正小标宋简体" w:cs="方正小标宋简体"/>
          <w:color w:val="000000"/>
          <w:sz w:val="44"/>
          <w:szCs w:val="44"/>
        </w:rPr>
        <w:t>年政府信息公开</w:t>
      </w:r>
    </w:p>
    <w:p>
      <w:pPr>
        <w:autoSpaceDN w:val="0"/>
        <w:spacing w:line="540" w:lineRule="exact"/>
        <w:ind w:left="3510" w:leftChars="822" w:hanging="880" w:hangingChars="200"/>
        <w:jc w:val="both"/>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工作年度报告</w:t>
      </w:r>
    </w:p>
    <w:p>
      <w:pPr>
        <w:autoSpaceDN w:val="0"/>
        <w:spacing w:line="540" w:lineRule="exact"/>
        <w:rPr>
          <w:rFonts w:hint="eastAsia" w:ascii="仿宋_GB2312"/>
          <w:kern w:val="0"/>
          <w:szCs w:val="32"/>
        </w:rPr>
      </w:pPr>
    </w:p>
    <w:p>
      <w:pPr>
        <w:pStyle w:val="2"/>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bidi="ar-SA"/>
        </w:rPr>
      </w:pPr>
      <w:r>
        <w:rPr>
          <w:rFonts w:hint="eastAsia" w:ascii="仿宋_GB2312" w:hAnsi="仿宋_GB2312" w:eastAsia="仿宋_GB2312" w:cs="Times New Roman"/>
          <w:color w:val="000000"/>
          <w:kern w:val="2"/>
          <w:sz w:val="32"/>
          <w:szCs w:val="24"/>
          <w:lang w:val="en-US" w:eastAsia="zh-CN" w:bidi="ar-SA"/>
        </w:rPr>
        <w:t>本报告根据《中华人民共和国政府信息公开条例》和《国务院办公厅政府信息与政务公开办公室关于政府信息公开工作年度报告有关事项的通知》（国办公开办函〔2019〕60号）等相关规定，由德化县美湖镇人民政府综合各站所信息编制而成。全文由总体情况、主动公开政府信息情况、收到和处理政府信息公开申请情况、政府信息公开行政复议及行政诉讼情况、存在的主要问题及改进情况、其他需要报告的事项等六个部分组成。本年度报告中所列数据的统计期限从2019年1月1日至12月31日止。本年报的电子版可在“中国瓷都·德化”门户网站（www.dehua.gov.cn）下载。如对本年度报告有疑问，请与德化县美湖镇党政办公室联系（联系电话：0595-23668018；传真：0595-23668019，通讯地址：德化县美湖镇小湖村洋中里1号，邮编：362516）。</w:t>
      </w:r>
    </w:p>
    <w:p>
      <w:pPr>
        <w:pStyle w:val="2"/>
        <w:keepNext w:val="0"/>
        <w:keepLines w:val="0"/>
        <w:pageBreakBefore w:val="0"/>
        <w:kinsoku/>
        <w:wordWrap/>
        <w:overflowPunct/>
        <w:topLinePunct w:val="0"/>
        <w:autoSpaceDE/>
        <w:bidi w:val="0"/>
        <w:spacing w:before="0" w:beforeAutospacing="0" w:after="0" w:afterAutospacing="0" w:line="570" w:lineRule="exact"/>
        <w:ind w:firstLine="648" w:firstLineChars="200"/>
        <w:jc w:val="both"/>
        <w:textAlignment w:val="auto"/>
        <w:rPr>
          <w:rFonts w:hint="eastAsia" w:ascii="仿宋" w:hAnsi="仿宋" w:eastAsia="仿宋" w:cs="仿宋"/>
          <w:color w:val="000000"/>
          <w:spacing w:val="2"/>
          <w:sz w:val="32"/>
          <w:szCs w:val="32"/>
        </w:rPr>
      </w:pPr>
      <w:bookmarkStart w:id="0" w:name="_GoBack"/>
      <w:bookmarkEnd w:id="0"/>
    </w:p>
    <w:p>
      <w:pPr>
        <w:keepNext w:val="0"/>
        <w:keepLines w:val="0"/>
        <w:pageBreakBefore w:val="0"/>
        <w:numPr>
          <w:ilvl w:val="0"/>
          <w:numId w:val="1"/>
        </w:numPr>
        <w:kinsoku/>
        <w:wordWrap/>
        <w:overflowPunct/>
        <w:topLinePunct w:val="0"/>
        <w:autoSpaceDE/>
        <w:autoSpaceDN w:val="0"/>
        <w:bidi w:val="0"/>
        <w:spacing w:line="570" w:lineRule="exact"/>
        <w:ind w:firstLine="640" w:firstLineChars="200"/>
        <w:jc w:val="both"/>
        <w:textAlignment w:val="auto"/>
        <w:rPr>
          <w:rFonts w:ascii="黑体" w:hAnsi="黑体" w:eastAsia="黑体"/>
          <w:color w:val="000000"/>
        </w:rPr>
      </w:pPr>
      <w:r>
        <w:rPr>
          <w:rFonts w:hint="eastAsia" w:ascii="黑体" w:hAnsi="黑体" w:eastAsia="黑体"/>
          <w:color w:val="000000"/>
          <w:lang w:eastAsia="zh-CN"/>
        </w:rPr>
        <w:t>总体情况</w:t>
      </w:r>
    </w:p>
    <w:p>
      <w:pPr>
        <w:keepNext w:val="0"/>
        <w:keepLines w:val="0"/>
        <w:pageBreakBefore w:val="0"/>
        <w:widowControl w:val="0"/>
        <w:kinsoku/>
        <w:wordWrap/>
        <w:overflowPunct/>
        <w:topLinePunct w:val="0"/>
        <w:autoSpaceDE/>
        <w:autoSpaceDN w:val="0"/>
        <w:bidi w:val="0"/>
        <w:adjustRightInd/>
        <w:snapToGrid/>
        <w:spacing w:line="570" w:lineRule="exact"/>
        <w:ind w:firstLine="646"/>
        <w:jc w:val="both"/>
        <w:textAlignment w:val="auto"/>
        <w:rPr>
          <w:rFonts w:hint="default" w:ascii="仿宋_GB2312" w:hAnsi="仿宋_GB2312"/>
          <w:color w:val="000000"/>
        </w:rPr>
      </w:pPr>
      <w:r>
        <w:rPr>
          <w:rFonts w:hint="eastAsia" w:ascii="仿宋_GB2312" w:hAnsi="仿宋_GB2312"/>
          <w:color w:val="000000"/>
        </w:rPr>
        <w:t xml:space="preserve"> </w:t>
      </w:r>
      <w:r>
        <w:rPr>
          <w:rFonts w:hint="eastAsia" w:ascii="仿宋_GB2312" w:hAnsi="仿宋_GB2312"/>
          <w:color w:val="000000"/>
          <w:lang w:eastAsia="zh-CN"/>
        </w:rPr>
        <w:t>本报告由主要情况、主动公开信息情况、收到和处理政府信息公开的情况、因政府信息公开被申请行政复议、提起行政诉讼的情况、政府信息工作存在的主要问题及改进情况、其他需要报告的事项共六个部分组成。统计数据时限由</w:t>
      </w:r>
      <w:r>
        <w:rPr>
          <w:rFonts w:hint="eastAsia" w:ascii="Times New Roman" w:hAnsi="Times New Roman" w:eastAsia="仿宋_GB2312" w:cs="Times New Roman"/>
          <w:bCs/>
          <w:kern w:val="0"/>
          <w:sz w:val="32"/>
          <w:szCs w:val="32"/>
          <w:lang w:val="en-US" w:eastAsia="zh-CN"/>
        </w:rPr>
        <w:t>2019年1</w:t>
      </w:r>
      <w:r>
        <w:rPr>
          <w:rFonts w:hint="eastAsia" w:ascii="仿宋_GB2312" w:hAnsi="仿宋_GB2312"/>
          <w:color w:val="000000"/>
          <w:lang w:val="en-US" w:eastAsia="zh-CN"/>
        </w:rPr>
        <w:t>月</w:t>
      </w:r>
      <w:r>
        <w:rPr>
          <w:rFonts w:hint="eastAsia" w:ascii="Times New Roman" w:hAnsi="Times New Roman" w:eastAsia="仿宋_GB2312" w:cs="Times New Roman"/>
          <w:bCs/>
          <w:kern w:val="0"/>
          <w:sz w:val="32"/>
          <w:szCs w:val="32"/>
          <w:lang w:val="en-US" w:eastAsia="zh-CN"/>
        </w:rPr>
        <w:t>1</w:t>
      </w:r>
      <w:r>
        <w:rPr>
          <w:rFonts w:hint="eastAsia" w:ascii="仿宋_GB2312" w:hAnsi="仿宋_GB2312"/>
          <w:color w:val="000000"/>
          <w:lang w:val="en-US" w:eastAsia="zh-CN"/>
        </w:rPr>
        <w:t>日至</w:t>
      </w:r>
      <w:r>
        <w:rPr>
          <w:rFonts w:hint="eastAsia" w:ascii="Times New Roman" w:hAnsi="Times New Roman" w:eastAsia="仿宋_GB2312" w:cs="Times New Roman"/>
          <w:bCs/>
          <w:kern w:val="0"/>
          <w:sz w:val="32"/>
          <w:szCs w:val="32"/>
          <w:lang w:val="en-US" w:eastAsia="zh-CN"/>
        </w:rPr>
        <w:t>12</w:t>
      </w:r>
      <w:r>
        <w:rPr>
          <w:rFonts w:hint="eastAsia" w:ascii="仿宋_GB2312" w:hAnsi="仿宋_GB2312"/>
          <w:color w:val="000000"/>
          <w:lang w:val="en-US" w:eastAsia="zh-CN"/>
        </w:rPr>
        <w:t>月</w:t>
      </w:r>
      <w:r>
        <w:rPr>
          <w:rFonts w:hint="eastAsia" w:ascii="Times New Roman" w:hAnsi="Times New Roman" w:eastAsia="仿宋_GB2312" w:cs="Times New Roman"/>
          <w:bCs/>
          <w:kern w:val="0"/>
          <w:sz w:val="32"/>
          <w:szCs w:val="32"/>
          <w:lang w:val="en-US" w:eastAsia="zh-CN"/>
        </w:rPr>
        <w:t>31</w:t>
      </w:r>
      <w:r>
        <w:rPr>
          <w:rFonts w:hint="eastAsia" w:ascii="仿宋_GB2312" w:hAnsi="仿宋_GB2312"/>
          <w:color w:val="000000"/>
          <w:lang w:val="en-US" w:eastAsia="zh-CN"/>
        </w:rPr>
        <w:t>日，根据本单位工作实际，结合《条例》《办法》和《任务分解表》等相关规定，</w:t>
      </w:r>
      <w:r>
        <w:rPr>
          <w:rFonts w:hint="eastAsia" w:ascii="仿宋_GB2312" w:hAnsi="仿宋_GB2312"/>
          <w:color w:val="000000"/>
        </w:rPr>
        <w:t>不断完善公开制度</w:t>
      </w:r>
      <w:r>
        <w:rPr>
          <w:rFonts w:hint="eastAsia" w:ascii="仿宋_GB2312" w:hAnsi="仿宋_GB2312"/>
          <w:color w:val="000000"/>
          <w:lang w:eastAsia="zh-CN"/>
        </w:rPr>
        <w:t>，</w:t>
      </w:r>
      <w:r>
        <w:rPr>
          <w:rFonts w:hint="eastAsia" w:ascii="仿宋_GB2312" w:hAnsi="仿宋_GB2312"/>
          <w:color w:val="000000"/>
        </w:rPr>
        <w:t>不断丰富公开内容，把政府信息公开工作作为提高权力运行透明度</w:t>
      </w:r>
      <w:r>
        <w:rPr>
          <w:rFonts w:hint="eastAsia" w:ascii="仿宋_GB2312" w:hAnsi="仿宋_GB2312"/>
          <w:color w:val="000000"/>
          <w:lang w:eastAsia="zh-CN"/>
        </w:rPr>
        <w:t>的</w:t>
      </w:r>
      <w:r>
        <w:rPr>
          <w:rFonts w:hint="eastAsia" w:ascii="仿宋_GB2312" w:hAnsi="仿宋_GB2312"/>
          <w:color w:val="000000"/>
        </w:rPr>
        <w:t>重要举措，有力地促进了我镇各项工作的开展，</w:t>
      </w:r>
      <w:r>
        <w:rPr>
          <w:rFonts w:hint="eastAsia" w:ascii="仿宋_GB2312" w:hAnsi="仿宋_GB2312"/>
          <w:color w:val="000000"/>
          <w:lang w:eastAsia="zh-CN"/>
        </w:rPr>
        <w:t>有效的保障了</w:t>
      </w:r>
      <w:r>
        <w:rPr>
          <w:rFonts w:hint="default" w:ascii="仿宋_GB2312" w:hAnsi="仿宋_GB2312"/>
          <w:color w:val="000000"/>
        </w:rPr>
        <w:t>社会公众依法获取政府信息的权益。</w:t>
      </w: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仿宋_GB2312" w:hAnsi="仿宋_GB2312"/>
          <w:color w:val="000000"/>
          <w:lang w:val="en-US" w:eastAsia="zh-CN"/>
        </w:rPr>
      </w:pPr>
      <w:r>
        <w:rPr>
          <w:rFonts w:hint="eastAsia" w:ascii="Times New Roman" w:hAnsi="Times New Roman" w:eastAsia="仿宋_GB2312" w:cs="Times New Roman"/>
          <w:bCs/>
          <w:kern w:val="0"/>
          <w:sz w:val="32"/>
          <w:szCs w:val="32"/>
          <w:lang w:val="en-US" w:eastAsia="zh-CN"/>
        </w:rPr>
        <w:t>2019</w:t>
      </w:r>
      <w:r>
        <w:rPr>
          <w:rFonts w:hint="eastAsia" w:ascii="仿宋_GB2312" w:hAnsi="仿宋_GB2312"/>
          <w:color w:val="000000"/>
          <w:lang w:val="en-US" w:eastAsia="zh-CN"/>
        </w:rPr>
        <w:t>年，美湖镇充分发挥“美湖美福”微信公众号、政府门户网站等灵活便捷的优势，做好政策解读，统计信息和工作进展的发布，进一步增强公开实效，提升信息公开水平。</w:t>
      </w:r>
    </w:p>
    <w:p>
      <w:pPr>
        <w:keepNext w:val="0"/>
        <w:keepLines w:val="0"/>
        <w:pageBreakBefore w:val="0"/>
        <w:numPr>
          <w:ilvl w:val="0"/>
          <w:numId w:val="2"/>
        </w:numPr>
        <w:kinsoku/>
        <w:wordWrap/>
        <w:overflowPunct/>
        <w:topLinePunct w:val="0"/>
        <w:autoSpaceDE/>
        <w:autoSpaceDN w:val="0"/>
        <w:bidi w:val="0"/>
        <w:spacing w:line="570" w:lineRule="exact"/>
        <w:ind w:firstLine="647"/>
        <w:jc w:val="both"/>
        <w:textAlignment w:val="auto"/>
        <w:rPr>
          <w:rFonts w:hint="eastAsia" w:ascii="仿宋_GB2312" w:hAnsi="仿宋_GB2312"/>
          <w:color w:val="000000"/>
        </w:rPr>
      </w:pPr>
      <w:r>
        <w:rPr>
          <w:rFonts w:hint="eastAsia" w:ascii="仿宋_GB2312" w:hAnsi="仿宋_GB2312"/>
          <w:color w:val="000000"/>
          <w:lang w:val="en-US" w:eastAsia="zh-CN"/>
        </w:rPr>
        <w:t>及时发布镇政府信息。</w:t>
      </w:r>
      <w:r>
        <w:rPr>
          <w:rFonts w:hint="eastAsia" w:ascii="仿宋_GB2312" w:hAnsi="仿宋_GB2312"/>
          <w:color w:val="000000"/>
        </w:rPr>
        <w:t>按照《条例》规定的要求，及时发布主动公开的政府信息，全面做好政府信息公开工作，不断扩大公开信息量，</w:t>
      </w:r>
      <w:r>
        <w:rPr>
          <w:rFonts w:hint="eastAsia" w:ascii="仿宋_GB2312" w:hAnsi="仿宋_GB2312"/>
          <w:color w:val="000000"/>
          <w:lang w:eastAsia="zh-CN"/>
        </w:rPr>
        <w:t>提高公众对乡镇工作的知晓率，</w:t>
      </w:r>
      <w:r>
        <w:rPr>
          <w:rFonts w:hint="default" w:ascii="仿宋_GB2312" w:hAnsi="仿宋_GB2312"/>
          <w:color w:val="000000"/>
        </w:rPr>
        <w:t>提升了公众对政府工作的满意度，保证了信息畅通</w:t>
      </w:r>
      <w:r>
        <w:rPr>
          <w:rFonts w:hint="eastAsia" w:ascii="仿宋_GB2312" w:hAnsi="仿宋_GB2312"/>
          <w:color w:val="000000"/>
        </w:rPr>
        <w:t>。</w:t>
      </w:r>
    </w:p>
    <w:p>
      <w:pPr>
        <w:keepNext w:val="0"/>
        <w:keepLines w:val="0"/>
        <w:pageBreakBefore w:val="0"/>
        <w:numPr>
          <w:ilvl w:val="0"/>
          <w:numId w:val="2"/>
        </w:numPr>
        <w:kinsoku/>
        <w:wordWrap/>
        <w:overflowPunct/>
        <w:topLinePunct w:val="0"/>
        <w:autoSpaceDE/>
        <w:autoSpaceDN w:val="0"/>
        <w:bidi w:val="0"/>
        <w:spacing w:line="570" w:lineRule="exact"/>
        <w:ind w:firstLine="647"/>
        <w:jc w:val="both"/>
        <w:textAlignment w:val="auto"/>
        <w:rPr>
          <w:rFonts w:hint="eastAsia" w:ascii="仿宋_GB2312" w:hAnsi="仿宋_GB2312"/>
          <w:color w:val="000000"/>
          <w:lang w:val="en-US" w:eastAsia="zh-CN"/>
        </w:rPr>
      </w:pPr>
      <w:r>
        <w:rPr>
          <w:rFonts w:hint="eastAsia" w:ascii="仿宋_GB2312" w:hAnsi="仿宋_GB2312"/>
          <w:color w:val="000000"/>
        </w:rPr>
        <w:t>认真落实季度政府信息公开统计报送制度</w:t>
      </w:r>
      <w:r>
        <w:rPr>
          <w:rFonts w:hint="eastAsia" w:ascii="仿宋_GB2312" w:hAnsi="仿宋_GB2312"/>
          <w:color w:val="000000"/>
          <w:lang w:eastAsia="zh-CN"/>
        </w:rPr>
        <w:t>，每季度按照</w:t>
      </w:r>
      <w:r>
        <w:rPr>
          <w:rFonts w:hint="eastAsia" w:ascii="仿宋_GB2312" w:hAnsi="仿宋_GB2312"/>
          <w:color w:val="000000"/>
        </w:rPr>
        <w:t>《德化县人民政府办公室关于正式使用政府信息公开情况统计和报送制度的通知》</w:t>
      </w:r>
      <w:r>
        <w:rPr>
          <w:rFonts w:hint="eastAsia" w:ascii="仿宋_GB2312" w:hAnsi="仿宋_GB2312"/>
          <w:color w:val="000000"/>
          <w:lang w:eastAsia="zh-CN"/>
        </w:rPr>
        <w:t>文件</w:t>
      </w:r>
      <w:r>
        <w:rPr>
          <w:rFonts w:hint="eastAsia" w:ascii="仿宋_GB2312" w:hAnsi="仿宋_GB2312"/>
          <w:color w:val="000000"/>
        </w:rPr>
        <w:t>精神，及时报送政府信息公开统计数据。</w:t>
      </w:r>
    </w:p>
    <w:p>
      <w:pPr>
        <w:keepNext w:val="0"/>
        <w:keepLines w:val="0"/>
        <w:pageBreakBefore w:val="0"/>
        <w:numPr>
          <w:ilvl w:val="0"/>
          <w:numId w:val="2"/>
        </w:numPr>
        <w:kinsoku/>
        <w:wordWrap/>
        <w:overflowPunct/>
        <w:topLinePunct w:val="0"/>
        <w:autoSpaceDE/>
        <w:autoSpaceDN w:val="0"/>
        <w:bidi w:val="0"/>
        <w:spacing w:line="570" w:lineRule="exact"/>
        <w:ind w:firstLine="647"/>
        <w:jc w:val="both"/>
        <w:textAlignment w:val="auto"/>
        <w:rPr>
          <w:rFonts w:hint="eastAsia" w:ascii="仿宋_GB2312" w:hAnsi="仿宋_GB2312"/>
          <w:color w:val="000000"/>
          <w:lang w:val="en-US" w:eastAsia="zh-CN"/>
        </w:rPr>
      </w:pPr>
      <w:r>
        <w:rPr>
          <w:rFonts w:hint="eastAsia" w:ascii="仿宋_GB2312" w:hAnsi="仿宋_GB2312"/>
          <w:color w:val="000000"/>
          <w:lang w:val="en-US" w:eastAsia="zh-CN"/>
        </w:rPr>
        <w:t>完善规章制度，调整政府信息公开工作领导小组，从领导层面高位推动政府信息公开工作。</w:t>
      </w:r>
    </w:p>
    <w:p>
      <w:pPr>
        <w:keepNext w:val="0"/>
        <w:keepLines w:val="0"/>
        <w:pageBreakBefore w:val="0"/>
        <w:kinsoku/>
        <w:wordWrap/>
        <w:overflowPunct/>
        <w:topLinePunct w:val="0"/>
        <w:autoSpaceDE/>
        <w:autoSpaceDN w:val="0"/>
        <w:bidi w:val="0"/>
        <w:spacing w:line="570" w:lineRule="exact"/>
        <w:ind w:firstLine="647"/>
        <w:jc w:val="both"/>
        <w:textAlignment w:val="auto"/>
        <w:rPr>
          <w:rFonts w:ascii="宋体" w:hAnsi="宋体" w:eastAsia="宋体"/>
          <w:color w:val="000000"/>
          <w:sz w:val="21"/>
        </w:rPr>
      </w:pPr>
      <w:r>
        <w:rPr>
          <w:rFonts w:ascii="黑体" w:hAnsi="黑体" w:eastAsia="黑体"/>
          <w:color w:val="000000"/>
        </w:rPr>
        <w:t>二、主动公开政府信息的情况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1559"/>
        <w:gridCol w:w="1747"/>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4" w:hRule="atLeast"/>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制作数量</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公开数量</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规章</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规范性文件</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ind w:firstLine="840" w:firstLineChars="300"/>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行政许可</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其他对外管理服务事项</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ind w:firstLine="840" w:firstLineChars="300"/>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行政处罚</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行政强制</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3878" w:type="dxa"/>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行政事业性收费</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3878" w:type="dxa"/>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采购项目数量</w:t>
            </w:r>
          </w:p>
        </w:tc>
        <w:tc>
          <w:tcPr>
            <w:tcW w:w="3878" w:type="dxa"/>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政府集中采购</w:t>
            </w:r>
          </w:p>
        </w:tc>
        <w:tc>
          <w:tcPr>
            <w:tcW w:w="1559" w:type="dxa"/>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878" w:type="dxa"/>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bl>
    <w:p>
      <w:pPr>
        <w:keepNext w:val="0"/>
        <w:keepLines w:val="0"/>
        <w:pageBreakBefore w:val="0"/>
        <w:kinsoku/>
        <w:wordWrap/>
        <w:overflowPunct/>
        <w:topLinePunct w:val="0"/>
        <w:autoSpaceDE/>
        <w:autoSpaceDN w:val="0"/>
        <w:bidi w:val="0"/>
        <w:spacing w:line="570" w:lineRule="exact"/>
        <w:ind w:firstLine="647"/>
        <w:jc w:val="both"/>
        <w:textAlignment w:val="auto"/>
        <w:rPr>
          <w:rFonts w:ascii="仿宋_GB2312" w:hAnsi="仿宋_GB2312"/>
          <w:color w:val="000000"/>
          <w:sz w:val="32"/>
          <w:szCs w:val="32"/>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rPr>
      </w:pPr>
      <w:r>
        <w:rPr>
          <w:rFonts w:hint="eastAsia" w:ascii="黑体" w:hAnsi="黑体" w:eastAsia="黑体"/>
          <w:color w:val="000000"/>
          <w:lang w:eastAsia="zh-CN"/>
        </w:rPr>
        <w:t>三、</w:t>
      </w:r>
      <w:r>
        <w:rPr>
          <w:rFonts w:hint="eastAsia" w:ascii="黑体" w:hAnsi="黑体" w:eastAsia="黑体"/>
          <w:color w:val="000000"/>
        </w:rPr>
        <w:t>收到和处理政府信息公开申请情况</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2"/>
        <w:gridCol w:w="1127"/>
        <w:gridCol w:w="1901"/>
        <w:gridCol w:w="561"/>
        <w:gridCol w:w="632"/>
        <w:gridCol w:w="632"/>
        <w:gridCol w:w="777"/>
        <w:gridCol w:w="777"/>
        <w:gridCol w:w="496"/>
        <w:gridCol w:w="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vMerge w:val="restar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（本列数据的勾稽关系为：第一项加第二项之和，等于第三项加第四项之和）</w:t>
            </w:r>
          </w:p>
        </w:tc>
        <w:tc>
          <w:tcPr>
            <w:tcW w:w="2565" w:type="pct"/>
            <w:gridSpan w:val="7"/>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329" w:type="pct"/>
            <w:vMerge w:val="restar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自然人</w:t>
            </w:r>
          </w:p>
        </w:tc>
        <w:tc>
          <w:tcPr>
            <w:tcW w:w="1945" w:type="pct"/>
            <w:gridSpan w:val="5"/>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法人或其他组织</w:t>
            </w:r>
          </w:p>
        </w:tc>
        <w:tc>
          <w:tcPr>
            <w:tcW w:w="289" w:type="pct"/>
            <w:vMerge w:val="restart"/>
            <w:noWrap w:val="0"/>
            <w:vAlign w:val="center"/>
          </w:tcPr>
          <w:p>
            <w:pPr>
              <w:keepNext w:val="0"/>
              <w:keepLines w:val="0"/>
              <w:pageBreakBefore w:val="0"/>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434" w:type="pct"/>
            <w:gridSpan w:val="3"/>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329"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商业企业</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科研机构</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社会公益组织</w:t>
            </w:r>
          </w:p>
        </w:tc>
        <w:tc>
          <w:tcPr>
            <w:tcW w:w="456"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法律服务机构</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其他</w:t>
            </w:r>
          </w:p>
        </w:tc>
        <w:tc>
          <w:tcPr>
            <w:tcW w:w="289" w:type="pct"/>
            <w:vMerge w:val="continue"/>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一、本年新收政府信息公开申请数量</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hint="eastAsia" w:ascii="Times New Roman" w:hAnsi="Times New Roman" w:eastAsia="方正仿宋简体" w:cs="Times New Roman"/>
                <w:color w:val="000000"/>
                <w:kern w:val="0"/>
                <w:sz w:val="28"/>
                <w:szCs w:val="28"/>
                <w:lang w:val="en-US" w:eastAsia="zh-CN"/>
              </w:rPr>
            </w:pPr>
            <w:r>
              <w:rPr>
                <w:rFonts w:hint="eastAsia" w:ascii="Times New Roman" w:hAnsi="Times New Roman" w:eastAsia="方正仿宋简体" w:cs="Times New Roman"/>
                <w:color w:val="000000"/>
                <w:kern w:val="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二、上年结转政府信息公开申请数量</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restar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三、本年度办理结果</w:t>
            </w:r>
          </w:p>
        </w:tc>
        <w:tc>
          <w:tcPr>
            <w:tcW w:w="1776" w:type="pct"/>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ind w:firstLine="560" w:firstLineChars="200"/>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（一）予以公开</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776" w:type="pct"/>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（二）部分公开（区分处理的，只计这一情形，不计其他情形）</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restar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（三）不予公开</w:t>
            </w: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1.属于国家秘密</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2.其他法律行政法规禁止公开</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3.危及“三安全一稳定”</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4.保护第三方合法权益</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5.属于三类内部事务信息</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6.属于四类过程性信息</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7.属于行政执法案卷</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8.属于行政查询事项</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restar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（四）无法提供</w:t>
            </w: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1.本机关不掌握相关政府信息</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2.没有现成信息需要另行制作</w:t>
            </w:r>
          </w:p>
        </w:tc>
        <w:tc>
          <w:tcPr>
            <w:tcW w:w="329"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3.补正后申请内容仍不明确</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restart"/>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（五）不予处理</w:t>
            </w: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1.信访举报投诉类申请</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2.重复申请</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3.要求提供公开出版物</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4.无正当理由大量反复申请</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5.要求行政机关确认或重新出具已获取信息</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776" w:type="pct"/>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（六）其他处理</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776" w:type="pct"/>
            <w:gridSpan w:val="2"/>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（七）总计</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noWrap w:val="0"/>
            <w:vAlign w:val="center"/>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四、结转下年度继续办理</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bl>
    <w:p>
      <w:pPr>
        <w:keepNext w:val="0"/>
        <w:keepLines w:val="0"/>
        <w:pageBreakBefore w:val="0"/>
        <w:kinsoku/>
        <w:wordWrap/>
        <w:overflowPunct/>
        <w:topLinePunct w:val="0"/>
        <w:autoSpaceDE/>
        <w:autoSpaceDN w:val="0"/>
        <w:bidi w:val="0"/>
        <w:spacing w:line="570" w:lineRule="exact"/>
        <w:ind w:firstLine="647"/>
        <w:jc w:val="both"/>
        <w:textAlignment w:val="auto"/>
        <w:rPr>
          <w:rFonts w:ascii="黑体" w:hAnsi="黑体" w:eastAsia="黑体"/>
          <w:color w:val="000000"/>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r>
        <w:rPr>
          <w:rFonts w:hint="eastAsia" w:ascii="黑体" w:hAnsi="黑体" w:eastAsia="黑体"/>
          <w:color w:val="000000"/>
          <w:lang w:eastAsia="zh-CN"/>
        </w:rPr>
        <w:t>四、政府信息公开行政复议、行政诉讼情况</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gridSpan w:val="5"/>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行政复议</w:t>
            </w:r>
          </w:p>
        </w:tc>
        <w:tc>
          <w:tcPr>
            <w:tcW w:w="5682" w:type="dxa"/>
            <w:gridSpan w:val="10"/>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restart"/>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vMerge w:val="restart"/>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vMerge w:val="restart"/>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vMerge w:val="restart"/>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vMerge w:val="restart"/>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2840" w:type="dxa"/>
            <w:gridSpan w:val="5"/>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未经复议直接起诉</w:t>
            </w:r>
          </w:p>
        </w:tc>
        <w:tc>
          <w:tcPr>
            <w:tcW w:w="2842" w:type="dxa"/>
            <w:gridSpan w:val="5"/>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continue"/>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9"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9" w:type="dxa"/>
            <w:noWrap w:val="0"/>
            <w:vAlign w:val="top"/>
          </w:tcPr>
          <w:p>
            <w:pPr>
              <w:pStyle w:val="2"/>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9"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9"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r>
    </w:tbl>
    <w:p>
      <w:pPr>
        <w:keepNext w:val="0"/>
        <w:keepLines w:val="0"/>
        <w:pageBreakBefore w:val="0"/>
        <w:kinsoku/>
        <w:wordWrap/>
        <w:overflowPunct/>
        <w:topLinePunct w:val="0"/>
        <w:autoSpaceDE/>
        <w:autoSpaceDN w:val="0"/>
        <w:bidi w:val="0"/>
        <w:spacing w:line="570" w:lineRule="exact"/>
        <w:ind w:firstLine="647"/>
        <w:jc w:val="both"/>
        <w:textAlignment w:val="auto"/>
        <w:rPr>
          <w:rFonts w:ascii="黑体" w:hAnsi="黑体" w:eastAsia="黑体"/>
          <w:color w:val="000000"/>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r>
        <w:rPr>
          <w:rFonts w:hint="eastAsia" w:ascii="黑体" w:hAnsi="黑体" w:eastAsia="黑体"/>
          <w:color w:val="000000"/>
          <w:lang w:eastAsia="zh-CN"/>
        </w:rPr>
        <w:t>五、存在的主要问题及改进情况</w:t>
      </w:r>
    </w:p>
    <w:p>
      <w:pPr>
        <w:keepNext w:val="0"/>
        <w:keepLines w:val="0"/>
        <w:pageBreakBefore w:val="0"/>
        <w:kinsoku/>
        <w:wordWrap/>
        <w:overflowPunct/>
        <w:topLinePunct w:val="0"/>
        <w:autoSpaceDE/>
        <w:autoSpaceDN w:val="0"/>
        <w:bidi w:val="0"/>
        <w:spacing w:line="570" w:lineRule="exact"/>
        <w:ind w:firstLine="320" w:firstLineChars="100"/>
        <w:jc w:val="both"/>
        <w:textAlignment w:val="auto"/>
        <w:rPr>
          <w:rFonts w:ascii="仿宋_GB2312" w:hAnsi="仿宋_GB2312"/>
          <w:color w:val="000000"/>
          <w:sz w:val="32"/>
          <w:szCs w:val="32"/>
        </w:rPr>
      </w:pPr>
      <w:r>
        <w:rPr>
          <w:rFonts w:hint="eastAsia" w:ascii="楷体_GB2312" w:hAnsi="楷体_GB2312" w:eastAsia="楷体_GB2312" w:cs="楷体_GB2312"/>
          <w:color w:val="000000"/>
          <w:sz w:val="32"/>
          <w:szCs w:val="32"/>
        </w:rPr>
        <w:t>（一）</w:t>
      </w:r>
      <w:r>
        <w:rPr>
          <w:rFonts w:ascii="仿宋_GB2312" w:hAnsi="仿宋_GB2312"/>
          <w:color w:val="000000"/>
          <w:sz w:val="32"/>
          <w:szCs w:val="32"/>
        </w:rPr>
        <w:t>工作中存在的主要问题和困难：</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eastAsia" w:ascii="仿宋_GB2312" w:hAnsi="仿宋_GB2312"/>
          <w:color w:val="000000"/>
          <w:kern w:val="2"/>
          <w:sz w:val="32"/>
          <w:szCs w:val="32"/>
          <w:lang w:val="en-US" w:eastAsia="zh-CN" w:bidi="ar-SA"/>
        </w:rPr>
      </w:pPr>
      <w:r>
        <w:rPr>
          <w:rFonts w:hint="eastAsia" w:ascii="仿宋_GB2312" w:hAnsi="仿宋_GB2312"/>
          <w:color w:val="000000"/>
          <w:sz w:val="32"/>
          <w:szCs w:val="32"/>
          <w:lang w:val="en-US" w:eastAsia="zh-CN"/>
        </w:rPr>
        <w:t>1、</w:t>
      </w:r>
      <w:r>
        <w:rPr>
          <w:rFonts w:hint="eastAsia" w:ascii="仿宋_GB2312" w:hAnsi="仿宋_GB2312" w:eastAsia="仿宋_GB2312"/>
          <w:color w:val="000000"/>
          <w:kern w:val="2"/>
          <w:sz w:val="32"/>
          <w:szCs w:val="32"/>
          <w:lang w:val="en-US" w:eastAsia="zh-CN" w:bidi="ar-SA"/>
        </w:rPr>
        <w:t>个别部门重视程度还不够，参与配合度不高</w:t>
      </w:r>
      <w:r>
        <w:rPr>
          <w:rFonts w:hint="eastAsia" w:ascii="仿宋_GB2312" w:hAnsi="仿宋_GB2312"/>
          <w:color w:val="000000"/>
          <w:kern w:val="2"/>
          <w:sz w:val="32"/>
          <w:szCs w:val="32"/>
          <w:lang w:val="en-US" w:eastAsia="zh-CN" w:bidi="ar-SA"/>
        </w:rPr>
        <w:t>，</w:t>
      </w:r>
      <w:r>
        <w:rPr>
          <w:rFonts w:hint="eastAsia" w:ascii="仿宋_GB2312" w:hAnsi="仿宋_GB2312" w:eastAsia="仿宋_GB2312"/>
          <w:color w:val="000000"/>
          <w:kern w:val="2"/>
          <w:sz w:val="32"/>
          <w:szCs w:val="32"/>
          <w:lang w:val="en-US" w:eastAsia="zh-CN" w:bidi="ar-SA"/>
        </w:rPr>
        <w:t>公开信息的质量和效果有待提升</w:t>
      </w:r>
      <w:r>
        <w:rPr>
          <w:rFonts w:hint="eastAsia" w:ascii="仿宋_GB2312" w:hAnsi="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eastAsia" w:ascii="仿宋_GB2312" w:hAnsi="仿宋_GB2312" w:eastAsia="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2、</w:t>
      </w:r>
      <w:r>
        <w:rPr>
          <w:rFonts w:hint="eastAsia" w:ascii="仿宋_GB2312" w:hAnsi="仿宋_GB2312" w:eastAsia="仿宋_GB2312"/>
          <w:color w:val="000000"/>
          <w:kern w:val="2"/>
          <w:sz w:val="32"/>
          <w:szCs w:val="32"/>
          <w:lang w:val="en-US" w:eastAsia="zh-CN" w:bidi="ar-SA"/>
        </w:rPr>
        <w:t>对应予公开或不予公开的信息定性不准，尺度难以掌握，</w:t>
      </w:r>
      <w:r>
        <w:rPr>
          <w:rFonts w:hint="eastAsia" w:ascii="仿宋_GB2312" w:hAnsi="仿宋_GB2312" w:eastAsia="仿宋_GB2312"/>
          <w:color w:val="000000"/>
          <w:kern w:val="2"/>
          <w:sz w:val="32"/>
          <w:szCs w:val="32"/>
          <w:lang w:val="en-US" w:eastAsia="zh-CN" w:bidi="ar-SA"/>
        </w:rPr>
        <w:t>一定程度影响政务公开工作的高效开展。</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default" w:ascii="仿宋_GB2312" w:hAnsi="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3、</w:t>
      </w:r>
      <w:r>
        <w:rPr>
          <w:rFonts w:hint="eastAsia" w:ascii="仿宋_GB2312" w:hAnsi="仿宋_GB2312" w:eastAsia="仿宋_GB2312"/>
          <w:color w:val="000000"/>
          <w:kern w:val="2"/>
          <w:sz w:val="32"/>
          <w:szCs w:val="32"/>
          <w:lang w:val="en-US" w:eastAsia="zh-CN" w:bidi="ar-SA"/>
        </w:rPr>
        <w:t>政府信息公开工作现在对工作人员的素质和经验要求越来越高，乡镇基层由于人员紧张，从事此项工作的人员多为兼职人员，工作力量不足</w:t>
      </w:r>
      <w:r>
        <w:rPr>
          <w:rFonts w:hint="eastAsia" w:ascii="仿宋_GB2312" w:hAnsi="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7"/>
        <w:jc w:val="both"/>
        <w:textAlignment w:val="auto"/>
        <w:rPr>
          <w:rFonts w:ascii="宋体" w:hAnsi="宋体" w:eastAsia="宋体"/>
          <w:color w:val="000000"/>
          <w:sz w:val="32"/>
          <w:szCs w:val="32"/>
        </w:rPr>
      </w:pPr>
      <w:r>
        <w:rPr>
          <w:rFonts w:hint="eastAsia" w:ascii="楷体_GB2312" w:hAnsi="楷体_GB2312" w:eastAsia="楷体_GB2312" w:cs="楷体_GB2312"/>
          <w:color w:val="000000"/>
          <w:sz w:val="32"/>
          <w:szCs w:val="32"/>
        </w:rPr>
        <w:t>（二）</w:t>
      </w:r>
      <w:r>
        <w:rPr>
          <w:rFonts w:ascii="仿宋_GB2312" w:hAnsi="仿宋_GB2312"/>
          <w:color w:val="000000"/>
          <w:sz w:val="32"/>
          <w:szCs w:val="32"/>
        </w:rPr>
        <w:t>具体的解决办法和改进措施：</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eastAsia" w:ascii="仿宋_GB2312" w:hAnsi="仿宋_GB2312" w:eastAsia="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1</w:t>
      </w:r>
      <w:r>
        <w:rPr>
          <w:rFonts w:hint="eastAsia" w:ascii="仿宋_GB2312" w:hAnsi="仿宋_GB2312" w:eastAsia="仿宋_GB2312"/>
          <w:color w:val="000000"/>
          <w:kern w:val="2"/>
          <w:sz w:val="32"/>
          <w:szCs w:val="32"/>
          <w:lang w:val="en-US" w:eastAsia="zh-CN" w:bidi="ar-SA"/>
        </w:rPr>
        <w:t>、加强对《条例》以及信息公开操作流程的宣传和教育，提高工作人员的意识，增强运用规范化流程推动政府信息公开的自觉性</w:t>
      </w:r>
      <w:r>
        <w:rPr>
          <w:rFonts w:hint="eastAsia" w:ascii="仿宋_GB2312" w:hAnsi="仿宋_GB2312"/>
          <w:color w:val="000000"/>
          <w:kern w:val="2"/>
          <w:sz w:val="32"/>
          <w:szCs w:val="32"/>
          <w:lang w:val="en-US" w:eastAsia="zh-CN" w:bidi="ar-SA"/>
        </w:rPr>
        <w:t>，增强对予公开和不予公开的信息定性的掌握尺度</w:t>
      </w:r>
      <w:r>
        <w:rPr>
          <w:rFonts w:hint="eastAsia" w:ascii="仿宋_GB2312" w:hAnsi="仿宋_GB2312" w:eastAsia="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default" w:ascii="仿宋_GB2312" w:hAnsi="仿宋_GB2312" w:eastAsia="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2</w:t>
      </w:r>
      <w:r>
        <w:rPr>
          <w:rFonts w:hint="eastAsia" w:ascii="仿宋_GB2312" w:hAnsi="仿宋_GB2312" w:eastAsia="仿宋_GB2312"/>
          <w:color w:val="000000"/>
          <w:kern w:val="2"/>
          <w:sz w:val="32"/>
          <w:szCs w:val="32"/>
          <w:lang w:val="en-US" w:eastAsia="zh-CN" w:bidi="ar-SA"/>
        </w:rPr>
        <w:t>、加强培训，针对工作人员业务上的薄弱点有针对性地培训和指导，提高政府信息公开办事人员的业务水平。</w:t>
      </w: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r>
        <w:rPr>
          <w:rFonts w:hint="eastAsia" w:ascii="黑体" w:hAnsi="黑体" w:eastAsia="黑体"/>
          <w:color w:val="000000"/>
          <w:lang w:eastAsia="zh-CN"/>
        </w:rPr>
        <w:t>六、其他需要报告的事项</w:t>
      </w:r>
    </w:p>
    <w:p>
      <w:pPr>
        <w:keepNext w:val="0"/>
        <w:keepLines w:val="0"/>
        <w:pageBreakBefore w:val="0"/>
        <w:widowControl w:val="0"/>
        <w:kinsoku/>
        <w:wordWrap/>
        <w:overflowPunct/>
        <w:topLinePunct w:val="0"/>
        <w:autoSpaceDE/>
        <w:autoSpaceDN w:val="0"/>
        <w:bidi w:val="0"/>
        <w:adjustRightInd/>
        <w:snapToGrid/>
        <w:spacing w:line="570" w:lineRule="exact"/>
        <w:ind w:firstLine="640"/>
        <w:jc w:val="both"/>
        <w:textAlignment w:val="auto"/>
        <w:rPr>
          <w:rFonts w:hint="eastAsia" w:ascii="仿宋_GB2312" w:hAnsi="仿宋_GB2312"/>
          <w:color w:val="000000"/>
          <w:lang w:val="en-US" w:eastAsia="zh-CN"/>
        </w:rPr>
      </w:pPr>
      <w:r>
        <w:rPr>
          <w:rFonts w:hint="eastAsia" w:ascii="楷体_GB2312" w:hAnsi="Times New Roman" w:eastAsia="楷体_GB2312" w:cs="Times New Roman"/>
          <w:b/>
          <w:sz w:val="32"/>
          <w:szCs w:val="32"/>
          <w:lang w:val="en-US" w:eastAsia="zh-CN"/>
        </w:rPr>
        <w:t>（一）</w:t>
      </w:r>
      <w:r>
        <w:rPr>
          <w:rFonts w:hint="eastAsia" w:ascii="仿宋_GB2312" w:hAnsi="仿宋_GB2312"/>
          <w:color w:val="000000"/>
          <w:lang w:val="en-US" w:eastAsia="zh-CN"/>
        </w:rPr>
        <w:t>历年累计从</w:t>
      </w:r>
      <w:r>
        <w:rPr>
          <w:rFonts w:hint="eastAsia" w:ascii="Times New Roman" w:hAnsi="Times New Roman" w:eastAsia="仿宋_GB2312" w:cs="Times New Roman"/>
          <w:bCs/>
          <w:kern w:val="0"/>
          <w:sz w:val="32"/>
          <w:szCs w:val="32"/>
          <w:lang w:val="en-US" w:eastAsia="zh-CN"/>
        </w:rPr>
        <w:t>2008</w:t>
      </w:r>
      <w:r>
        <w:rPr>
          <w:rFonts w:hint="eastAsia" w:ascii="仿宋_GB2312" w:hAnsi="仿宋_GB2312"/>
          <w:color w:val="000000"/>
          <w:lang w:val="en-US" w:eastAsia="zh-CN"/>
        </w:rPr>
        <w:t>年计入</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3" w:firstLineChars="200"/>
        <w:jc w:val="both"/>
        <w:textAlignment w:val="auto"/>
        <w:outlineLvl w:val="9"/>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hint="eastAsia" w:ascii="仿宋_GB2312" w:hAnsi="仿宋_GB2312" w:eastAsia="仿宋_GB2312" w:cs="仿宋_GB2312"/>
          <w:b w:val="0"/>
          <w:bCs/>
          <w:sz w:val="32"/>
          <w:szCs w:val="32"/>
        </w:rPr>
        <w:t>附表</w:t>
      </w:r>
    </w:p>
    <w:tbl>
      <w:tblPr>
        <w:tblStyle w:val="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551"/>
        <w:gridCol w:w="909"/>
        <w:gridCol w:w="1567"/>
        <w:gridCol w:w="13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指标名称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57" w:leftChars="49"/>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计量</w:t>
            </w:r>
          </w:p>
          <w:p>
            <w:pPr>
              <w:keepNext w:val="0"/>
              <w:keepLines w:val="0"/>
              <w:pageBreakBefore w:val="0"/>
              <w:widowControl w:val="0"/>
              <w:kinsoku/>
              <w:wordWrap/>
              <w:overflowPunct/>
              <w:topLinePunct w:val="0"/>
              <w:autoSpaceDE/>
              <w:autoSpaceDN/>
              <w:bidi w:val="0"/>
              <w:adjustRightInd/>
              <w:snapToGrid/>
              <w:spacing w:line="320" w:lineRule="exact"/>
              <w:ind w:left="157" w:leftChars="49"/>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单位</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140" w:firstLineChars="5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w:t>
            </w:r>
            <w:r>
              <w:rPr>
                <w:rFonts w:hint="eastAsia" w:ascii="仿宋_GB2312" w:hAnsi="Times New Roman" w:eastAsia="仿宋_GB2312" w:cs="Times New Roman"/>
                <w:sz w:val="28"/>
                <w:szCs w:val="28"/>
                <w:lang w:val="en-US" w:eastAsia="zh-CN"/>
              </w:rPr>
              <w:t>9</w:t>
            </w:r>
            <w:r>
              <w:rPr>
                <w:rFonts w:hint="eastAsia" w:ascii="仿宋_GB2312" w:hAnsi="Times New Roman" w:eastAsia="仿宋_GB2312" w:cs="Times New Roman"/>
                <w:sz w:val="28"/>
                <w:szCs w:val="28"/>
              </w:rPr>
              <w:t>年度</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历年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累计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主动公开文件数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20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263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其中：1.政府信息公开数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20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263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2.政府公报公开数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受理政府信息公开申请总数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其中：1.当面申请数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2.网上申请数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1400" w:firstLineChars="5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3.信函申请数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对申请的答复总数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其中：1.同意公开答复数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2.同意部分公开答复数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3.不予公开答复总数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4.其他类型答复数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政府信息公开收费减免金额</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元</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行政复议数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件</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行政诉讼数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件</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接受行政申诉、举报数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件</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bl>
    <w:p>
      <w:pPr>
        <w:autoSpaceDN w:val="0"/>
        <w:ind w:firstLine="640"/>
        <w:jc w:val="left"/>
        <w:rPr>
          <w:rFonts w:hint="default" w:ascii="仿宋_GB2312" w:hAnsi="仿宋_GB2312"/>
          <w:color w:val="000000"/>
          <w:lang w:val="en-US" w:eastAsia="zh-CN"/>
        </w:rPr>
      </w:pPr>
    </w:p>
    <w:p>
      <w:pPr>
        <w:autoSpaceDN w:val="0"/>
        <w:ind w:firstLine="647"/>
        <w:jc w:val="left"/>
        <w:rPr>
          <w:rFonts w:ascii="仿宋_GB2312" w:hAnsi="仿宋_GB2312"/>
          <w:color w:val="000000"/>
        </w:rPr>
      </w:pPr>
    </w:p>
    <w:p>
      <w:pPr>
        <w:autoSpaceDN w:val="0"/>
        <w:ind w:firstLine="647"/>
        <w:jc w:val="left"/>
        <w:rPr>
          <w:rFonts w:ascii="宋体" w:hAnsi="宋体" w:eastAsia="宋体"/>
          <w:color w:val="000000"/>
          <w:sz w:val="21"/>
        </w:rPr>
      </w:pPr>
    </w:p>
    <w:p>
      <w:pPr>
        <w:autoSpaceDN w:val="0"/>
        <w:ind w:firstLine="647"/>
        <w:jc w:val="left"/>
        <w:rPr>
          <w:rFonts w:ascii="宋体" w:hAnsi="宋体" w:eastAsia="宋体"/>
          <w:color w:val="000000"/>
          <w:sz w:val="21"/>
        </w:rPr>
      </w:pPr>
    </w:p>
    <w:p>
      <w:pPr>
        <w:autoSpaceDN w:val="0"/>
        <w:ind w:firstLine="647"/>
        <w:jc w:val="left"/>
        <w:rPr>
          <w:rFonts w:ascii="宋体" w:hAnsi="宋体" w:eastAsia="宋体"/>
          <w:color w:val="000000"/>
          <w:sz w:val="21"/>
        </w:rPr>
      </w:pPr>
    </w:p>
    <w:p>
      <w:pPr>
        <w:autoSpaceDN w:val="0"/>
        <w:spacing w:line="560" w:lineRule="exact"/>
        <w:ind w:firstLine="420"/>
        <w:jc w:val="left"/>
        <w:rPr>
          <w:rFonts w:ascii="宋体" w:hAnsi="宋体" w:eastAsia="宋体"/>
          <w:color w:val="000000"/>
          <w:sz w:val="21"/>
        </w:rPr>
      </w:pPr>
    </w:p>
    <w:p>
      <w:pPr>
        <w:wordWrap w:val="0"/>
        <w:autoSpaceDN w:val="0"/>
        <w:spacing w:line="560" w:lineRule="exact"/>
        <w:ind w:firstLine="647"/>
        <w:jc w:val="right"/>
        <w:rPr>
          <w:rFonts w:hint="eastAsia" w:ascii="宋体" w:hAnsi="宋体" w:eastAsia="宋体"/>
          <w:color w:val="000000"/>
          <w:sz w:val="21"/>
        </w:rPr>
      </w:pPr>
      <w:r>
        <w:rPr>
          <w:rFonts w:hint="eastAsia" w:ascii="仿宋_GB2312" w:hAnsi="仿宋_GB2312"/>
          <w:color w:val="000000"/>
          <w:lang w:eastAsia="zh-CN"/>
        </w:rPr>
        <w:t>美湖</w:t>
      </w:r>
      <w:r>
        <w:rPr>
          <w:rFonts w:ascii="仿宋_GB2312" w:hAnsi="仿宋_GB2312"/>
          <w:color w:val="000000"/>
        </w:rPr>
        <w:t xml:space="preserve">镇人民政府 </w:t>
      </w:r>
      <w:r>
        <w:rPr>
          <w:rFonts w:hint="eastAsia" w:ascii="仿宋_GB2312" w:hAnsi="仿宋_GB2312"/>
          <w:color w:val="000000"/>
        </w:rPr>
        <w:t xml:space="preserve">  </w:t>
      </w:r>
    </w:p>
    <w:p>
      <w:pPr>
        <w:ind w:firstLine="5440" w:firstLineChars="1700"/>
      </w:pPr>
      <w:r>
        <w:rPr>
          <w:rFonts w:hint="default" w:ascii="Times New Roman" w:hAnsi="Times New Roman" w:cs="Times New Roman"/>
          <w:color w:val="000000"/>
        </w:rPr>
        <w:t>201</w:t>
      </w:r>
      <w:r>
        <w:rPr>
          <w:rFonts w:hint="default" w:ascii="Times New Roman" w:hAnsi="Times New Roman" w:cs="Times New Roman"/>
          <w:color w:val="000000"/>
          <w:lang w:val="en-US" w:eastAsia="zh-CN"/>
        </w:rPr>
        <w:t>9</w:t>
      </w:r>
      <w:r>
        <w:rPr>
          <w:rFonts w:ascii="仿宋_GB2312" w:hAnsi="仿宋_GB2312"/>
          <w:color w:val="000000"/>
        </w:rPr>
        <w:t>年</w:t>
      </w:r>
      <w:r>
        <w:rPr>
          <w:rFonts w:hint="default" w:ascii="Times New Roman" w:hAnsi="Times New Roman" w:cs="Times New Roman"/>
          <w:color w:val="000000"/>
        </w:rPr>
        <w:t>1</w:t>
      </w:r>
      <w:r>
        <w:rPr>
          <w:rFonts w:hint="eastAsia" w:ascii="Times New Roman" w:hAnsi="Times New Roman" w:cs="Times New Roman"/>
          <w:color w:val="000000"/>
          <w:lang w:val="en-US" w:eastAsia="zh-CN"/>
        </w:rPr>
        <w:t>2</w:t>
      </w:r>
      <w:r>
        <w:rPr>
          <w:rFonts w:ascii="仿宋_GB2312" w:hAnsi="仿宋_GB2312"/>
          <w:color w:val="000000"/>
        </w:rPr>
        <w:t>月</w:t>
      </w:r>
      <w:r>
        <w:rPr>
          <w:rFonts w:hint="eastAsia" w:ascii="Times New Roman" w:hAnsi="Times New Roman" w:cs="Times New Roman"/>
          <w:color w:val="000000"/>
          <w:lang w:val="en-US" w:eastAsia="zh-CN"/>
        </w:rPr>
        <w:t>31</w:t>
      </w:r>
      <w:r>
        <w:rPr>
          <w:rFonts w:ascii="仿宋_GB2312" w:hAnsi="仿宋_GB2312"/>
          <w:color w:val="000000"/>
        </w:rPr>
        <w:t>日</w:t>
      </w:r>
      <w:r>
        <w:rPr>
          <w:rFonts w:hint="eastAsia" w:ascii="仿宋_GB2312" w:hAnsi="仿宋_GB2312"/>
          <w:color w:val="00000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3A7A6"/>
    <w:multiLevelType w:val="singleLevel"/>
    <w:tmpl w:val="A2C3A7A6"/>
    <w:lvl w:ilvl="0" w:tentative="0">
      <w:start w:val="1"/>
      <w:numFmt w:val="chineseCounting"/>
      <w:suff w:val="nothing"/>
      <w:lvlText w:val="（%1）"/>
      <w:lvlJc w:val="left"/>
      <w:rPr>
        <w:rFonts w:hint="eastAsia"/>
      </w:rPr>
    </w:lvl>
  </w:abstractNum>
  <w:abstractNum w:abstractNumId="1">
    <w:nsid w:val="52CCB793"/>
    <w:multiLevelType w:val="singleLevel"/>
    <w:tmpl w:val="52CCB7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26726"/>
    <w:rsid w:val="228C1A67"/>
    <w:rsid w:val="2C155121"/>
    <w:rsid w:val="41CE0F50"/>
    <w:rsid w:val="5F77331E"/>
    <w:rsid w:val="6B4D39A1"/>
    <w:rsid w:val="7243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WPS_1554685018</cp:lastModifiedBy>
  <dcterms:modified xsi:type="dcterms:W3CDTF">2021-05-13T15:19:14Z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