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春政〔20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春美乡2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020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年政府信息公开年度报告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本年报根据《中华人民共和国政府信息公开条例》（以下简称《条例》）</w:t>
      </w:r>
      <w:r>
        <w:rPr>
          <w:rFonts w:hint="eastAsia" w:eastAsia="仿宋_GB2312" w:cs="Times New Roman"/>
          <w:sz w:val="32"/>
          <w:szCs w:val="32"/>
          <w:lang w:eastAsia="zh-CN"/>
        </w:rPr>
        <w:t>、《福建省政府信息公开办法》（以下简称《办法》）和《德化县政府信息公开办法》要求，我乡编制完成了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2020年政府信息公开工作年度报告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政府信息公开和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政务公开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主要开展了以下几个方面的工作：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  <w:t>主动公开情况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认真贯彻落实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《德化县人民政府办公室关于印发20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年政务公开主要任务分解表的通知》等要求，不断健全政府信息公开和依申请公开、保密审查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等制度规定，同时通过互联网主动公开政府信息，充分发挥政府信息对人民群众生活和经济社会活动的服务作用，扎实稳步推进政府信息公开工作。全乡20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年度共主动公开政府信息1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条，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其中突发事件类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2份，申请资金补助3份，人事2份，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ab/>
        <w:t>注销公告4份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规范性文件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全文电子化率达100%。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 xml:space="preserve">依申请公开情况 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2020年度，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我乡未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收到依申请案件数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 xml:space="preserve">政府信息管理情况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建立政府信息公开长效机制，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明确分管领导和工作人员，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负责全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政府信息公开工作，党政办公室为主管部门，负责协调、推进全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政府信息公开工作，确保政府信息公开工作有序开展。坚持信息内容“规范、及时、真实”的原则，抓好信息公开各项制度的落实，认真对拟进行公开的政府信息由近及远开展梳理，分阶段逐步明确政府信息的公开属性，按照主动公开、依申请公开、不予公开的政府信息分类要求，坚持以主动公开为原则，精心编制目录、索引号编码，不断完善和改进政府信息公开的结构和内容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eastAsia="楷体_GB2312" w:cs="Times New Roman"/>
          <w:color w:val="000000"/>
          <w:kern w:val="0"/>
          <w:sz w:val="32"/>
          <w:szCs w:val="32"/>
          <w:lang w:eastAsia="zh-CN"/>
        </w:rPr>
        <w:t xml:space="preserve">（四）平台建设情况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完善政府信息公开平台建设，完善规范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春美乡微信公众号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使用和管理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，进一步发挥政务新媒体的灵活便捷优势，做好政务公开工作。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监督保障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建立政府信息公开审批制度，严格按照相关部门提交信息公开内容，信息公开工作人员审核，党政办分管领导审批的程序进行公开，做到信息公开合理、合法、有度，确保国家和政府机密不泄漏。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主动公开政府信息情况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1559"/>
        <w:gridCol w:w="174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本年新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制作数量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本年新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公开数量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对外公开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总数量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规章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规范性文件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行政许可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其他对外管理服务事项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上一年项目数量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本年增/减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行政处罚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行政强制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上一年项目数量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本年增/减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行政事业性收费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3" w:type="dxa"/>
            <w:gridSpan w:val="4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第二十条第（九）项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采购项目数量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采购总金额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政府集中采购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3878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17730元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4813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43"/>
        <w:gridCol w:w="2151"/>
        <w:gridCol w:w="553"/>
        <w:gridCol w:w="629"/>
        <w:gridCol w:w="629"/>
        <w:gridCol w:w="790"/>
        <w:gridCol w:w="790"/>
        <w:gridCol w:w="558"/>
        <w:gridCol w:w="5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pct"/>
            <w:gridSpan w:val="3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2517" w:type="pct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申请人情况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pct"/>
            <w:gridSpan w:val="3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自然人</w:t>
            </w:r>
          </w:p>
        </w:tc>
        <w:tc>
          <w:tcPr>
            <w:tcW w:w="1900" w:type="pct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法人或其他组织</w:t>
            </w:r>
          </w:p>
        </w:tc>
        <w:tc>
          <w:tcPr>
            <w:tcW w:w="306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482" w:type="pct"/>
            <w:gridSpan w:val="3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09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商业企业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科研机构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社会公益组织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法律服务机构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其他</w:t>
            </w:r>
          </w:p>
        </w:tc>
        <w:tc>
          <w:tcPr>
            <w:tcW w:w="30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一、本年新收政府信息公开申请数量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二、上年结转政府信息公开申请数量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三、本年度办理结果</w:t>
            </w:r>
          </w:p>
        </w:tc>
        <w:tc>
          <w:tcPr>
            <w:tcW w:w="1786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（一）予以公开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6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（二）部分公开（区分处理的，只计这一情形，不计其他情形）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（三）不予公开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1.属于国家秘密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2.其他法律行政法规禁止公开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3.危及“三安全一稳定”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5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44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306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4.保护第三方合法权益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5.属于三类内部事务信息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6.属于四类过程性信息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7.属于行政执法案卷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8.属于行政查询事项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（四）无法提供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1.本机关不掌握相关政府信息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2.没有现成信息需要另行制作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3.补正后申请内容仍不明确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（五）不予处理</w:t>
            </w: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1.信访举报投诉类申请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2.重复申请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3.要求提供公开出版物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4.无正当理由大量反复申请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83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0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6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（六）其他处理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pct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786" w:type="pct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（七）总计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2" w:type="pct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四、结转下年度继续办理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62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79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  <w:tc>
          <w:tcPr>
            <w:tcW w:w="55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0"/>
                <w:szCs w:val="30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585"/>
        <w:gridCol w:w="540"/>
        <w:gridCol w:w="615"/>
        <w:gridCol w:w="615"/>
        <w:gridCol w:w="694"/>
        <w:gridCol w:w="568"/>
        <w:gridCol w:w="568"/>
        <w:gridCol w:w="568"/>
        <w:gridCol w:w="647"/>
        <w:gridCol w:w="489"/>
        <w:gridCol w:w="568"/>
        <w:gridCol w:w="568"/>
        <w:gridCol w:w="569"/>
        <w:gridCol w:w="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5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5925" w:type="dxa"/>
            <w:gridSpan w:val="10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8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40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61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615" w:type="dxa"/>
            <w:vMerge w:val="restart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3045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未经复议直接起诉</w:t>
            </w:r>
          </w:p>
        </w:tc>
        <w:tc>
          <w:tcPr>
            <w:tcW w:w="2880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复议后起诉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0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vMerge w:val="continue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94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647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  <w:tc>
          <w:tcPr>
            <w:tcW w:w="489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其他结果</w:t>
            </w:r>
          </w:p>
        </w:tc>
        <w:tc>
          <w:tcPr>
            <w:tcW w:w="569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尚未审结</w:t>
            </w:r>
          </w:p>
        </w:tc>
        <w:tc>
          <w:tcPr>
            <w:tcW w:w="686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5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40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5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15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4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7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89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2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存在的主要问题。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是主动公开的信息内容不够及时和完善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；二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对应于公开或不予公开的，把握不够准确，一定程度上影响了信息公开的高效开展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5"/>
          <w:szCs w:val="25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none"/>
        </w:rPr>
        <w:t>（二）改进情况。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加强对政府信息公开的监督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明确责任人和时间节点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，提高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</w:rPr>
        <w:t>信息公开内容的完整性和时效性；二是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shd w:val="clear" w:color="auto" w:fill="FFFFFF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shd w:val="clear" w:color="auto" w:fill="FFFFFF"/>
        </w:rPr>
        <w:t>信息工作队伍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u w:val="none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shd w:val="clear" w:color="auto" w:fill="FFFFFF"/>
          <w:lang w:eastAsia="zh-CN"/>
        </w:rPr>
        <w:t>业务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shd w:val="clear" w:color="auto" w:fill="FFFFFF"/>
        </w:rPr>
        <w:t>培训，提高工作人员的意识，增强运用规范化流程推动政府信息公开的自觉性，增强对予公开和不予公开的信息定性的掌握尺度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u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20" w:lineRule="exact"/>
        <w:ind w:left="0" w:firstLine="645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、其他需要报告的事项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026" w:leftChars="273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春美乡人民政府</w:t>
      </w:r>
      <w:r>
        <w:rPr>
          <w:rFonts w:hint="default" w:ascii="Times New Roman" w:hAnsi="Times New Roman" w:cs="Times New Roman"/>
          <w:color w:val="000000"/>
          <w:kern w:val="0"/>
          <w:sz w:val="36"/>
          <w:szCs w:val="36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026" w:leftChars="273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026" w:leftChars="2736" w:hanging="1280" w:hanging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/>
    <w:p/>
    <w:tbl>
      <w:tblPr>
        <w:tblStyle w:val="5"/>
        <w:tblpPr w:leftFromText="180" w:rightFromText="180" w:vertAnchor="text" w:horzAnchor="page" w:tblpX="1525" w:tblpY="16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60" w:lineRule="exact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春美乡党政办公室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sectPr>
          <w:footerReference r:id="rId3" w:type="default"/>
          <w:pgSz w:w="11906" w:h="16838"/>
          <w:pgMar w:top="1417" w:right="1417" w:bottom="1417" w:left="141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9BB94"/>
    <w:multiLevelType w:val="singleLevel"/>
    <w:tmpl w:val="8779BB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F5254D"/>
    <w:multiLevelType w:val="singleLevel"/>
    <w:tmpl w:val="2BF5254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5FDF4B2"/>
    <w:multiLevelType w:val="singleLevel"/>
    <w:tmpl w:val="35FDF4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D0171"/>
    <w:rsid w:val="04D97302"/>
    <w:rsid w:val="08143419"/>
    <w:rsid w:val="08C90FFC"/>
    <w:rsid w:val="092E665D"/>
    <w:rsid w:val="0A583A3C"/>
    <w:rsid w:val="15BC04B8"/>
    <w:rsid w:val="15F67361"/>
    <w:rsid w:val="1A7A395A"/>
    <w:rsid w:val="1D073468"/>
    <w:rsid w:val="2227605F"/>
    <w:rsid w:val="22494B77"/>
    <w:rsid w:val="22AB3BEA"/>
    <w:rsid w:val="22E65616"/>
    <w:rsid w:val="25D67923"/>
    <w:rsid w:val="26A04586"/>
    <w:rsid w:val="2AF75572"/>
    <w:rsid w:val="2BEA0C11"/>
    <w:rsid w:val="2E21287A"/>
    <w:rsid w:val="34AC1A25"/>
    <w:rsid w:val="38ED76E9"/>
    <w:rsid w:val="3C5F1FD6"/>
    <w:rsid w:val="3D5D0171"/>
    <w:rsid w:val="48DE04C1"/>
    <w:rsid w:val="49E377AE"/>
    <w:rsid w:val="4A5F5025"/>
    <w:rsid w:val="4AED6981"/>
    <w:rsid w:val="51946F34"/>
    <w:rsid w:val="55B75252"/>
    <w:rsid w:val="5B9E58FE"/>
    <w:rsid w:val="5BAC28E5"/>
    <w:rsid w:val="5E8E58E6"/>
    <w:rsid w:val="62405242"/>
    <w:rsid w:val="63A2481B"/>
    <w:rsid w:val="64B9536F"/>
    <w:rsid w:val="6A377D7C"/>
    <w:rsid w:val="6D924E8E"/>
    <w:rsid w:val="6DDA4AF1"/>
    <w:rsid w:val="6E0A7395"/>
    <w:rsid w:val="71741466"/>
    <w:rsid w:val="71FA1208"/>
    <w:rsid w:val="77A62724"/>
    <w:rsid w:val="78B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05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2019-12-30T05:37:00Z</dcterms:created>
  <dc:creator>苓</dc:creator>
  <cp:lastModifiedBy>임지제</cp:lastModifiedBy>
  <dcterms:modified xsi:type="dcterms:W3CDTF">2021-04-19T02:57:11Z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4AC7C4F7D529411FA232BFDE17D540B9</vt:lpwstr>
  </property>
</Properties>
</file>