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E w:val="0"/>
        <w:autoSpaceDN w:val="0"/>
        <w:spacing w:line="570" w:lineRule="exact"/>
        <w:ind w:firstLine="0" w:firstLineChars="0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>
      <w:pPr>
        <w:autoSpaceDE w:val="0"/>
        <w:autoSpaceDN w:val="0"/>
        <w:spacing w:line="560" w:lineRule="exact"/>
        <w:ind w:firstLine="0" w:firstLineChars="0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德化县龙浔镇招商产业园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二期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土地征收</w:t>
      </w:r>
    </w:p>
    <w:p>
      <w:pPr>
        <w:autoSpaceDE w:val="0"/>
        <w:autoSpaceDN w:val="0"/>
        <w:spacing w:line="560" w:lineRule="exact"/>
        <w:ind w:firstLine="0" w:firstLineChars="0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成片开发方案（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草案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）</w:t>
      </w:r>
    </w:p>
    <w:p>
      <w:pPr>
        <w:autoSpaceDE w:val="0"/>
        <w:autoSpaceDN w:val="0"/>
        <w:spacing w:line="550" w:lineRule="exact"/>
        <w:ind w:firstLine="643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一、编制依据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依据德化县国民经济和社会发展规划、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年度计划、《德化县土地利用总体规划（2006-2020年）》、《德化县城市总体规划修编（2008-2020）》和《德化县龙浔镇招商产业园控制性详细规划》，编制《德化县龙浔镇招商产业园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土地征收成片开发方案（草案）》。</w:t>
      </w:r>
    </w:p>
    <w:p>
      <w:pPr>
        <w:autoSpaceDE w:val="0"/>
        <w:autoSpaceDN w:val="0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二、基本情况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本次成片开发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 w:bidi="ar-SA"/>
        </w:rPr>
        <w:t>区域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位于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德化县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龙浔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镇丁墘村、宝美村，涉及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个镇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个村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1个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国有单位。成片开发总面积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12.8661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公顷。</w:t>
      </w:r>
    </w:p>
    <w:p>
      <w:pPr>
        <w:autoSpaceDE w:val="0"/>
        <w:autoSpaceDN w:val="0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三、项目的</w:t>
      </w:r>
      <w:r>
        <w:rPr>
          <w:rFonts w:hint="eastAsia" w:ascii="黑体" w:hAnsi="黑体" w:eastAsia="黑体" w:cs="黑体"/>
          <w:sz w:val="32"/>
          <w:szCs w:val="32"/>
        </w:rPr>
        <w:t>必要性</w:t>
      </w:r>
    </w:p>
    <w:p>
      <w:pPr>
        <w:pStyle w:val="7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本项目所在区域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规划功能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定位为以陶瓷产业为主导的生态产业示范组团。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对进一步扩大城区范围、增强城区的辐射带动能力，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促进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我县经济社会发展具有重大的意义。</w:t>
      </w:r>
    </w:p>
    <w:p>
      <w:pPr>
        <w:pStyle w:val="7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（一）带动陶瓷产业发展,为经济发展注入新的活力</w:t>
      </w:r>
    </w:p>
    <w:p>
      <w:pPr>
        <w:pStyle w:val="7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龙浔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招商产业园定位以陶瓷制造业为主导，集生产、研发、展示于一体的产业集中集约工业组团。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引进新材料、新技术和新的销售模式，装配智能化设备、机器人数字化生产线，依托一线品牌和现代化智慧工厂管理理念及管理经验，以创新带动德化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 w:bidi="ar-SA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陶瓷产业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升级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发展，进而带动相关产业的发展，为德化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 w:bidi="ar-SA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经济发展注入新的活力。</w:t>
      </w:r>
    </w:p>
    <w:p>
      <w:pPr>
        <w:pStyle w:val="7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（二）加快陶瓷产业集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聚</w:t>
      </w: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，推进城南片区发展</w:t>
      </w:r>
    </w:p>
    <w:p>
      <w:pPr>
        <w:pStyle w:val="7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本次成片开发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 w:bidi="ar-SA"/>
        </w:rPr>
        <w:t>区域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紧邻招商产业园一期，产业的集聚将加快推动园区标准化、智慧化提升，营造良好产业发展环境。通过本次成片开发，有利于调大总量、调全种类、调强特色，注重产品创新开发，推动产品向薄型化、功能性和工业陶瓷发展，拓宽城市发展空间，提升瓷都品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城市形象，推进德化县城南开发区发展。</w:t>
      </w:r>
    </w:p>
    <w:p>
      <w:pPr>
        <w:pStyle w:val="7"/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（三）充分利用有限土地资源，提高土地利用集约化水平</w:t>
      </w:r>
    </w:p>
    <w:p>
      <w:pPr>
        <w:pStyle w:val="2"/>
        <w:spacing w:line="560" w:lineRule="exact"/>
        <w:ind w:firstLine="640"/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本次成片开发区域内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多为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山体林地，土地利用不充分，对土地资源日益紧张的城市建设来说是一种资源浪费。本次成片开发依据城市规划，合理确定不同功能地块的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开发强度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，通过成片开发的实施，带动周边大面积土地升值，提高土地利用集约化水平。</w:t>
      </w:r>
    </w:p>
    <w:p>
      <w:pPr>
        <w:autoSpaceDE w:val="0"/>
        <w:autoSpaceDN w:val="0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四、功能分析</w:t>
      </w:r>
    </w:p>
    <w:p>
      <w:pPr>
        <w:pStyle w:val="2"/>
        <w:spacing w:line="560" w:lineRule="exact"/>
        <w:ind w:firstLine="640"/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主要用途：本次成片开发区域主要为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工业用地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。</w:t>
      </w:r>
    </w:p>
    <w:p>
      <w:pPr>
        <w:pStyle w:val="2"/>
        <w:spacing w:line="560" w:lineRule="exact"/>
        <w:ind w:firstLine="640"/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成片开发范围内规划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工矿用地7.5947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公顷，绿地与开敞空间用地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4.5459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公顷，交通运输用地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0.7255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公顷。</w:t>
      </w:r>
    </w:p>
    <w:p>
      <w:pPr>
        <w:pStyle w:val="2"/>
        <w:spacing w:line="560" w:lineRule="exact"/>
        <w:ind w:firstLine="640"/>
        <w:rPr>
          <w:rFonts w:hint="default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实现功能：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片区开发对解决当前工业用地供需矛盾，打造陶瓷产业集群，服务传统陶瓷产业发展转型升级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将起较大促进作用。</w:t>
      </w:r>
    </w:p>
    <w:p>
      <w:pPr>
        <w:autoSpaceDE w:val="0"/>
        <w:autoSpaceDN w:val="0"/>
        <w:spacing w:line="560" w:lineRule="exact"/>
        <w:ind w:firstLine="64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五、项目的公建配比情况</w:t>
      </w:r>
    </w:p>
    <w:p>
      <w:pPr>
        <w:pStyle w:val="2"/>
        <w:spacing w:line="550" w:lineRule="exact"/>
        <w:ind w:firstLine="560"/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本次土地征收成片开发范围内，公益性用地面积5.2714公顷，占用地总面积的40.97%，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符合自然资规〔2020〕5号文公益性用地占比一般不低于40%的规定。</w:t>
      </w:r>
    </w:p>
    <w:p>
      <w:pPr>
        <w:autoSpaceDE w:val="0"/>
        <w:autoSpaceDN w:val="0"/>
        <w:spacing w:line="560" w:lineRule="exact"/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六、效益评估</w:t>
      </w:r>
    </w:p>
    <w:p>
      <w:pPr>
        <w:pStyle w:val="2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Toc3088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（一）土地利用效益</w:t>
      </w:r>
      <w:bookmarkEnd w:id="0"/>
    </w:p>
    <w:p>
      <w:pPr>
        <w:pStyle w:val="2"/>
        <w:spacing w:line="550" w:lineRule="exact"/>
        <w:ind w:firstLine="560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德化县陶瓷加工制造属于六类十四等的非金属矿物制品业，要求投资强度≥1088万元/公顷。片区内规划工业项目容积率1.0-3.0，建筑高度限高24米，通过本次成片开发，合理配置土地资源，科学规划，有效提升土地利用效率。确保拟入驻企业工业用地固投强度、工业用地地均税收等各项指标不低于德化县平均水平及省规定要求。</w:t>
      </w:r>
    </w:p>
    <w:p>
      <w:pPr>
        <w:pStyle w:val="2"/>
        <w:spacing w:line="560" w:lineRule="exact"/>
        <w:ind w:firstLine="64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（二）经济效益</w:t>
      </w:r>
    </w:p>
    <w:p>
      <w:pPr>
        <w:pStyle w:val="2"/>
        <w:spacing w:line="550" w:lineRule="exact"/>
        <w:ind w:firstLine="560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本次成片开发可供出让工业用地面积7.5947公顷，项目计划投资约3亿元，实现年产值约3.5亿元，年创造税利约4000万元。本项目实施可进一步壮大德化城南区经济实力、增加就业岗位、带动相关产业发展，为地方财政创造新的财源。</w:t>
      </w:r>
    </w:p>
    <w:p>
      <w:pPr>
        <w:pStyle w:val="2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（三）社会效益</w:t>
      </w:r>
    </w:p>
    <w:p>
      <w:pPr>
        <w:pStyle w:val="2"/>
        <w:spacing w:line="550" w:lineRule="exact"/>
        <w:ind w:firstLine="560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本次成片开发社会效益较为显著：一是建成后将推动区域陶瓷产业的持续发展，园区建成后预计可提供就业岗位300个，使被征地农民的长远生计有保障；二是成片开发的实施有利于推动德化城市化进程，市政公建设施的集中配建，将促进第三产业发展，对改善投资环境，提升区域品质起到重要作用。</w:t>
      </w:r>
    </w:p>
    <w:p>
      <w:pPr>
        <w:pStyle w:val="2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（四）生态效益</w:t>
      </w:r>
    </w:p>
    <w:p>
      <w:pPr>
        <w:pStyle w:val="2"/>
        <w:spacing w:line="550" w:lineRule="exact"/>
        <w:ind w:firstLine="560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本次成片开发生态效益较为显著，主要体现在以下三个方面：一是注重生态保护。根据区域生态环境现状调查，本次成片开发范围内不涉及生态保护红线等生态价值高、需要严格保护的区域，也未发现受国家及省市重点保护的文物古迹、古树名木等以及其它需要特殊保护的目标；二是注重绿地配套。本次成片开发尽量保留原有绿地，规划建设绿地与开敞空间用地4.5459公顷，建成后可有效改善区域生态环境；三是注重环境保护。要求引进的陶瓷工业项目采用科学环保节能的生产工艺，排出的废气经处理达标后排放，生产及生活污水纳入城市污水管网，进入县污水厂处理。</w:t>
      </w:r>
    </w:p>
    <w:p>
      <w:pPr>
        <w:autoSpaceDE w:val="0"/>
        <w:autoSpaceDN w:val="0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七、永久基本农田及生态保护情况</w:t>
      </w:r>
    </w:p>
    <w:p>
      <w:pPr>
        <w:pStyle w:val="2"/>
        <w:spacing w:line="550" w:lineRule="exact"/>
        <w:ind w:firstLine="560"/>
        <w:rPr>
          <w:rFonts w:asciiTheme="minorEastAsia" w:hAnsiTheme="minorEastAsia" w:eastAsiaTheme="minorEastAsia" w:cstheme="minorEastAsia"/>
          <w:szCs w:val="28"/>
          <w:lang w:val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t>本次成开发范围不涉及占用永久基本农田、生态保护红线、自然保护地、生态公益林、饮用水源保护地等法律法规规定需严格保护的区域。</w:t>
      </w:r>
    </w:p>
    <w:p>
      <w:pPr>
        <w:pStyle w:val="2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八、结论</w:t>
      </w:r>
    </w:p>
    <w:p>
      <w:pPr>
        <w:pStyle w:val="2"/>
        <w:spacing w:line="550" w:lineRule="exact"/>
        <w:ind w:firstLine="560"/>
        <w:rPr>
          <w:rFonts w:hint="eastAsia" w:ascii="仿宋_GB2312" w:hAnsi="仿宋_GB2312" w:cs="仿宋_GB2312"/>
          <w:kern w:val="0"/>
          <w:sz w:val="32"/>
          <w:szCs w:val="32"/>
          <w:lang w:val="zh-CN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《德化县龙浔镇招商产业园二期土地征收成片开发方案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（草案）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》符合土地征收成片开发的报批要求。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971722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3067C"/>
    <w:rsid w:val="00DB2E32"/>
    <w:rsid w:val="09664576"/>
    <w:rsid w:val="14CF66E2"/>
    <w:rsid w:val="159679A0"/>
    <w:rsid w:val="1778428B"/>
    <w:rsid w:val="1E6443E8"/>
    <w:rsid w:val="206D336C"/>
    <w:rsid w:val="21173128"/>
    <w:rsid w:val="29EB4AA2"/>
    <w:rsid w:val="2A207DB6"/>
    <w:rsid w:val="2FC367A5"/>
    <w:rsid w:val="342554A3"/>
    <w:rsid w:val="3F93067C"/>
    <w:rsid w:val="44E83430"/>
    <w:rsid w:val="466E5D39"/>
    <w:rsid w:val="4A2B197F"/>
    <w:rsid w:val="4BF22187"/>
    <w:rsid w:val="4BFD262A"/>
    <w:rsid w:val="4ECC6083"/>
    <w:rsid w:val="52CF0C8B"/>
    <w:rsid w:val="5B105994"/>
    <w:rsid w:val="5D3820CA"/>
    <w:rsid w:val="7D421CC4"/>
    <w:rsid w:val="7FBE6C6F"/>
    <w:rsid w:val="7FC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正文样式"/>
    <w:basedOn w:val="1"/>
    <w:qFormat/>
    <w:uiPriority w:val="0"/>
    <w:pPr>
      <w:ind w:firstLine="560"/>
    </w:pPr>
    <w:rPr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2022-12-03T09:03:00Z</dcterms:created>
  <dc:creator>Administrator</dc:creator>
  <cp:lastModifiedBy>Administrator</cp:lastModifiedBy>
  <dcterms:modified xsi:type="dcterms:W3CDTF">2022-12-08T07:19:49Z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