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ascii="黑体" w:hAnsi="黑体" w:eastAsia="黑体" w:cs="黑体"/>
          <w:sz w:val="32"/>
          <w:szCs w:val="32"/>
        </w:rPr>
      </w:pPr>
      <w:bookmarkStart w:id="0" w:name="_Toc80371347"/>
      <w:bookmarkStart w:id="1" w:name="_Toc87283231"/>
      <w:bookmarkStart w:id="2" w:name="_Toc87283228"/>
      <w:bookmarkStart w:id="3" w:name="_Toc80371344"/>
      <w:r>
        <w:rPr>
          <w:rFonts w:hint="eastAsia" w:ascii="黑体" w:hAnsi="黑体" w:eastAsia="黑体" w:cs="黑体"/>
          <w:sz w:val="32"/>
          <w:szCs w:val="32"/>
        </w:rPr>
        <w:t>附件1</w:t>
      </w:r>
    </w:p>
    <w:p>
      <w:pPr>
        <w:pStyle w:val="10"/>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firstLine="0" w:firstLineChars="0"/>
        <w:jc w:val="both"/>
        <w:textAlignment w:val="auto"/>
        <w:outlineLvl w:val="9"/>
        <w:rPr>
          <w:rFonts w:hint="eastAsia" w:ascii="方正小标宋简体" w:hAnsi="宋体" w:eastAsia="方正小标宋简体" w:cs="方正小标宋简体"/>
          <w:b w:val="0"/>
          <w:bCs w:val="0"/>
          <w:color w:val="000000" w:themeColor="text1"/>
          <w:kern w:val="2"/>
          <w:sz w:val="44"/>
          <w:szCs w:val="44"/>
          <w:lang w:val="en-US" w:eastAsia="zh-CN" w:bidi="ar-SA"/>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jc w:val="center"/>
        <w:textAlignment w:val="auto"/>
        <w:rPr>
          <w:rFonts w:hint="eastAsia"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德化县龙浔镇招商产业园土地征收成片</w:t>
      </w:r>
    </w:p>
    <w:p>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jc w:val="center"/>
        <w:textAlignment w:val="auto"/>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开发方案（草案）</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eastAsia" w:ascii="黑体" w:hAnsi="黑体" w:eastAsia="黑体" w:cstheme="majorEastAsia"/>
          <w:b w:val="0"/>
          <w:bCs w:val="0"/>
        </w:rPr>
      </w:pPr>
    </w:p>
    <w:bookmarkEnd w:id="0"/>
    <w:bookmarkEnd w:id="1"/>
    <w:bookmarkEnd w:id="2"/>
    <w:bookmarkEnd w:id="3"/>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ascii="黑体" w:hAnsi="黑体" w:eastAsia="黑体" w:cs="黑体"/>
          <w:b w:val="0"/>
          <w:bCs w:val="0"/>
          <w:sz w:val="32"/>
          <w:szCs w:val="32"/>
        </w:rPr>
      </w:pPr>
      <w:r>
        <w:rPr>
          <w:rFonts w:hint="eastAsia" w:ascii="黑体" w:hAnsi="黑体" w:eastAsia="黑体" w:cs="黑体"/>
          <w:b w:val="0"/>
          <w:bCs w:val="0"/>
          <w:sz w:val="32"/>
          <w:szCs w:val="32"/>
        </w:rPr>
        <w:t>一、编制依据</w:t>
      </w:r>
    </w:p>
    <w:p>
      <w:pPr>
        <w:pStyle w:val="8"/>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依据德化县国民经济和社会发展规划、年度计划、《德化县土地利用总体规划》（2006-2020年）、《德化县城市总体规划修编》（2008-2020）和《德化县龙浔镇招商产业园控制性详细规划》，编制《德化县龙浔镇招商产业园土地征收成片开发方案</w:t>
      </w:r>
      <w:r>
        <w:rPr>
          <w:rFonts w:hint="eastAsia" w:ascii="仿宋_GB2312" w:hAnsi="仿宋_GB2312" w:eastAsia="仿宋_GB2312" w:cs="仿宋_GB2312"/>
          <w:sz w:val="32"/>
          <w:szCs w:val="32"/>
          <w:lang w:val="en-US" w:eastAsia="zh-CN"/>
        </w:rPr>
        <w:t>(草案）</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二、基本情况</w:t>
      </w:r>
    </w:p>
    <w:p>
      <w:pPr>
        <w:pStyle w:val="8"/>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Theme="minorEastAsia" w:hAnsiTheme="minorEastAsia" w:eastAsiaTheme="minorEastAsia" w:cstheme="minorEastAsia"/>
          <w:szCs w:val="28"/>
          <w:lang w:val="zh-CN"/>
        </w:rPr>
      </w:pPr>
      <w:r>
        <w:rPr>
          <w:rFonts w:hint="eastAsia" w:ascii="仿宋_GB2312" w:hAnsi="仿宋_GB2312" w:eastAsia="仿宋_GB2312" w:cs="仿宋_GB2312"/>
          <w:sz w:val="32"/>
          <w:szCs w:val="32"/>
          <w:lang w:val="zh-CN"/>
        </w:rPr>
        <w:t>本次成片开发</w:t>
      </w:r>
      <w:r>
        <w:rPr>
          <w:rFonts w:hint="eastAsia" w:ascii="仿宋_GB2312" w:hAnsi="仿宋_GB2312" w:eastAsia="仿宋_GB2312" w:cs="仿宋_GB2312"/>
          <w:sz w:val="32"/>
          <w:szCs w:val="32"/>
          <w:lang w:val="en-US" w:eastAsia="zh-CN"/>
        </w:rPr>
        <w:t>位于</w:t>
      </w:r>
      <w:r>
        <w:rPr>
          <w:rFonts w:hint="eastAsia" w:ascii="仿宋_GB2312" w:hAnsi="仿宋_GB2312" w:eastAsia="仿宋_GB2312" w:cs="仿宋_GB2312"/>
          <w:sz w:val="32"/>
          <w:szCs w:val="32"/>
          <w:lang w:val="zh-CN"/>
        </w:rPr>
        <w:t>德化县</w:t>
      </w:r>
      <w:r>
        <w:rPr>
          <w:rFonts w:hint="eastAsia" w:ascii="仿宋_GB2312" w:hAnsi="仿宋_GB2312" w:eastAsia="仿宋_GB2312" w:cs="仿宋_GB2312"/>
          <w:sz w:val="32"/>
          <w:szCs w:val="32"/>
          <w:lang w:val="en-US" w:eastAsia="zh-CN"/>
        </w:rPr>
        <w:t>龙浔</w:t>
      </w:r>
      <w:r>
        <w:rPr>
          <w:rFonts w:hint="eastAsia" w:ascii="仿宋_GB2312" w:hAnsi="仿宋_GB2312" w:eastAsia="仿宋_GB2312" w:cs="仿宋_GB2312"/>
          <w:sz w:val="32"/>
          <w:szCs w:val="32"/>
          <w:lang w:val="zh-CN"/>
        </w:rPr>
        <w:t>镇丁墘村、宝美村，涉及</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rPr>
        <w:t>个镇</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rPr>
        <w:t>个村</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val="zh-CN"/>
        </w:rPr>
        <w:t>国有单位。开发总面积2</w:t>
      </w:r>
      <w:r>
        <w:rPr>
          <w:rFonts w:hint="eastAsia" w:ascii="仿宋_GB2312" w:hAnsi="仿宋_GB2312" w:eastAsia="仿宋_GB2312" w:cs="仿宋_GB2312"/>
          <w:sz w:val="32"/>
          <w:szCs w:val="32"/>
          <w:lang w:val="en-US" w:eastAsia="zh-CN"/>
        </w:rPr>
        <w:t>5.9806</w:t>
      </w:r>
      <w:r>
        <w:rPr>
          <w:rFonts w:hint="eastAsia" w:ascii="仿宋_GB2312" w:hAnsi="仿宋_GB2312" w:eastAsia="仿宋_GB2312" w:cs="仿宋_GB2312"/>
          <w:sz w:val="32"/>
          <w:szCs w:val="32"/>
          <w:lang w:val="zh-CN"/>
        </w:rPr>
        <w:t>公顷。</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val="zh-CN"/>
        </w:rPr>
        <w:t>位于德化县南部</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lang w:val="zh-CN"/>
        </w:rPr>
        <w:t>城南老城区交界处，片区东</w:t>
      </w:r>
      <w:r>
        <w:rPr>
          <w:rFonts w:hint="eastAsia" w:ascii="仿宋_GB2312" w:hAnsi="仿宋_GB2312" w:eastAsia="仿宋_GB2312" w:cs="仿宋_GB2312"/>
          <w:sz w:val="32"/>
          <w:szCs w:val="32"/>
          <w:lang w:val="en-US" w:eastAsia="zh-CN"/>
        </w:rPr>
        <w:t>临</w:t>
      </w:r>
      <w:r>
        <w:rPr>
          <w:rFonts w:hint="eastAsia" w:ascii="仿宋_GB2312" w:hAnsi="仿宋_GB2312" w:eastAsia="仿宋_GB2312" w:cs="仿宋_GB2312"/>
          <w:sz w:val="32"/>
          <w:szCs w:val="32"/>
          <w:lang w:val="zh-CN"/>
        </w:rPr>
        <w:t>宝美中小企业创</w:t>
      </w:r>
      <w:r>
        <w:rPr>
          <w:rFonts w:hint="eastAsia" w:ascii="仿宋_GB2312" w:hAnsi="仿宋_GB2312" w:eastAsia="仿宋_GB2312" w:cs="仿宋_GB2312"/>
          <w:sz w:val="32"/>
          <w:szCs w:val="32"/>
          <w:lang w:val="zh-CN" w:eastAsia="zh-CN"/>
        </w:rPr>
        <w:t>业</w:t>
      </w:r>
      <w:r>
        <w:rPr>
          <w:rFonts w:hint="eastAsia" w:ascii="仿宋_GB2312" w:hAnsi="仿宋_GB2312" w:eastAsia="仿宋_GB2312" w:cs="仿宋_GB2312"/>
          <w:sz w:val="32"/>
          <w:szCs w:val="32"/>
          <w:lang w:val="zh-CN"/>
        </w:rPr>
        <w:t>园，</w:t>
      </w:r>
      <w:r>
        <w:rPr>
          <w:rFonts w:hint="eastAsia" w:ascii="仿宋_GB2312" w:hAnsi="仿宋_GB2312" w:eastAsia="仿宋_GB2312" w:cs="仿宋_GB2312"/>
          <w:sz w:val="32"/>
          <w:szCs w:val="32"/>
          <w:lang w:val="en-US" w:eastAsia="zh-CN"/>
        </w:rPr>
        <w:t>西至山体，</w:t>
      </w:r>
      <w:r>
        <w:rPr>
          <w:rFonts w:hint="eastAsia" w:ascii="仿宋_GB2312" w:hAnsi="仿宋_GB2312" w:eastAsia="仿宋_GB2312" w:cs="仿宋_GB2312"/>
          <w:sz w:val="32"/>
          <w:szCs w:val="32"/>
          <w:lang w:val="zh-CN"/>
        </w:rPr>
        <w:t>北</w:t>
      </w:r>
      <w:r>
        <w:rPr>
          <w:rFonts w:hint="eastAsia" w:ascii="仿宋_GB2312" w:hAnsi="仿宋_GB2312" w:eastAsia="仿宋_GB2312" w:cs="仿宋_GB2312"/>
          <w:sz w:val="32"/>
          <w:szCs w:val="32"/>
          <w:lang w:val="en-US" w:eastAsia="zh-CN"/>
        </w:rPr>
        <w:t>接龙浔路</w:t>
      </w:r>
      <w:r>
        <w:rPr>
          <w:rFonts w:hint="eastAsia" w:ascii="仿宋_GB2312" w:hAnsi="仿宋_GB2312" w:eastAsia="仿宋_GB2312" w:cs="仿宋_GB2312"/>
          <w:sz w:val="32"/>
          <w:szCs w:val="32"/>
          <w:lang w:val="zh-CN"/>
        </w:rPr>
        <w:t>，南至二重山脚。</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成片开发必要性</w:t>
      </w:r>
    </w:p>
    <w:p>
      <w:pPr>
        <w:pStyle w:val="8"/>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本项目所在区域</w:t>
      </w:r>
      <w:r>
        <w:rPr>
          <w:rFonts w:hint="eastAsia" w:ascii="仿宋_GB2312" w:hAnsi="仿宋_GB2312" w:eastAsia="仿宋_GB2312" w:cs="仿宋_GB2312"/>
          <w:sz w:val="32"/>
          <w:szCs w:val="32"/>
          <w:lang w:val="en-US" w:eastAsia="zh-CN"/>
        </w:rPr>
        <w:t>规划功能</w:t>
      </w:r>
      <w:r>
        <w:rPr>
          <w:rFonts w:hint="eastAsia" w:ascii="仿宋_GB2312" w:hAnsi="仿宋_GB2312" w:eastAsia="仿宋_GB2312" w:cs="仿宋_GB2312"/>
          <w:sz w:val="32"/>
          <w:szCs w:val="32"/>
          <w:lang w:val="zh-CN" w:eastAsia="zh-CN"/>
        </w:rPr>
        <w:t>定位为以陶瓷产业为主导的生态产业示范组团。</w:t>
      </w:r>
      <w:r>
        <w:rPr>
          <w:rFonts w:hint="eastAsia" w:ascii="仿宋_GB2312" w:hAnsi="仿宋_GB2312" w:eastAsia="仿宋_GB2312" w:cs="仿宋_GB2312"/>
          <w:sz w:val="32"/>
          <w:szCs w:val="32"/>
          <w:lang w:val="en-US" w:eastAsia="zh-CN"/>
        </w:rPr>
        <w:t>项目建设</w:t>
      </w:r>
      <w:r>
        <w:rPr>
          <w:rFonts w:hint="eastAsia" w:ascii="仿宋_GB2312" w:hAnsi="仿宋_GB2312" w:eastAsia="仿宋_GB2312" w:cs="仿宋_GB2312"/>
          <w:sz w:val="32"/>
          <w:szCs w:val="32"/>
          <w:lang w:val="zh-CN" w:eastAsia="zh-CN"/>
        </w:rPr>
        <w:t>对进一步扩大城区范围，增强城区的辐射带动能力，</w:t>
      </w:r>
      <w:r>
        <w:rPr>
          <w:rFonts w:hint="eastAsia" w:ascii="仿宋_GB2312" w:hAnsi="仿宋_GB2312" w:eastAsia="仿宋_GB2312" w:cs="仿宋_GB2312"/>
          <w:sz w:val="32"/>
          <w:szCs w:val="32"/>
          <w:lang w:val="en-US" w:eastAsia="zh-CN"/>
        </w:rPr>
        <w:t>促进</w:t>
      </w:r>
      <w:r>
        <w:rPr>
          <w:rFonts w:hint="eastAsia" w:ascii="仿宋_GB2312" w:hAnsi="仿宋_GB2312" w:eastAsia="仿宋_GB2312" w:cs="仿宋_GB2312"/>
          <w:sz w:val="32"/>
          <w:szCs w:val="32"/>
          <w:lang w:val="zh-CN" w:eastAsia="zh-CN"/>
        </w:rPr>
        <w:t>我县经济社会发展，具有十分重大的意义。</w:t>
      </w:r>
    </w:p>
    <w:p>
      <w:pPr>
        <w:pStyle w:val="8"/>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1.创新带动德化陶瓷产业发展,为经济发展注入新的活力</w:t>
      </w:r>
    </w:p>
    <w:p>
      <w:pPr>
        <w:pStyle w:val="8"/>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龙浔</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val="zh-CN"/>
        </w:rPr>
        <w:t>招商产业园</w:t>
      </w:r>
      <w:r>
        <w:rPr>
          <w:rFonts w:hint="eastAsia" w:ascii="仿宋_GB2312" w:hAnsi="仿宋_GB2312" w:eastAsia="仿宋_GB2312" w:cs="仿宋_GB2312"/>
          <w:sz w:val="32"/>
          <w:szCs w:val="32"/>
          <w:lang w:val="zh-CN" w:eastAsia="zh-CN"/>
        </w:rPr>
        <w:t>定位以陶瓷制造业为主导，集生产、研发、展示于一体的产业集中集约工业组团。</w:t>
      </w:r>
      <w:r>
        <w:rPr>
          <w:rFonts w:hint="eastAsia" w:ascii="仿宋_GB2312" w:hAnsi="仿宋_GB2312" w:eastAsia="仿宋_GB2312" w:cs="仿宋_GB2312"/>
          <w:sz w:val="32"/>
          <w:szCs w:val="32"/>
          <w:lang w:val="en-US" w:eastAsia="zh-CN"/>
        </w:rPr>
        <w:t>计划</w:t>
      </w:r>
      <w:r>
        <w:rPr>
          <w:rFonts w:hint="eastAsia" w:ascii="仿宋_GB2312" w:hAnsi="仿宋_GB2312" w:eastAsia="仿宋_GB2312" w:cs="仿宋_GB2312"/>
          <w:sz w:val="32"/>
          <w:szCs w:val="32"/>
          <w:lang w:val="zh-CN" w:eastAsia="zh-CN"/>
        </w:rPr>
        <w:t>引进新材料、新技术和新的销售模式，以创新带动德化陶瓷产业</w:t>
      </w:r>
      <w:r>
        <w:rPr>
          <w:rFonts w:hint="eastAsia" w:ascii="仿宋_GB2312" w:hAnsi="仿宋_GB2312" w:eastAsia="仿宋_GB2312" w:cs="仿宋_GB2312"/>
          <w:sz w:val="32"/>
          <w:szCs w:val="32"/>
          <w:lang w:val="en-US" w:eastAsia="zh-CN"/>
        </w:rPr>
        <w:t>升级</w:t>
      </w:r>
      <w:r>
        <w:rPr>
          <w:rFonts w:hint="eastAsia" w:ascii="仿宋_GB2312" w:hAnsi="仿宋_GB2312" w:eastAsia="仿宋_GB2312" w:cs="仿宋_GB2312"/>
          <w:sz w:val="32"/>
          <w:szCs w:val="32"/>
          <w:lang w:val="zh-CN" w:eastAsia="zh-CN"/>
        </w:rPr>
        <w:t>发展，进而带动相关产业的发展，为德化经济发展注入新的活力。</w:t>
      </w:r>
    </w:p>
    <w:p>
      <w:pPr>
        <w:pStyle w:val="8"/>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2.提升德化县城市形象，加快推进城南片区产业发展</w:t>
      </w:r>
    </w:p>
    <w:p>
      <w:pPr>
        <w:pStyle w:val="8"/>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本次成片开发位于</w:t>
      </w:r>
      <w:r>
        <w:rPr>
          <w:rFonts w:hint="eastAsia" w:ascii="仿宋_GB2312" w:hAnsi="仿宋_GB2312" w:eastAsia="仿宋_GB2312" w:cs="仿宋_GB2312"/>
          <w:sz w:val="32"/>
          <w:szCs w:val="32"/>
          <w:lang w:val="en-US" w:eastAsia="zh-CN"/>
        </w:rPr>
        <w:t>龙</w:t>
      </w:r>
      <w:r>
        <w:rPr>
          <w:rFonts w:hint="eastAsia" w:ascii="仿宋_GB2312" w:hAnsi="仿宋_GB2312" w:eastAsia="仿宋_GB2312" w:cs="仿宋_GB2312"/>
          <w:sz w:val="32"/>
          <w:szCs w:val="32"/>
          <w:lang w:val="zh-CN" w:eastAsia="zh-CN"/>
        </w:rPr>
        <w:t>浔镇丁墘村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宝美村</w:t>
      </w:r>
      <w:r>
        <w:rPr>
          <w:rFonts w:hint="eastAsia" w:ascii="仿宋_GB2312" w:hAnsi="仿宋_GB2312" w:eastAsia="仿宋_GB2312" w:cs="仿宋_GB2312"/>
          <w:sz w:val="32"/>
          <w:szCs w:val="32"/>
          <w:lang w:val="zh-CN" w:eastAsia="zh-CN"/>
        </w:rPr>
        <w:t>，通过科学合理规划，完善基础设施配置，与</w:t>
      </w:r>
      <w:r>
        <w:rPr>
          <w:rFonts w:hint="eastAsia" w:ascii="仿宋_GB2312" w:hAnsi="仿宋_GB2312" w:eastAsia="仿宋_GB2312" w:cs="仿宋_GB2312"/>
          <w:sz w:val="32"/>
          <w:szCs w:val="32"/>
          <w:lang w:val="en-US" w:eastAsia="zh-CN"/>
        </w:rPr>
        <w:t>原有</w:t>
      </w:r>
      <w:r>
        <w:rPr>
          <w:rFonts w:hint="eastAsia" w:ascii="仿宋_GB2312" w:hAnsi="仿宋_GB2312" w:eastAsia="仿宋_GB2312" w:cs="仿宋_GB2312"/>
          <w:sz w:val="32"/>
          <w:szCs w:val="32"/>
          <w:lang w:val="zh-CN" w:eastAsia="zh-CN"/>
        </w:rPr>
        <w:t>资源</w:t>
      </w:r>
      <w:r>
        <w:rPr>
          <w:rFonts w:hint="eastAsia" w:ascii="仿宋_GB2312" w:hAnsi="仿宋_GB2312" w:eastAsia="仿宋_GB2312" w:cs="仿宋_GB2312"/>
          <w:sz w:val="32"/>
          <w:szCs w:val="32"/>
          <w:lang w:val="en-US" w:eastAsia="zh-CN"/>
        </w:rPr>
        <w:t>重构</w:t>
      </w:r>
      <w:r>
        <w:rPr>
          <w:rFonts w:hint="eastAsia" w:ascii="仿宋_GB2312" w:hAnsi="仿宋_GB2312" w:eastAsia="仿宋_GB2312" w:cs="仿宋_GB2312"/>
          <w:sz w:val="32"/>
          <w:szCs w:val="32"/>
          <w:lang w:val="zh-CN" w:eastAsia="zh-CN"/>
        </w:rPr>
        <w:t>形成优势互补，拓宽</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lang w:val="zh-CN" w:eastAsia="zh-CN"/>
        </w:rPr>
        <w:t>城市发展空间，提升</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lang w:val="zh-CN" w:eastAsia="zh-CN"/>
        </w:rPr>
        <w:t>瓷都品位</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val="zh-CN" w:eastAsia="zh-CN"/>
        </w:rPr>
        <w:t>城市形象，推进</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lang w:val="zh-CN" w:eastAsia="zh-CN"/>
        </w:rPr>
        <w:t>德化县城南开发区产业发展。</w:t>
      </w:r>
    </w:p>
    <w:p>
      <w:pPr>
        <w:pStyle w:val="8"/>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zh-CN" w:eastAsia="zh-CN"/>
        </w:rPr>
      </w:pPr>
      <w:r>
        <w:rPr>
          <w:rFonts w:hint="eastAsia" w:ascii="仿宋_GB2312" w:hAnsi="仿宋_GB2312" w:eastAsia="仿宋_GB2312" w:cs="仿宋_GB2312"/>
          <w:b/>
          <w:bCs/>
          <w:sz w:val="32"/>
          <w:szCs w:val="32"/>
          <w:lang w:val="zh-CN" w:eastAsia="zh-CN"/>
        </w:rPr>
        <w:t>3.充分利用有限土地资源，提高土地利用集约化水平</w:t>
      </w:r>
    </w:p>
    <w:p>
      <w:pPr>
        <w:pStyle w:val="8"/>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本次成片开发区域内</w:t>
      </w:r>
      <w:r>
        <w:rPr>
          <w:rFonts w:hint="eastAsia" w:ascii="仿宋_GB2312" w:hAnsi="仿宋_GB2312" w:eastAsia="仿宋_GB2312" w:cs="仿宋_GB2312"/>
          <w:sz w:val="32"/>
          <w:szCs w:val="32"/>
          <w:lang w:val="en-US" w:eastAsia="zh-CN"/>
        </w:rPr>
        <w:t>多为</w:t>
      </w:r>
      <w:r>
        <w:rPr>
          <w:rFonts w:hint="eastAsia" w:ascii="仿宋_GB2312" w:hAnsi="仿宋_GB2312" w:eastAsia="仿宋_GB2312" w:cs="仿宋_GB2312"/>
          <w:sz w:val="32"/>
          <w:szCs w:val="32"/>
          <w:lang w:val="zh-CN" w:eastAsia="zh-CN"/>
        </w:rPr>
        <w:t>山体林地，原有土地利用不够充分，对土地资源日益紧张的城市建设来说，是一种资源浪费。本次成片开发依据城市规划，合理确定不同功能地块的</w:t>
      </w:r>
      <w:r>
        <w:rPr>
          <w:rFonts w:hint="eastAsia" w:ascii="仿宋_GB2312" w:hAnsi="仿宋_GB2312" w:eastAsia="仿宋_GB2312" w:cs="仿宋_GB2312"/>
          <w:sz w:val="32"/>
          <w:szCs w:val="32"/>
          <w:lang w:val="en-US" w:eastAsia="zh-CN"/>
        </w:rPr>
        <w:t>开发强度</w:t>
      </w:r>
      <w:r>
        <w:rPr>
          <w:rFonts w:hint="eastAsia" w:ascii="仿宋_GB2312" w:hAnsi="仿宋_GB2312" w:eastAsia="仿宋_GB2312" w:cs="仿宋_GB2312"/>
          <w:sz w:val="32"/>
          <w:szCs w:val="32"/>
          <w:lang w:val="zh-CN" w:eastAsia="zh-CN"/>
        </w:rPr>
        <w:t>，将土地这一稀缺资源的空间利用最大化。成片开发的实施，将带动周边大面积土地升值，提高土地利用集约化水平。</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功能分析</w:t>
      </w:r>
    </w:p>
    <w:p>
      <w:pPr>
        <w:pStyle w:val="8"/>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主要用途：本次成片开发区域主要为</w:t>
      </w:r>
      <w:r>
        <w:rPr>
          <w:rFonts w:hint="eastAsia" w:ascii="仿宋_GB2312" w:hAnsi="仿宋_GB2312" w:eastAsia="仿宋_GB2312" w:cs="仿宋_GB2312"/>
          <w:sz w:val="32"/>
          <w:szCs w:val="32"/>
          <w:lang w:val="en-US" w:eastAsia="zh-CN"/>
        </w:rPr>
        <w:t>工业用地</w:t>
      </w:r>
      <w:r>
        <w:rPr>
          <w:rFonts w:hint="eastAsia" w:ascii="仿宋_GB2312" w:hAnsi="仿宋_GB2312" w:eastAsia="仿宋_GB2312" w:cs="仿宋_GB2312"/>
          <w:sz w:val="32"/>
          <w:szCs w:val="32"/>
          <w:lang w:val="zh-CN"/>
        </w:rPr>
        <w:t>。</w:t>
      </w:r>
    </w:p>
    <w:p>
      <w:pPr>
        <w:pStyle w:val="8"/>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成片开发范围内规</w:t>
      </w:r>
      <w:r>
        <w:rPr>
          <w:rFonts w:hint="eastAsia" w:ascii="仿宋_GB2312" w:hAnsi="仿宋_GB2312" w:eastAsia="仿宋_GB2312" w:cs="仿宋_GB2312"/>
          <w:sz w:val="32"/>
          <w:szCs w:val="32"/>
          <w:lang w:val="zh-CN" w:eastAsia="zh-CN"/>
        </w:rPr>
        <w:t>划</w:t>
      </w:r>
      <w:bookmarkStart w:id="5" w:name="_GoBack"/>
      <w:bookmarkEnd w:id="5"/>
      <w:r>
        <w:rPr>
          <w:rFonts w:hint="eastAsia" w:ascii="仿宋_GB2312" w:hAnsi="仿宋_GB2312" w:eastAsia="仿宋_GB2312" w:cs="仿宋_GB2312"/>
          <w:sz w:val="32"/>
          <w:szCs w:val="32"/>
          <w:lang w:val="en-US" w:eastAsia="zh-CN"/>
        </w:rPr>
        <w:t>工矿用地15.5567</w:t>
      </w:r>
      <w:r>
        <w:rPr>
          <w:rFonts w:hint="eastAsia" w:ascii="仿宋_GB2312" w:hAnsi="仿宋_GB2312" w:eastAsia="仿宋_GB2312" w:cs="仿宋_GB2312"/>
          <w:sz w:val="32"/>
          <w:szCs w:val="32"/>
          <w:lang w:val="zh-CN"/>
        </w:rPr>
        <w:t>公顷</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rPr>
        <w:t>绿地与开敞空间用地</w:t>
      </w:r>
      <w:r>
        <w:rPr>
          <w:rFonts w:hint="eastAsia" w:ascii="仿宋_GB2312" w:hAnsi="仿宋_GB2312" w:eastAsia="仿宋_GB2312" w:cs="仿宋_GB2312"/>
          <w:sz w:val="32"/>
          <w:szCs w:val="32"/>
          <w:lang w:val="en-US" w:eastAsia="zh-CN"/>
        </w:rPr>
        <w:t>5.0671</w:t>
      </w:r>
      <w:r>
        <w:rPr>
          <w:rFonts w:hint="eastAsia" w:ascii="仿宋_GB2312" w:hAnsi="仿宋_GB2312" w:eastAsia="仿宋_GB2312" w:cs="仿宋_GB2312"/>
          <w:sz w:val="32"/>
          <w:szCs w:val="32"/>
          <w:lang w:val="zh-CN"/>
        </w:rPr>
        <w:t>公顷；交通运输用地</w:t>
      </w:r>
      <w:r>
        <w:rPr>
          <w:rFonts w:hint="eastAsia" w:ascii="仿宋_GB2312" w:hAnsi="仿宋_GB2312" w:eastAsia="仿宋_GB2312" w:cs="仿宋_GB2312"/>
          <w:sz w:val="32"/>
          <w:szCs w:val="32"/>
          <w:lang w:val="en-US" w:eastAsia="zh-CN"/>
        </w:rPr>
        <w:t>5.3568</w:t>
      </w:r>
      <w:r>
        <w:rPr>
          <w:rFonts w:hint="eastAsia" w:ascii="仿宋_GB2312" w:hAnsi="仿宋_GB2312" w:eastAsia="仿宋_GB2312" w:cs="仿宋_GB2312"/>
          <w:sz w:val="32"/>
          <w:szCs w:val="32"/>
          <w:lang w:val="zh-CN"/>
        </w:rPr>
        <w:t>公顷。</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项目的公建配比情况</w:t>
      </w:r>
    </w:p>
    <w:p>
      <w:pPr>
        <w:pStyle w:val="8"/>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w:t>
      </w:r>
      <w:r>
        <w:rPr>
          <w:rFonts w:hint="eastAsia" w:ascii="仿宋_GB2312" w:hAnsi="仿宋_GB2312" w:eastAsia="仿宋_GB2312" w:cs="仿宋_GB2312"/>
          <w:sz w:val="32"/>
          <w:szCs w:val="32"/>
          <w:lang w:val="en-US" w:eastAsia="zh-CN"/>
        </w:rPr>
        <w:t>次</w:t>
      </w:r>
      <w:r>
        <w:rPr>
          <w:rFonts w:hint="eastAsia" w:ascii="仿宋_GB2312" w:hAnsi="仿宋_GB2312" w:eastAsia="仿宋_GB2312" w:cs="仿宋_GB2312"/>
          <w:sz w:val="32"/>
          <w:szCs w:val="32"/>
          <w:lang w:val="zh-CN"/>
        </w:rPr>
        <w:t>土地征收成片开发范围内，公益性用地面积1</w:t>
      </w:r>
      <w:r>
        <w:rPr>
          <w:rFonts w:hint="eastAsia" w:ascii="仿宋_GB2312" w:hAnsi="仿宋_GB2312" w:eastAsia="仿宋_GB2312" w:cs="仿宋_GB2312"/>
          <w:sz w:val="32"/>
          <w:szCs w:val="32"/>
          <w:lang w:val="en-US" w:eastAsia="zh-CN"/>
        </w:rPr>
        <w:t>0.4239</w:t>
      </w:r>
      <w:r>
        <w:rPr>
          <w:rFonts w:hint="eastAsia" w:ascii="仿宋_GB2312" w:hAnsi="仿宋_GB2312" w:eastAsia="仿宋_GB2312" w:cs="仿宋_GB2312"/>
          <w:sz w:val="32"/>
          <w:szCs w:val="32"/>
          <w:lang w:val="zh-CN"/>
        </w:rPr>
        <w:t>公顷，占用地总面积的4</w:t>
      </w:r>
      <w:r>
        <w:rPr>
          <w:rFonts w:hint="eastAsia" w:ascii="仿宋_GB2312" w:hAnsi="仿宋_GB2312" w:eastAsia="仿宋_GB2312" w:cs="仿宋_GB2312"/>
          <w:sz w:val="32"/>
          <w:szCs w:val="32"/>
          <w:lang w:val="en-US" w:eastAsia="zh-CN"/>
        </w:rPr>
        <w:t>0.12</w:t>
      </w:r>
      <w:r>
        <w:rPr>
          <w:rFonts w:hint="eastAsia" w:ascii="仿宋_GB2312" w:hAnsi="仿宋_GB2312" w:eastAsia="仿宋_GB2312" w:cs="仿宋_GB2312"/>
          <w:sz w:val="32"/>
          <w:szCs w:val="32"/>
          <w:lang w:val="zh-CN"/>
        </w:rPr>
        <w:t>%，符合自然资规〔2020〕5号文公益性用地占比一般不低于40%的规定。</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六、效益评估</w:t>
      </w:r>
    </w:p>
    <w:p>
      <w:pPr>
        <w:keepNext w:val="0"/>
        <w:keepLines w:val="0"/>
        <w:pageBreakBefore w:val="0"/>
        <w:widowControl w:val="0"/>
        <w:kinsoku/>
        <w:wordWrap/>
        <w:overflowPunct/>
        <w:topLinePunct w:val="0"/>
        <w:autoSpaceDE w:val="0"/>
        <w:autoSpaceDN w:val="0"/>
        <w:bidi w:val="0"/>
        <w:adjustRightInd/>
        <w:snapToGrid/>
        <w:spacing w:before="156" w:beforeLines="50" w:after="156" w:afterLines="50" w:line="560" w:lineRule="exact"/>
        <w:ind w:left="0" w:leftChars="0" w:firstLine="640" w:firstLineChars="200"/>
        <w:textAlignment w:val="auto"/>
        <w:outlineLvl w:val="1"/>
        <w:rPr>
          <w:rFonts w:hint="eastAsia" w:ascii="楷体" w:hAnsi="楷体" w:eastAsia="楷体" w:cs="楷体"/>
          <w:kern w:val="2"/>
          <w:sz w:val="32"/>
          <w:szCs w:val="32"/>
          <w:lang w:val="en-US" w:eastAsia="zh-CN" w:bidi="ar-SA"/>
        </w:rPr>
      </w:pPr>
      <w:bookmarkStart w:id="4" w:name="_Toc30880"/>
      <w:r>
        <w:rPr>
          <w:rFonts w:hint="eastAsia" w:ascii="楷体" w:hAnsi="楷体" w:eastAsia="楷体" w:cs="楷体"/>
          <w:kern w:val="2"/>
          <w:sz w:val="32"/>
          <w:szCs w:val="32"/>
          <w:lang w:val="en-US" w:eastAsia="zh-CN" w:bidi="ar-SA"/>
        </w:rPr>
        <w:t>（一）土地利用效益</w:t>
      </w:r>
      <w:bookmarkEnd w:id="4"/>
    </w:p>
    <w:p>
      <w:pPr>
        <w:keepNext w:val="0"/>
        <w:keepLines w:val="0"/>
        <w:pageBreakBefore w:val="0"/>
        <w:widowControl w:val="0"/>
        <w:kinsoku/>
        <w:wordWrap/>
        <w:overflowPunct/>
        <w:topLinePunct w:val="0"/>
        <w:autoSpaceDE w:val="0"/>
        <w:autoSpaceDN w:val="0"/>
        <w:bidi w:val="0"/>
        <w:adjustRightInd/>
        <w:snapToGrid/>
        <w:spacing w:before="156" w:beforeLines="50" w:after="156" w:afterLines="50" w:line="560" w:lineRule="exact"/>
        <w:ind w:left="0" w:leftChars="0"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本次成片开发，合理配置土地资源，科学规划，有效提升土地利用效率。工业项目严格执行《福建省工业项目建设用地控制指标（2013年本）》文件中关于新建工业项目的固定资产投入强度的要求，德化县陶瓷加工制造属于六类十四等的非金属矿物制品业，投资强度≥1088万元/公顷要求，片区内规划工业项目容积率1.0-3.0，建筑高度限高24米，合理安排用地规模、结构和布局，优化土地利用空间格局，因地制宜配置土地，提高土地利用效率和效益，确保拟入驻企业工业用地固投强度等各项指标不低于德化县平均水平及有关规定要求。</w:t>
      </w:r>
    </w:p>
    <w:p>
      <w:pPr>
        <w:keepNext w:val="0"/>
        <w:keepLines w:val="0"/>
        <w:pageBreakBefore w:val="0"/>
        <w:widowControl w:val="0"/>
        <w:kinsoku/>
        <w:wordWrap/>
        <w:overflowPunct/>
        <w:topLinePunct w:val="0"/>
        <w:autoSpaceDE w:val="0"/>
        <w:autoSpaceDN w:val="0"/>
        <w:bidi w:val="0"/>
        <w:adjustRightInd/>
        <w:snapToGrid/>
        <w:spacing w:before="156" w:beforeLines="50" w:after="156" w:afterLines="50" w:line="560" w:lineRule="exact"/>
        <w:ind w:left="0" w:leftChars="0" w:firstLine="640" w:firstLineChars="200"/>
        <w:textAlignment w:val="auto"/>
        <w:outlineLvl w:val="1"/>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（二）经济效益</w:t>
      </w:r>
    </w:p>
    <w:p>
      <w:pPr>
        <w:pStyle w:val="8"/>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成片开发可供出让产业用地：工业用地面积15.5567公顷，项目计划投资约6亿元，实现年产值约7.5亿元，年创造税收约3000万元。本项目实施可进一步壮大德化城南区经济实力、增加就业岗位、带动相关产业发展，为地方财政创造新的财源。</w:t>
      </w:r>
    </w:p>
    <w:p>
      <w:pPr>
        <w:keepNext w:val="0"/>
        <w:keepLines w:val="0"/>
        <w:pageBreakBefore w:val="0"/>
        <w:widowControl w:val="0"/>
        <w:kinsoku/>
        <w:wordWrap/>
        <w:overflowPunct/>
        <w:topLinePunct w:val="0"/>
        <w:autoSpaceDE w:val="0"/>
        <w:autoSpaceDN w:val="0"/>
        <w:bidi w:val="0"/>
        <w:adjustRightInd/>
        <w:snapToGrid/>
        <w:spacing w:before="156" w:beforeLines="50" w:after="156" w:afterLines="50" w:line="560" w:lineRule="exact"/>
        <w:ind w:left="0" w:leftChars="0" w:firstLine="640" w:firstLineChars="200"/>
        <w:textAlignment w:val="auto"/>
        <w:outlineLvl w:val="1"/>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（三）社会效益</w:t>
      </w:r>
    </w:p>
    <w:p>
      <w:pPr>
        <w:pStyle w:val="20"/>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Theme="minorEastAsia" w:hAnsiTheme="minorEastAsia" w:eastAsiaTheme="minorEastAsia" w:cstheme="minorEastAsia"/>
          <w:szCs w:val="28"/>
          <w:lang w:val="en-US" w:eastAsia="zh-CN"/>
        </w:rPr>
      </w:pPr>
      <w:r>
        <w:rPr>
          <w:rFonts w:hint="eastAsia" w:ascii="仿宋_GB2312" w:hAnsi="仿宋_GB2312" w:eastAsia="仿宋_GB2312" w:cs="仿宋_GB2312"/>
          <w:kern w:val="0"/>
          <w:sz w:val="32"/>
          <w:szCs w:val="32"/>
          <w:lang w:val="en-US" w:eastAsia="zh-CN" w:bidi="ar-SA"/>
        </w:rPr>
        <w:t>本次成片开发社会效益较为显著：一是建成后将推动区域陶瓷产业的持续发展，园区建成后预计可提供就业岗位500个，确保被征地农民长远生计有保障。二是成片开发的实施有利于推动德化城市化进程，市政设施的集中配建，将促进第三产业发展，对改善区域环境，提升区域品质起到重要作用。</w:t>
      </w:r>
    </w:p>
    <w:p>
      <w:pPr>
        <w:keepNext w:val="0"/>
        <w:keepLines w:val="0"/>
        <w:pageBreakBefore w:val="0"/>
        <w:widowControl w:val="0"/>
        <w:kinsoku/>
        <w:wordWrap/>
        <w:overflowPunct/>
        <w:topLinePunct w:val="0"/>
        <w:autoSpaceDE w:val="0"/>
        <w:autoSpaceDN w:val="0"/>
        <w:bidi w:val="0"/>
        <w:adjustRightInd/>
        <w:snapToGrid/>
        <w:spacing w:before="156" w:beforeLines="50" w:after="156" w:afterLines="50" w:line="560" w:lineRule="exact"/>
        <w:ind w:left="0" w:leftChars="0" w:firstLine="640" w:firstLineChars="200"/>
        <w:textAlignment w:val="auto"/>
        <w:outlineLvl w:val="1"/>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（四）生态效益</w:t>
      </w:r>
    </w:p>
    <w:p>
      <w:pPr>
        <w:pStyle w:val="8"/>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本次成片开发生态效益</w:t>
      </w:r>
      <w:r>
        <w:rPr>
          <w:rFonts w:hint="eastAsia" w:ascii="仿宋_GB2312" w:hAnsi="仿宋_GB2312" w:eastAsia="仿宋_GB2312" w:cs="仿宋_GB2312"/>
          <w:sz w:val="32"/>
          <w:szCs w:val="32"/>
          <w:lang w:val="en-US" w:eastAsia="zh-CN"/>
        </w:rPr>
        <w:t>较为显著</w:t>
      </w:r>
      <w:r>
        <w:rPr>
          <w:rFonts w:hint="eastAsia" w:ascii="仿宋_GB2312" w:hAnsi="仿宋_GB2312" w:eastAsia="仿宋_GB2312" w:cs="仿宋_GB2312"/>
          <w:sz w:val="32"/>
          <w:szCs w:val="32"/>
          <w:lang w:val="zh-CN"/>
        </w:rPr>
        <w:t>，主要体现在以下三个方面：一是注重生态保护。</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val="zh-CN"/>
        </w:rPr>
        <w:t>区域生态环境的现状调查，本次成片开发范围内不涉及生态保护红线、自然保护地、饮用水源保护地、重要湿地、生态公益林等生态价值高、需要严格保护的区域，也未发现受国家及省市重点保护的文物古迹、古树名木等以及其它需要特殊保护的目标。二是注重绿地配套。本次成片开发尽量保留原有绿地，规划建设绿地与开敞空间用地</w:t>
      </w:r>
      <w:r>
        <w:rPr>
          <w:rFonts w:hint="eastAsia" w:ascii="仿宋_GB2312" w:hAnsi="仿宋_GB2312" w:eastAsia="仿宋_GB2312" w:cs="仿宋_GB2312"/>
          <w:sz w:val="32"/>
          <w:szCs w:val="32"/>
          <w:lang w:val="en-US" w:eastAsia="zh-CN"/>
        </w:rPr>
        <w:t>5.0671</w:t>
      </w:r>
      <w:r>
        <w:rPr>
          <w:rFonts w:hint="eastAsia" w:ascii="仿宋_GB2312" w:hAnsi="仿宋_GB2312" w:eastAsia="仿宋_GB2312" w:cs="仿宋_GB2312"/>
          <w:sz w:val="32"/>
          <w:szCs w:val="32"/>
          <w:lang w:val="zh-CN"/>
        </w:rPr>
        <w:t>公顷，建成后能有效</w:t>
      </w:r>
      <w:r>
        <w:rPr>
          <w:rFonts w:hint="eastAsia" w:ascii="仿宋_GB2312" w:hAnsi="仿宋_GB2312" w:eastAsia="仿宋_GB2312" w:cs="仿宋_GB2312"/>
          <w:sz w:val="32"/>
          <w:szCs w:val="32"/>
          <w:lang w:val="en-US" w:eastAsia="zh-CN"/>
        </w:rPr>
        <w:t>改善</w:t>
      </w:r>
      <w:r>
        <w:rPr>
          <w:rFonts w:hint="eastAsia" w:ascii="仿宋_GB2312" w:hAnsi="仿宋_GB2312" w:eastAsia="仿宋_GB2312" w:cs="仿宋_GB2312"/>
          <w:sz w:val="32"/>
          <w:szCs w:val="32"/>
          <w:lang w:val="zh-CN"/>
        </w:rPr>
        <w:t>区域生态环境。三是注重环境保护</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rPr>
        <w:t>要求引进</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val="zh-CN"/>
        </w:rPr>
        <w:t>陶瓷工业项目采用科学环保节能的生产工艺，排出的废气经处理达标后排放，生产及生活污水纳入城市污水管网，进入县污水厂处理。</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七、永久基本农田及生态保护情况</w:t>
      </w:r>
    </w:p>
    <w:p>
      <w:pPr>
        <w:pStyle w:val="8"/>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本次成开发范围不涉及占用永久基本农田、生态保护红线、自然保护地、生态公益林、饮用水源保护地等法律法规规定需严格保护的区域。</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八、结论</w:t>
      </w:r>
    </w:p>
    <w:p>
      <w:pPr>
        <w:pStyle w:val="8"/>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《德化县龙浔镇招商产业园土地征收成片开发方案（草案）》符合土地征收成片开发的报批要求</w:t>
      </w:r>
      <w:r>
        <w:rPr>
          <w:rFonts w:hint="eastAsia" w:ascii="仿宋_GB2312" w:hAnsi="仿宋_GB2312" w:eastAsia="仿宋_GB2312" w:cs="仿宋_GB2312"/>
          <w:sz w:val="32"/>
          <w:szCs w:val="32"/>
          <w:lang w:val="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8981730"/>
    </w:sdtPr>
    <w:sdtEndPr>
      <w:rPr>
        <w:sz w:val="21"/>
      </w:rPr>
    </w:sdtEndPr>
    <w:sdtContent>
      <w:p>
        <w:pPr>
          <w:pStyle w:val="9"/>
          <w:jc w:val="center"/>
          <w:rPr>
            <w:sz w:val="21"/>
          </w:rPr>
        </w:pPr>
        <w:r>
          <w:rPr>
            <w:sz w:val="24"/>
          </w:rPr>
          <w:fldChar w:fldCharType="begin"/>
        </w:r>
        <w:r>
          <w:rPr>
            <w:sz w:val="24"/>
          </w:rPr>
          <w:instrText xml:space="preserve">PAGE   \* MERGEFORMAT</w:instrText>
        </w:r>
        <w:r>
          <w:rPr>
            <w:sz w:val="24"/>
          </w:rPr>
          <w:fldChar w:fldCharType="separate"/>
        </w:r>
        <w:r>
          <w:rPr>
            <w:sz w:val="24"/>
            <w:lang w:val="zh-CN"/>
          </w:rPr>
          <w:t>-</w:t>
        </w:r>
        <w:r>
          <w:rPr>
            <w:sz w:val="24"/>
          </w:rPr>
          <w:t xml:space="preserve"> 4 -</w:t>
        </w:r>
        <w:r>
          <w:rPr>
            <w:sz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hYTIzMzc2NTY4NWIxNGY2NmU2MzUyZWViNmUwODgifQ=="/>
  </w:docVars>
  <w:rsids>
    <w:rsidRoot w:val="00172A27"/>
    <w:rsid w:val="03862BB7"/>
    <w:rsid w:val="04613453"/>
    <w:rsid w:val="048D5F19"/>
    <w:rsid w:val="04B05A26"/>
    <w:rsid w:val="04B70FF0"/>
    <w:rsid w:val="06D27CEE"/>
    <w:rsid w:val="0D19338F"/>
    <w:rsid w:val="0F372A8E"/>
    <w:rsid w:val="107C3C76"/>
    <w:rsid w:val="112644DD"/>
    <w:rsid w:val="117672B2"/>
    <w:rsid w:val="13D8378C"/>
    <w:rsid w:val="145D783C"/>
    <w:rsid w:val="15811DA9"/>
    <w:rsid w:val="159A4586"/>
    <w:rsid w:val="17F02149"/>
    <w:rsid w:val="186F697B"/>
    <w:rsid w:val="1B031212"/>
    <w:rsid w:val="1CA12091"/>
    <w:rsid w:val="1DEA742F"/>
    <w:rsid w:val="1FA77C54"/>
    <w:rsid w:val="20901B89"/>
    <w:rsid w:val="21D43843"/>
    <w:rsid w:val="227042C0"/>
    <w:rsid w:val="27097980"/>
    <w:rsid w:val="2ADF0866"/>
    <w:rsid w:val="2D701FBC"/>
    <w:rsid w:val="316172C4"/>
    <w:rsid w:val="32C755C6"/>
    <w:rsid w:val="33127EB4"/>
    <w:rsid w:val="349075F8"/>
    <w:rsid w:val="35B62AD6"/>
    <w:rsid w:val="369530C2"/>
    <w:rsid w:val="378020C9"/>
    <w:rsid w:val="3BE079AB"/>
    <w:rsid w:val="3E006F25"/>
    <w:rsid w:val="3E2E6527"/>
    <w:rsid w:val="3EBC7A79"/>
    <w:rsid w:val="449A0D7A"/>
    <w:rsid w:val="456F5D8E"/>
    <w:rsid w:val="475E0831"/>
    <w:rsid w:val="47710ED5"/>
    <w:rsid w:val="498B2FBB"/>
    <w:rsid w:val="4A5C6AAF"/>
    <w:rsid w:val="4ABD253F"/>
    <w:rsid w:val="4B6466A8"/>
    <w:rsid w:val="4B782A17"/>
    <w:rsid w:val="4D9D1CF3"/>
    <w:rsid w:val="4E0D33B6"/>
    <w:rsid w:val="4F862B87"/>
    <w:rsid w:val="529D2038"/>
    <w:rsid w:val="53570DA2"/>
    <w:rsid w:val="53767E86"/>
    <w:rsid w:val="53DE1968"/>
    <w:rsid w:val="53F871D6"/>
    <w:rsid w:val="53FC07F6"/>
    <w:rsid w:val="56505BAB"/>
    <w:rsid w:val="5714140A"/>
    <w:rsid w:val="58F43B14"/>
    <w:rsid w:val="596632BF"/>
    <w:rsid w:val="5A8A61E2"/>
    <w:rsid w:val="5CA635E2"/>
    <w:rsid w:val="5D4F2996"/>
    <w:rsid w:val="5EA1082F"/>
    <w:rsid w:val="61DF64D6"/>
    <w:rsid w:val="667D4A20"/>
    <w:rsid w:val="66AE4F19"/>
    <w:rsid w:val="66C55FC9"/>
    <w:rsid w:val="6B055CA3"/>
    <w:rsid w:val="6B89565E"/>
    <w:rsid w:val="6D7F3F83"/>
    <w:rsid w:val="6ED45B2A"/>
    <w:rsid w:val="70970732"/>
    <w:rsid w:val="73A51073"/>
    <w:rsid w:val="744167DF"/>
    <w:rsid w:val="75543AE2"/>
    <w:rsid w:val="75640AB8"/>
    <w:rsid w:val="75742ED2"/>
    <w:rsid w:val="75E97F80"/>
    <w:rsid w:val="79CD2A72"/>
    <w:rsid w:val="7ADD1BB2"/>
    <w:rsid w:val="7AF61F32"/>
    <w:rsid w:val="7D22679E"/>
    <w:rsid w:val="7D383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1"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paragraph" w:styleId="3">
    <w:name w:val="heading 1"/>
    <w:basedOn w:val="1"/>
    <w:next w:val="1"/>
    <w:qFormat/>
    <w:uiPriority w:val="9"/>
    <w:pPr>
      <w:ind w:left="260"/>
      <w:outlineLvl w:val="0"/>
    </w:pPr>
    <w:rPr>
      <w:b/>
      <w:bCs/>
      <w:sz w:val="32"/>
      <w:szCs w:val="32"/>
    </w:rPr>
  </w:style>
  <w:style w:type="paragraph" w:styleId="4">
    <w:name w:val="heading 2"/>
    <w:basedOn w:val="1"/>
    <w:next w:val="1"/>
    <w:qFormat/>
    <w:uiPriority w:val="1"/>
    <w:pPr>
      <w:ind w:left="821"/>
      <w:outlineLvl w:val="1"/>
    </w:pPr>
    <w:rPr>
      <w:b/>
      <w:bCs/>
      <w:sz w:val="28"/>
      <w:szCs w:val="28"/>
    </w:rPr>
  </w:style>
  <w:style w:type="paragraph" w:styleId="5">
    <w:name w:val="heading 3"/>
    <w:basedOn w:val="1"/>
    <w:next w:val="1"/>
    <w:link w:val="14"/>
    <w:unhideWhenUsed/>
    <w:qFormat/>
    <w:uiPriority w:val="0"/>
    <w:pPr>
      <w:keepNext/>
      <w:keepLines/>
      <w:spacing w:before="260" w:beforeLines="0" w:beforeAutospacing="0" w:after="260" w:afterLines="0" w:afterAutospacing="0" w:line="240" w:lineRule="auto"/>
      <w:outlineLvl w:val="2"/>
    </w:pPr>
    <w:rPr>
      <w:rFonts w:ascii="Calibri" w:hAnsi="Calibri" w:eastAsia="宋体" w:cs="Times New Roman"/>
      <w:b/>
      <w:sz w:val="28"/>
    </w:rPr>
  </w:style>
  <w:style w:type="paragraph" w:styleId="6">
    <w:name w:val="heading 4"/>
    <w:basedOn w:val="1"/>
    <w:next w:val="1"/>
    <w:link w:val="13"/>
    <w:unhideWhenUsed/>
    <w:qFormat/>
    <w:uiPriority w:val="0"/>
    <w:pPr>
      <w:keepNext/>
      <w:keepLines/>
      <w:spacing w:before="280" w:beforeLines="0" w:beforeAutospacing="0" w:after="290" w:afterLines="0" w:afterAutospacing="0" w:line="240" w:lineRule="auto"/>
      <w:outlineLvl w:val="3"/>
    </w:pPr>
    <w:rPr>
      <w:rFonts w:ascii="Arial" w:hAnsi="Arial" w:eastAsia="宋体" w:cs="Times New Roman"/>
      <w:sz w:val="28"/>
    </w:rPr>
  </w:style>
  <w:style w:type="paragraph" w:styleId="7">
    <w:name w:val="heading 5"/>
    <w:basedOn w:val="1"/>
    <w:next w:val="1"/>
    <w:link w:val="15"/>
    <w:unhideWhenUsed/>
    <w:qFormat/>
    <w:uiPriority w:val="0"/>
    <w:pPr>
      <w:keepNext/>
      <w:keepLines/>
      <w:spacing w:before="280" w:beforeLines="0" w:beforeAutospacing="0" w:after="290" w:afterLines="0" w:afterAutospacing="0" w:line="200" w:lineRule="atLeast"/>
      <w:outlineLvl w:val="4"/>
    </w:pPr>
    <w:rPr>
      <w:rFonts w:ascii="Calibri" w:hAnsi="Calibri" w:eastAsia="宋体" w:cs="Times New Roman"/>
      <w:sz w:val="24"/>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unhideWhenUsed/>
    <w:qFormat/>
    <w:uiPriority w:val="99"/>
    <w:pPr>
      <w:spacing w:line="240" w:lineRule="auto"/>
    </w:pPr>
    <w:rPr>
      <w:sz w:val="18"/>
      <w:szCs w:val="18"/>
    </w:rPr>
  </w:style>
  <w:style w:type="paragraph" w:styleId="8">
    <w:name w:val="Body Text"/>
    <w:basedOn w:val="1"/>
    <w:qFormat/>
    <w:uiPriority w:val="1"/>
    <w:rPr>
      <w:sz w:val="24"/>
      <w:szCs w:val="24"/>
    </w:rPr>
  </w:style>
  <w:style w:type="paragraph" w:styleId="9">
    <w:name w:val="footer"/>
    <w:basedOn w:val="1"/>
    <w:unhideWhenUsed/>
    <w:qFormat/>
    <w:uiPriority w:val="99"/>
    <w:pPr>
      <w:tabs>
        <w:tab w:val="center" w:pos="4153"/>
        <w:tab w:val="right" w:pos="8306"/>
      </w:tabs>
      <w:snapToGrid w:val="0"/>
    </w:pPr>
    <w:rPr>
      <w:sz w:val="18"/>
      <w:szCs w:val="18"/>
    </w:rPr>
  </w:style>
  <w:style w:type="paragraph" w:styleId="10">
    <w:name w:val="Title"/>
    <w:basedOn w:val="1"/>
    <w:qFormat/>
    <w:uiPriority w:val="1"/>
    <w:pPr>
      <w:spacing w:before="108"/>
      <w:ind w:left="572" w:right="573"/>
      <w:jc w:val="center"/>
    </w:pPr>
    <w:rPr>
      <w:rFonts w:ascii="微软雅黑" w:hAnsi="微软雅黑" w:eastAsia="微软雅黑" w:cs="微软雅黑"/>
      <w:b/>
      <w:bCs/>
      <w:sz w:val="48"/>
      <w:szCs w:val="48"/>
    </w:rPr>
  </w:style>
  <w:style w:type="character" w:customStyle="1" w:styleId="13">
    <w:name w:val="标题 4 Char"/>
    <w:link w:val="6"/>
    <w:qFormat/>
    <w:uiPriority w:val="0"/>
    <w:rPr>
      <w:rFonts w:ascii="Arial" w:hAnsi="Arial" w:eastAsia="宋体" w:cs="Times New Roman"/>
      <w:sz w:val="28"/>
    </w:rPr>
  </w:style>
  <w:style w:type="character" w:customStyle="1" w:styleId="14">
    <w:name w:val="标题 3 Char"/>
    <w:link w:val="5"/>
    <w:qFormat/>
    <w:uiPriority w:val="0"/>
    <w:rPr>
      <w:rFonts w:ascii="Calibri" w:hAnsi="Calibri" w:eastAsia="宋体" w:cs="Times New Roman"/>
      <w:b/>
      <w:sz w:val="28"/>
    </w:rPr>
  </w:style>
  <w:style w:type="character" w:customStyle="1" w:styleId="15">
    <w:name w:val="标题 5 Char"/>
    <w:link w:val="7"/>
    <w:qFormat/>
    <w:uiPriority w:val="0"/>
    <w:rPr>
      <w:rFonts w:ascii="Calibri" w:hAnsi="Calibri" w:eastAsia="宋体" w:cs="Times New Roman"/>
      <w:sz w:val="24"/>
    </w:rPr>
  </w:style>
  <w:style w:type="paragraph" w:customStyle="1" w:styleId="16">
    <w:name w:val="Default"/>
    <w:qFormat/>
    <w:uiPriority w:val="99"/>
    <w:pPr>
      <w:widowControl w:val="0"/>
      <w:autoSpaceDE w:val="0"/>
      <w:autoSpaceDN w:val="0"/>
      <w:adjustRightInd w:val="0"/>
    </w:pPr>
    <w:rPr>
      <w:rFonts w:ascii="方正仿宋_GBK" w:hAnsi="方正仿宋_GBK" w:eastAsia="方正仿宋_GBK" w:cs="方正仿宋_GBK"/>
      <w:color w:val="000000"/>
      <w:sz w:val="24"/>
      <w:szCs w:val="24"/>
      <w:lang w:val="en-US" w:eastAsia="zh-CN" w:bidi="ar-SA"/>
    </w:rPr>
  </w:style>
  <w:style w:type="paragraph" w:customStyle="1" w:styleId="17">
    <w:name w:val="正文格式"/>
    <w:basedOn w:val="1"/>
    <w:qFormat/>
    <w:uiPriority w:val="0"/>
    <w:pPr>
      <w:ind w:firstLine="560"/>
    </w:pPr>
    <w:rPr>
      <w:kern w:val="0"/>
      <w:szCs w:val="28"/>
    </w:rPr>
  </w:style>
  <w:style w:type="character" w:customStyle="1" w:styleId="18">
    <w:name w:val="fontstyle01"/>
    <w:basedOn w:val="12"/>
    <w:qFormat/>
    <w:uiPriority w:val="0"/>
    <w:rPr>
      <w:rFonts w:ascii="黑体" w:hAnsi="宋体" w:eastAsia="黑体" w:cs="黑体"/>
      <w:color w:val="000000"/>
      <w:sz w:val="24"/>
      <w:szCs w:val="24"/>
    </w:rPr>
  </w:style>
  <w:style w:type="paragraph" w:customStyle="1" w:styleId="19">
    <w:name w:val="Body text|1"/>
    <w:basedOn w:val="1"/>
    <w:qFormat/>
    <w:uiPriority w:val="0"/>
    <w:pPr>
      <w:autoSpaceDE/>
      <w:autoSpaceDN/>
      <w:spacing w:line="394" w:lineRule="auto"/>
      <w:ind w:firstLine="400"/>
    </w:pPr>
    <w:rPr>
      <w:color w:val="000000"/>
      <w:sz w:val="30"/>
      <w:szCs w:val="30"/>
      <w:lang w:val="zh-TW" w:eastAsia="zh-TW" w:bidi="zh-TW"/>
    </w:rPr>
  </w:style>
  <w:style w:type="paragraph" w:customStyle="1" w:styleId="20">
    <w:name w:val="正文样式"/>
    <w:basedOn w:val="1"/>
    <w:qFormat/>
    <w:uiPriority w:val="0"/>
    <w:pPr>
      <w:ind w:firstLine="560"/>
    </w:pPr>
    <w:rPr>
      <w:kern w:val="0"/>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7617</Words>
  <Characters>8072</Characters>
  <Lines>0</Lines>
  <Paragraphs>0</Paragraphs>
  <TotalTime>311</TotalTime>
  <ScaleCrop>false</ScaleCrop>
  <LinksUpToDate>false</LinksUpToDate>
  <CharactersWithSpaces>8088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2022-03-30T07:34:00Z</dcterms:created>
  <dc:creator>Administrator</dc:creator>
  <cp:lastModifiedBy>Administrator</cp:lastModifiedBy>
  <cp:lastPrinted>2022-08-05T03:09:14Z</cp:lastPrinted>
  <dcterms:modified xsi:type="dcterms:W3CDTF">2022-08-05T03:25:51Z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D312C1E4CCAB453394F69E0044FC6175</vt:lpwstr>
  </property>
</Properties>
</file>