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关于《福建省住房和城乡建设系统行政处罚裁量权基准（2023年版）》的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行政处罚裁量权基准是执法人员根据案情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实施行政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处罚的具体标准，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统一全省住建系统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尺度，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是省融合一体化执法平台建设重要元素，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对全面推进住建领域严格规范、公正文明执法，助力法治政府建设具有重要意义。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裁量权基准动态调整管理办法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根据新法规出台、既有基准适当性问题，在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《福建省住房和城乡建设系统行政处罚裁量权基准（202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年版）》（以下简称《裁量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基准》）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基础上进行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适时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动态调整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，形成《福建省住房和城乡建设系统行政处罚裁量权基准（2023年版）》。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本次动态调整内容，共涉及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部法律法规，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项处罚事项，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项基准。主要内容如下：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一、新增裁量权基准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新增43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处罚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事项，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拆解为135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项基准）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对《裁量权基准》颁布后，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新颁布的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《建设工程质量检测管理办法》《建设工程抗震管理条例》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的罚则进行梳理，确定相应基准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（详见表1）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560" w:firstLineChars="200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  <w:t>表1-新增裁量权基准事项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  <w:t>表</w:t>
      </w:r>
    </w:p>
    <w:tbl>
      <w:tblPr>
        <w:tblStyle w:val="6"/>
        <w:tblW w:w="9982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22"/>
        <w:gridCol w:w="4595"/>
        <w:gridCol w:w="92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459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调整法规名称</w:t>
            </w:r>
          </w:p>
        </w:tc>
        <w:tc>
          <w:tcPr>
            <w:tcW w:w="92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项数</w:t>
            </w:r>
          </w:p>
        </w:tc>
        <w:tc>
          <w:tcPr>
            <w:tcW w:w="124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工程建设与建筑业</w:t>
            </w:r>
          </w:p>
        </w:tc>
        <w:tc>
          <w:tcPr>
            <w:tcW w:w="4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《建设工程质量检测管理办法》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《建设工程抗震管理条例》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8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修订既有裁量权基准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修订49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处罚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事项，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拆解为245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项基准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强化对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排水户向城镇排水设施排放有毒有害物质的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监管，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并根据新修订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城镇污水排入排水管网管理办法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对相应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裁量权基准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进行调整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项处罚事项，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重新梳理新《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房地产开发企业资质管理规定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《福建省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物业管理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条例》裁量权基准的违法情节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项处罚事项，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对标住建部裁量权基准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（59项处罚事项，239项基准）逐一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调整相应裁量幅度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进一步优化工程建设领域裁量幅度，完善“违法情节”“危害后果”的认定标准，为保障市场主体公平竞争，避免行政执法“重罚轻纠”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项处罚事项，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130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项基准）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560" w:firstLineChars="200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 w:val="28"/>
          <w:szCs w:val="28"/>
          <w:highlight w:val="none"/>
          <w:lang w:val="en-US" w:eastAsia="zh-CN"/>
        </w:rPr>
        <w:t>表2-修订既有裁量权基准表</w:t>
      </w:r>
    </w:p>
    <w:tbl>
      <w:tblPr>
        <w:tblStyle w:val="6"/>
        <w:tblW w:w="10376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045"/>
        <w:gridCol w:w="5267"/>
        <w:gridCol w:w="919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2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调整法规名称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项数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tblHeader/>
        </w:trPr>
        <w:tc>
          <w:tcPr>
            <w:tcW w:w="9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城乡建设</w:t>
            </w:r>
          </w:p>
        </w:tc>
        <w:tc>
          <w:tcPr>
            <w:tcW w:w="5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城镇污水排入排水管网管理办法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2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调整法规名称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项数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基准数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4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工程建设与建筑业</w:t>
            </w:r>
          </w:p>
        </w:tc>
        <w:tc>
          <w:tcPr>
            <w:tcW w:w="5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《民用建筑节能条例》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4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《建设工程质量管理条例》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4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《建设工程勘察设计管理条例》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4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《建设工程安全生产管理条例》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45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住房保障与房地产业</w:t>
            </w:r>
          </w:p>
        </w:tc>
        <w:tc>
          <w:tcPr>
            <w:tcW w:w="5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《房地产开发企业资质管理规定》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tblHeader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45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《福建省物业管理条例》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822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9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245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ind w:left="1280" w:leftChars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474" w:bottom="147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2IwMWQxYzhjZDU3NzhkYjEwMTRmMTg2OTY1N2IifQ=="/>
  </w:docVars>
  <w:rsids>
    <w:rsidRoot w:val="15465D74"/>
    <w:rsid w:val="1546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2024-01-15T07:40:00Z</dcterms:created>
  <dc:creator>Administrator</dc:creator>
  <cp:lastModifiedBy>Administrator</cp:lastModifiedBy>
  <dcterms:modified xsi:type="dcterms:W3CDTF">2024-01-15T07:40:43Z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6F39BC03C06646E6953CAF282CBEACEC_11</vt:lpwstr>
  </property>
</Properties>
</file>