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6"/>
          <w:rFonts w:hint="eastAsia" w:ascii="微软雅黑" w:hAnsi="微软雅黑" w:eastAsia="微软雅黑" w:cs="微软雅黑"/>
          <w:i w:val="0"/>
          <w:iCs w:val="0"/>
          <w:caps w:val="0"/>
          <w:color w:val="222222"/>
          <w:spacing w:val="8"/>
          <w:sz w:val="36"/>
          <w:szCs w:val="36"/>
          <w:shd w:val="clear" w:fill="FFFFFF"/>
        </w:rPr>
      </w:pPr>
      <w:bookmarkStart w:id="0" w:name="_GoBack"/>
      <w:r>
        <w:rPr>
          <w:rStyle w:val="6"/>
          <w:rFonts w:hint="eastAsia" w:ascii="微软雅黑" w:hAnsi="微软雅黑" w:eastAsia="微软雅黑" w:cs="微软雅黑"/>
          <w:i w:val="0"/>
          <w:iCs w:val="0"/>
          <w:caps w:val="0"/>
          <w:color w:val="222222"/>
          <w:spacing w:val="8"/>
          <w:sz w:val="36"/>
          <w:szCs w:val="36"/>
          <w:shd w:val="clear" w:fill="FFFFFF"/>
        </w:rPr>
        <w:t>德化县应急管理局对德化县某木竹制品厂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r>
        <w:rPr>
          <w:rStyle w:val="6"/>
          <w:rFonts w:hint="eastAsia" w:ascii="微软雅黑" w:hAnsi="微软雅黑" w:eastAsia="微软雅黑" w:cs="微软雅黑"/>
          <w:i w:val="0"/>
          <w:iCs w:val="0"/>
          <w:caps w:val="0"/>
          <w:color w:val="222222"/>
          <w:spacing w:val="8"/>
          <w:sz w:val="36"/>
          <w:szCs w:val="36"/>
          <w:shd w:val="clear" w:fill="FFFFFF"/>
        </w:rPr>
        <w:t>行政处罚案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微软雅黑" w:hAnsi="微软雅黑" w:eastAsia="微软雅黑" w:cs="微软雅黑"/>
          <w:i w:val="0"/>
          <w:iCs w:val="0"/>
          <w:caps w:val="0"/>
          <w:color w:val="222222"/>
          <w:spacing w:val="0"/>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5"/>
          <w:szCs w:val="25"/>
          <w:shd w:val="clear" w:fill="FFFFFF"/>
        </w:rPr>
        <w:t>粉尘涉爆安全管理类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【基本案情】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2022年8月8日，我局行政执法人员对德化县某木竹制品厂开展工贸行业安全生产专项整治“百日清零行动”，发现该公司二楼脉冲干式打磨柜工段采用重力沉降室除尘，使用其后侧走廊做为沉降室。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上述行为违反了《工贸企业粉尘防爆安全规定》第十五的规定。根据《中华人民共和国安全生产法》第二十九条的规定，参照《福建省安全生产行政处罚裁量基准》（2022年版）的相关裁量标准，责令该公司限期消除，并对该公司作出处罚款35000元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shd w:val="clear" w:fill="FFFFFF"/>
        </w:rPr>
        <w:t>【法律普及】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一、《工贸企业粉尘防爆安全规定》第十五条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二、《工贸企业粉尘防爆安全规定》第二十九条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I1MTE2MDBiMzVmODEzMGJlMmE1ODk2NjdmNDEifQ=="/>
  </w:docVars>
  <w:rsids>
    <w:rsidRoot w:val="168F1FF4"/>
    <w:rsid w:val="168F1FF4"/>
    <w:rsid w:val="2750384C"/>
    <w:rsid w:val="3B51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2099</Words>
  <Characters>2134</Characters>
  <Lines>0</Lines>
  <Paragraphs>0</Paragraphs>
  <TotalTime>0</TotalTime>
  <ScaleCrop>false</ScaleCrop>
  <LinksUpToDate>false</LinksUpToDate>
  <CharactersWithSpaces>2134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2022-09-06T09:24:00Z</dcterms:created>
  <dc:creator>田</dc:creator>
  <cp:lastModifiedBy>田</cp:lastModifiedBy>
  <dcterms:modified xsi:type="dcterms:W3CDTF">2022-09-08T00:27:06Z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47AE846C710E4F30B03A452B84D5DB3C</vt:lpwstr>
  </property>
</Properties>
</file>