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exact"/>
        <w:jc w:val="center"/>
        <w:textAlignment w:val="auto"/>
        <w:rPr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exact"/>
        <w:jc w:val="center"/>
        <w:textAlignment w:val="auto"/>
        <w:rPr>
          <w:szCs w:val="32"/>
        </w:rPr>
      </w:pPr>
    </w:p>
    <w:p>
      <w:pPr>
        <w:jc w:val="center"/>
        <w:rPr>
          <w:szCs w:val="32"/>
        </w:rPr>
      </w:pPr>
    </w:p>
    <w:p>
      <w:pPr>
        <w:jc w:val="center"/>
        <w:rPr>
          <w:szCs w:val="32"/>
        </w:rPr>
      </w:pPr>
    </w:p>
    <w:p>
      <w:pPr>
        <w:jc w:val="center"/>
        <w:rPr>
          <w:szCs w:val="32"/>
        </w:rPr>
      </w:pPr>
    </w:p>
    <w:p>
      <w:pPr>
        <w:jc w:val="center"/>
        <w:rPr>
          <w:szCs w:val="32"/>
        </w:rPr>
      </w:pPr>
    </w:p>
    <w:p>
      <w:pPr>
        <w:jc w:val="center"/>
        <w:rPr>
          <w:szCs w:val="32"/>
        </w:rPr>
      </w:pPr>
    </w:p>
    <w:p>
      <w:pPr>
        <w:jc w:val="center"/>
        <w:rPr>
          <w:szCs w:val="32"/>
        </w:rPr>
      </w:pPr>
    </w:p>
    <w:p>
      <w:pPr>
        <w:jc w:val="center"/>
        <w:rPr>
          <w:szCs w:val="32"/>
        </w:rPr>
      </w:pPr>
    </w:p>
    <w:p>
      <w:pPr>
        <w:jc w:val="center"/>
        <w:rPr>
          <w:szCs w:val="32"/>
        </w:rPr>
      </w:pPr>
    </w:p>
    <w:p>
      <w:pPr>
        <w:jc w:val="center"/>
        <w:rPr>
          <w:szCs w:val="32"/>
        </w:rPr>
      </w:pPr>
    </w:p>
    <w:p>
      <w:pPr>
        <w:jc w:val="center"/>
        <w:rPr>
          <w:rFonts w:hint="eastAsia"/>
          <w:szCs w:val="32"/>
        </w:rPr>
      </w:pPr>
    </w:p>
    <w:p>
      <w:pPr>
        <w:jc w:val="center"/>
        <w:rPr>
          <w:rFonts w:hint="eastAsia"/>
          <w:szCs w:val="32"/>
        </w:rPr>
      </w:pPr>
      <w:bookmarkStart w:id="0" w:name="_GoBack"/>
    </w:p>
    <w:p>
      <w:pPr>
        <w:jc w:val="center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德文旅函〔202</w:t>
      </w:r>
      <w:r>
        <w:rPr>
          <w:rFonts w:hint="eastAsia" w:ascii="仿宋_GB2312" w:eastAsia="仿宋_GB2312"/>
          <w:sz w:val="32"/>
          <w:lang w:val="en-US" w:eastAsia="zh-CN"/>
        </w:rPr>
        <w:t>4</w:t>
      </w:r>
      <w:r>
        <w:rPr>
          <w:rFonts w:hint="eastAsia" w:ascii="仿宋_GB2312" w:eastAsia="仿宋_GB2312"/>
          <w:sz w:val="32"/>
        </w:rPr>
        <w:t>〕</w:t>
      </w:r>
      <w:r>
        <w:rPr>
          <w:rFonts w:hint="eastAsia" w:ascii="仿宋_GB2312" w:eastAsia="仿宋_GB2312"/>
          <w:sz w:val="32"/>
          <w:lang w:val="en-US" w:eastAsia="zh-CN"/>
        </w:rPr>
        <w:t>15</w:t>
      </w:r>
      <w:r>
        <w:rPr>
          <w:rFonts w:hint="eastAsia" w:ascii="仿宋_GB2312" w:eastAsia="仿宋_GB2312"/>
          <w:sz w:val="32"/>
        </w:rPr>
        <w:t>号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_GB2312" w:hAnsi="宋体"/>
          <w:b/>
          <w:bCs/>
          <w:sz w:val="10"/>
          <w:szCs w:val="1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150"/>
        <w:jc w:val="right"/>
        <w:textAlignment w:val="auto"/>
        <w:rPr>
          <w:rFonts w:hint="eastAsia" w:ascii="楷体_GB2312" w:hAnsi="宋体" w:eastAsia="楷体_GB2312"/>
          <w:b/>
          <w:bCs/>
          <w:sz w:val="32"/>
          <w:szCs w:val="32"/>
        </w:rPr>
      </w:pPr>
      <w:r>
        <w:rPr>
          <w:rFonts w:hint="eastAsia" w:ascii="楷体_GB2312" w:hAnsi="宋体" w:eastAsia="楷体_GB2312"/>
          <w:bCs/>
          <w:sz w:val="32"/>
          <w:szCs w:val="32"/>
        </w:rPr>
        <w:t>答复类型：</w:t>
      </w:r>
      <w:r>
        <w:rPr>
          <w:rFonts w:hint="eastAsia" w:ascii="楷体_GB2312" w:hAnsi="宋体" w:eastAsia="楷体_GB2312"/>
          <w:b/>
          <w:bCs/>
          <w:sz w:val="32"/>
          <w:szCs w:val="32"/>
        </w:rPr>
        <w:t>B</w:t>
      </w:r>
    </w:p>
    <w:p>
      <w:pPr>
        <w:adjustRightInd w:val="0"/>
        <w:snapToGrid w:val="0"/>
        <w:spacing w:line="520" w:lineRule="exact"/>
        <w:jc w:val="right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关于德化县人大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次会议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center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方正小标宋简体" w:eastAsia="方正小标宋简体"/>
          <w:color w:val="auto"/>
          <w:spacing w:val="-8"/>
          <w:sz w:val="44"/>
          <w:szCs w:val="44"/>
        </w:rPr>
        <w:t>第</w:t>
      </w:r>
      <w:r>
        <w:rPr>
          <w:rFonts w:hint="eastAsia" w:ascii="方正小标宋简体" w:eastAsia="方正小标宋简体"/>
          <w:color w:val="auto"/>
          <w:spacing w:val="-8"/>
          <w:sz w:val="44"/>
          <w:szCs w:val="44"/>
          <w:lang w:val="en-US" w:eastAsia="zh-CN"/>
        </w:rPr>
        <w:t>1014</w:t>
      </w:r>
      <w:r>
        <w:rPr>
          <w:rFonts w:hint="eastAsia" w:ascii="方正小标宋简体" w:eastAsia="方正小标宋简体"/>
          <w:color w:val="auto"/>
          <w:spacing w:val="-8"/>
          <w:sz w:val="44"/>
          <w:szCs w:val="44"/>
        </w:rPr>
        <w:t>号建议的答复函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_GB2312" w:hAnsi="楷体_GB2312" w:eastAsia="仿宋_GB2312" w:cs="楷体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郑永生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7位代表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154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提出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《关于加快世界遗址公园的规划建设进度的建议》（第1014号）已收悉，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现将办理情况函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复如下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一是推进规划编制。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8月完成《德化窑国家考古遗址公园详细规划》（以下称《详细规划》）招标，并启动规划编制，2024年5月30日召开详细规划意见征集会议，征集专家、相关乡镇和各部门意见，我局将会组织设计单位结合会议提出的意见建议，加快完善方案编制。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二是做好统筹谋划。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遗址公园尾林-内坂片区位于三班镇，陶瓷文化资源丰富，周围有三班茶具城、月记窑文创园、大兴堡等，我局已多次组织规划编制单位进行现场踏勘，并将茶具城、月记窑、大兴堡纳入《详细规划》方案中作为遗址公园建设的重要组成部分统筹谋划，制定了半日游、一日游、多日游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游览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路线。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三是争取上级资金。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积极争取国家、省、市文物保护专项资金推动遗址公园建设和文物保护，2024年争取省级文物保护专项资金300万元用于大兴堡修缮，同时，编制德化窑国家考古遗址公园片区连接路环境整治规划方案、启动德化窑遗址公园综合提升项目等，计划申报国家文物保护专项资金推进遗址公园建设。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四是部门协同推进。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我局将加强与龙浔、三班两镇及相关部门的沟通对接，做好遗址公园建设各项审批手续的准备工作，将遗址公园建设范围与国土空间规划相衔接，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按照相关政策规定推动遗址公园建设。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下一步，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我局将加快推进德化窑国家考古遗址公园建设，组织规划编制单位高标准、高要求、高质量完善《详细规划》编制，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将德化县独特的</w:t>
      </w:r>
      <w:r>
        <w:rPr>
          <w:rFonts w:hint="eastAsia" w:ascii="仿宋_GB2312" w:hAnsi="仿宋_GB2312" w:eastAsia="仿宋_GB2312" w:cs="仿宋_GB2312"/>
          <w:sz w:val="32"/>
          <w:szCs w:val="32"/>
        </w:rPr>
        <w:t>陶瓷文化、精湛的陶瓷工艺和悠久的陶瓷历史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融入其中，致力将德化窑国家考古遗址公园</w:t>
      </w:r>
      <w:r>
        <w:rPr>
          <w:rFonts w:hint="eastAsia" w:ascii="仿宋_GB2312" w:hAnsi="仿宋_GB2312" w:eastAsia="仿宋_GB2312" w:cs="仿宋_GB2312"/>
          <w:sz w:val="32"/>
          <w:szCs w:val="32"/>
        </w:rPr>
        <w:t>打造成展示和传承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德化</w:t>
      </w:r>
      <w:r>
        <w:rPr>
          <w:rFonts w:hint="eastAsia" w:ascii="仿宋_GB2312" w:hAnsi="仿宋_GB2312" w:eastAsia="仿宋_GB2312" w:cs="仿宋_GB2312"/>
          <w:sz w:val="32"/>
          <w:szCs w:val="32"/>
        </w:rPr>
        <w:t>陶瓷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历史</w:t>
      </w:r>
      <w:r>
        <w:rPr>
          <w:rFonts w:hint="eastAsia" w:ascii="仿宋_GB2312" w:hAnsi="仿宋_GB2312" w:eastAsia="仿宋_GB2312" w:cs="仿宋_GB2312"/>
          <w:sz w:val="32"/>
          <w:szCs w:val="32"/>
        </w:rPr>
        <w:t>文化的重要平台。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分管领导：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陈文伟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经办人员：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许小龙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联系电话：23556257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480" w:firstLineChars="14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480" w:firstLineChars="14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德化县文化体育和旅游局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tbl>
      <w:tblPr>
        <w:tblStyle w:val="4"/>
        <w:tblpPr w:leftFromText="180" w:rightFromText="180" w:vertAnchor="text" w:horzAnchor="page" w:tblpX="1420" w:tblpY="239"/>
        <w:tblOverlap w:val="never"/>
        <w:tblW w:w="92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293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抄送：县人大人事代表工委、县政府督查室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9293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德化县文化体育和旅游局办公室                 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日印发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40" w:lineRule="exact"/>
        <w:ind w:firstLine="5120" w:firstLineChars="16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40" w:lineRule="exact"/>
        <w:ind w:firstLine="5120" w:firstLineChars="16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40" w:lineRule="exact"/>
        <w:ind w:firstLine="5120" w:firstLineChars="16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40" w:lineRule="exact"/>
        <w:ind w:firstLine="5120" w:firstLineChars="16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40" w:lineRule="exact"/>
        <w:ind w:firstLine="5120" w:firstLineChars="16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40" w:lineRule="exact"/>
        <w:ind w:firstLine="5120" w:firstLineChars="16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40" w:lineRule="exact"/>
        <w:ind w:firstLine="5120" w:firstLineChars="16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40" w:lineRule="exact"/>
        <w:ind w:firstLine="5120" w:firstLineChars="16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40" w:lineRule="exact"/>
        <w:ind w:firstLine="5120" w:firstLineChars="16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40" w:lineRule="exact"/>
        <w:ind w:firstLine="5120" w:firstLineChars="16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40" w:lineRule="exact"/>
        <w:ind w:firstLine="5120" w:firstLineChars="16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40" w:lineRule="exact"/>
        <w:ind w:firstLine="5120" w:firstLineChars="16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40" w:lineRule="exact"/>
        <w:ind w:firstLine="5120" w:firstLineChars="16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adjustRightInd w:val="0"/>
        <w:snapToGrid w:val="0"/>
        <w:spacing w:line="500" w:lineRule="exact"/>
        <w:ind w:right="640"/>
        <w:rPr>
          <w:rFonts w:hint="eastAsia" w:ascii="仿宋_GB2312" w:eastAsia="仿宋_GB2312"/>
          <w:sz w:val="32"/>
          <w:szCs w:val="32"/>
        </w:rPr>
      </w:pPr>
    </w:p>
    <w:tbl>
      <w:tblPr>
        <w:tblStyle w:val="4"/>
        <w:tblpPr w:leftFromText="180" w:rightFromText="180" w:vertAnchor="text" w:horzAnchor="page" w:tblpX="1667" w:tblpY="529"/>
        <w:tblOverlap w:val="never"/>
        <w:tblW w:w="92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293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抄送：县人大人事代表工委、县政府督查室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9293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德化县文化体育和旅游局办公室                 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日印发     </w:t>
            </w:r>
          </w:p>
        </w:tc>
      </w:tr>
    </w:tbl>
    <w:p>
      <w:pPr>
        <w:spacing w:line="60" w:lineRule="exact"/>
      </w:pPr>
    </w:p>
    <w:sectPr>
      <w:footerReference r:id="rId3" w:type="default"/>
      <w:footerReference r:id="rId4" w:type="even"/>
      <w:pgSz w:w="11906" w:h="16838"/>
      <w:pgMar w:top="2098" w:right="1531" w:bottom="1984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20"/>
        <w:szCs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780446568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sz w:val="20"/>
                              <w:szCs w:val="20"/>
                            </w:rPr>
                          </w:sdtEndPr>
                          <w:sdtContent>
                            <w:p>
                              <w:pPr>
                                <w:pStyle w:val="2"/>
                                <w:jc w:val="right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780446568"/>
                      <w:docPartObj>
                        <w:docPartGallery w:val="autotext"/>
                      </w:docPartObj>
                    </w:sdtPr>
                    <w:sdtEndPr>
                      <w:rPr>
                        <w:sz w:val="20"/>
                        <w:szCs w:val="20"/>
                      </w:rPr>
                    </w:sdtEndPr>
                    <w:sdtContent>
                      <w:p>
                        <w:pPr>
                          <w:pStyle w:val="2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val="zh-CN"/>
                          </w:rPr>
                          <w:t>2</w: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04014015"/>
                            <w:docPartObj>
                              <w:docPartGallery w:val="autotext"/>
                            </w:docPartObj>
                          </w:sdtPr>
                          <w:sdtContent>
                            <w:p>
                              <w:pPr>
                                <w:pStyle w:val="2"/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04014015"/>
                      <w:docPartObj>
                        <w:docPartGallery w:val="autotext"/>
                      </w:docPartObj>
                    </w:sdtPr>
                    <w:sdtContent>
                      <w:p>
                        <w:pPr>
                          <w:pStyle w:val="2"/>
                        </w:pP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val="zh-CN"/>
                          </w:rPr>
                          <w:t>2</w: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YzdiNzUwYzhkM2IwZDEwMDhjYmY3MDg1YmExYjkifQ=="/>
  </w:docVars>
  <w:rsids>
    <w:rsidRoot w:val="26457691"/>
    <w:rsid w:val="001C6346"/>
    <w:rsid w:val="00211E8B"/>
    <w:rsid w:val="00264B32"/>
    <w:rsid w:val="003D6656"/>
    <w:rsid w:val="004943BB"/>
    <w:rsid w:val="00615E0E"/>
    <w:rsid w:val="0078143C"/>
    <w:rsid w:val="00B969EB"/>
    <w:rsid w:val="00C45AE4"/>
    <w:rsid w:val="024418B4"/>
    <w:rsid w:val="0284056C"/>
    <w:rsid w:val="04206073"/>
    <w:rsid w:val="04506958"/>
    <w:rsid w:val="0532605E"/>
    <w:rsid w:val="06C54CB0"/>
    <w:rsid w:val="075E138C"/>
    <w:rsid w:val="08236132"/>
    <w:rsid w:val="087A0447"/>
    <w:rsid w:val="09F9539C"/>
    <w:rsid w:val="0A6D6CB4"/>
    <w:rsid w:val="0B93537C"/>
    <w:rsid w:val="0CE73BD2"/>
    <w:rsid w:val="0D68630B"/>
    <w:rsid w:val="0E252C04"/>
    <w:rsid w:val="0E7B2823"/>
    <w:rsid w:val="0FEB3F6C"/>
    <w:rsid w:val="11EE5A02"/>
    <w:rsid w:val="120B3EBE"/>
    <w:rsid w:val="131E7C21"/>
    <w:rsid w:val="14FB2910"/>
    <w:rsid w:val="15E16C1D"/>
    <w:rsid w:val="1651030E"/>
    <w:rsid w:val="17D47448"/>
    <w:rsid w:val="17EF7DDE"/>
    <w:rsid w:val="1AB84DFF"/>
    <w:rsid w:val="1B7E7DF7"/>
    <w:rsid w:val="1BB11F7A"/>
    <w:rsid w:val="1D5D48F4"/>
    <w:rsid w:val="214178FD"/>
    <w:rsid w:val="22D36C7A"/>
    <w:rsid w:val="237C67F6"/>
    <w:rsid w:val="23C10881"/>
    <w:rsid w:val="24CE594B"/>
    <w:rsid w:val="250D7AF6"/>
    <w:rsid w:val="256242E5"/>
    <w:rsid w:val="263E08AF"/>
    <w:rsid w:val="26457691"/>
    <w:rsid w:val="280A391D"/>
    <w:rsid w:val="285C6DCA"/>
    <w:rsid w:val="2964687E"/>
    <w:rsid w:val="2BCA04EF"/>
    <w:rsid w:val="2E262354"/>
    <w:rsid w:val="2FA774C5"/>
    <w:rsid w:val="309650EF"/>
    <w:rsid w:val="30CB71E3"/>
    <w:rsid w:val="30E67B79"/>
    <w:rsid w:val="31DE6AA2"/>
    <w:rsid w:val="32DD4D59"/>
    <w:rsid w:val="33233306"/>
    <w:rsid w:val="34627E5E"/>
    <w:rsid w:val="35BF6BEA"/>
    <w:rsid w:val="379876F3"/>
    <w:rsid w:val="3942025E"/>
    <w:rsid w:val="39DA19AE"/>
    <w:rsid w:val="3A1E4827"/>
    <w:rsid w:val="3E6D3687"/>
    <w:rsid w:val="3F6C00E9"/>
    <w:rsid w:val="442E3F67"/>
    <w:rsid w:val="443609BF"/>
    <w:rsid w:val="455A248C"/>
    <w:rsid w:val="468A0B4E"/>
    <w:rsid w:val="47613FA5"/>
    <w:rsid w:val="47F15329"/>
    <w:rsid w:val="48645AFB"/>
    <w:rsid w:val="49555444"/>
    <w:rsid w:val="49DE7B2F"/>
    <w:rsid w:val="4A1564C3"/>
    <w:rsid w:val="4BAB3A41"/>
    <w:rsid w:val="4CD174D7"/>
    <w:rsid w:val="4CEF6533"/>
    <w:rsid w:val="4E2E44B5"/>
    <w:rsid w:val="4E467A51"/>
    <w:rsid w:val="4FE65048"/>
    <w:rsid w:val="512D6CA6"/>
    <w:rsid w:val="52352944"/>
    <w:rsid w:val="52FB3500"/>
    <w:rsid w:val="54680721"/>
    <w:rsid w:val="5588094F"/>
    <w:rsid w:val="55FA2FD9"/>
    <w:rsid w:val="5704754D"/>
    <w:rsid w:val="57D909D8"/>
    <w:rsid w:val="583B62AF"/>
    <w:rsid w:val="588B70D4"/>
    <w:rsid w:val="59523A44"/>
    <w:rsid w:val="5AE12FDB"/>
    <w:rsid w:val="5CCC3817"/>
    <w:rsid w:val="5D047455"/>
    <w:rsid w:val="5DB515A0"/>
    <w:rsid w:val="5E257683"/>
    <w:rsid w:val="5E532442"/>
    <w:rsid w:val="5F6D7533"/>
    <w:rsid w:val="5FA42829"/>
    <w:rsid w:val="61E57855"/>
    <w:rsid w:val="62113437"/>
    <w:rsid w:val="62816E52"/>
    <w:rsid w:val="669F0A04"/>
    <w:rsid w:val="670047E9"/>
    <w:rsid w:val="67182B43"/>
    <w:rsid w:val="693A71C2"/>
    <w:rsid w:val="6AFF300A"/>
    <w:rsid w:val="6B340F05"/>
    <w:rsid w:val="6BAF2C82"/>
    <w:rsid w:val="6E001573"/>
    <w:rsid w:val="6EC852DE"/>
    <w:rsid w:val="6F194DD5"/>
    <w:rsid w:val="6F887A72"/>
    <w:rsid w:val="6FBE16E5"/>
    <w:rsid w:val="71EA4A14"/>
    <w:rsid w:val="73F41B79"/>
    <w:rsid w:val="757D16FB"/>
    <w:rsid w:val="75B0387E"/>
    <w:rsid w:val="77521091"/>
    <w:rsid w:val="7D910439"/>
    <w:rsid w:val="7E5C45A3"/>
    <w:rsid w:val="7E63423D"/>
    <w:rsid w:val="7FBB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??" w:hAnsi="??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Acetate"/>
    <w:basedOn w:val="1"/>
    <w:autoRedefine/>
    <w:qFormat/>
    <w:uiPriority w:val="0"/>
    <w:pPr>
      <w:textAlignment w:val="baseline"/>
    </w:pPr>
    <w:rPr>
      <w:rFonts w:ascii="Calibri" w:hAnsi="Calibri"/>
      <w:sz w:val="18"/>
      <w:szCs w:val="18"/>
    </w:rPr>
  </w:style>
  <w:style w:type="character" w:customStyle="1" w:styleId="7">
    <w:name w:val="页眉 字符"/>
    <w:basedOn w:val="5"/>
    <w:link w:val="3"/>
    <w:autoRedefine/>
    <w:qFormat/>
    <w:uiPriority w:val="0"/>
    <w:rPr>
      <w:rFonts w:ascii="??" w:hAnsi="??" w:eastAsia="宋体" w:cs="Times New Roman"/>
      <w:kern w:val="2"/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rFonts w:ascii="??" w:hAnsi="??" w:eastAsia="宋体" w:cs="Times New Roman"/>
      <w:kern w:val="2"/>
      <w:sz w:val="18"/>
      <w:szCs w:val="18"/>
    </w:rPr>
  </w:style>
  <w:style w:type="paragraph" w:customStyle="1" w:styleId="9">
    <w:name w:val="Normal (Web)_fda71638-1076-4b98-8aed-cebe1c12cbf5"/>
    <w:basedOn w:val="1"/>
    <w:autoRedefine/>
    <w:qFormat/>
    <w:uiPriority w:val="0"/>
    <w:pPr>
      <w:widowControl w:val="0"/>
      <w:jc w:val="both"/>
    </w:pPr>
    <w:rPr>
      <w:kern w:val="2"/>
      <w:lang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782</Words>
  <Characters>816</Characters>
  <Lines>5</Lines>
  <Paragraphs>1</Paragraphs>
  <TotalTime>2</TotalTime>
  <ScaleCrop>false</ScaleCrop>
  <LinksUpToDate>false</LinksUpToDate>
  <CharactersWithSpaces>846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2023-07-26T02:28:00Z</dcterms:created>
  <dc:creator>WPS_1527997543</dc:creator>
  <cp:lastModifiedBy>溜溜球</cp:lastModifiedBy>
  <cp:lastPrinted>2024-06-02T09:26:00Z</cp:lastPrinted>
  <dcterms:modified xsi:type="dcterms:W3CDTF">2024-06-04T03:39:50Z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D92AB83F5CAB48B58C162FFDFA7668C1_13</vt:lpwstr>
  </property>
</Properties>
</file>