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5314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附件1</w:t>
      </w:r>
    </w:p>
    <w:p w14:paraId="6CF3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16E1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省级商务发展提质增效试点工作项目支持方向</w:t>
      </w:r>
    </w:p>
    <w:p w14:paraId="46822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 w14:paraId="4504B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一、内贸方向</w:t>
      </w:r>
    </w:p>
    <w:p w14:paraId="7DFFC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具体项目可在以下范围内自主选择：</w:t>
      </w:r>
    </w:p>
    <w:p w14:paraId="65EEC5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商务领域服务消费。支持围绕当地特色，联动文艺演出、精彩赛事、文化项目、特色非遗、中医养生、历史传承等资源，打造一批影响力广、社交属性强、业态新颖的综合性消费场景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推动形成商旅文体健融合发展的消费集聚区。支持优质消费资源与知名IP跨界联名，打造服务消费地方特色品牌。支持提升公共服务配套水平，加强数字化转型升级，逐步优化商贸服务业消费环境。支持结合自身产业优势，扶持培育与地方发展契合度高、行业影响力强的知名展会。</w:t>
      </w:r>
    </w:p>
    <w:p w14:paraId="1E9A00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县域物流网络构建。支持县域邮政、快递企业、冷链物流企业，建设改造县级物流配送中心、乡镇快递物流站点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村级站点不在支持范围内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和冷链物流网点，支持购买改造仓储、分拣、包装等设施设备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不含物流配送信息管理系统开发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245AF7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3.数商兴农基地建设。支持完善基地设备设施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培育县域农产品直播电商基地、短视频营销中心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组织开展农产品及其他特色产品直播带货、短视频推广等活动，提高县域特色农产品的品牌知名度和市场占有率。</w:t>
      </w:r>
    </w:p>
    <w:p w14:paraId="6DFDEC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4.内贸电商。积极发展品质电商，支持培育一批特色电商产业园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支持培育一批特色电商平台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支持企业通过电子商务扩大福品网络销售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支持发展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人工智能+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消费提质相关电商类项目。</w:t>
      </w:r>
    </w:p>
    <w:p w14:paraId="512FC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5.商贸流通体系建设。支持推进步行街改造提升，商圈、商业综合体、街区智慧化改造，推进一刻钟便民生活圈建设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支持特色二手商品及再生资源流通体系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支持开展福品宣传推广，健全福品推广体系，促进老字号创新发展。支持欠发达地区推进商场、超市、农贸市场、集贸市场、仓储、冷链等项目建设和改造提升。</w:t>
      </w:r>
    </w:p>
    <w:p w14:paraId="7A6233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鼓励创新汽车消费。支持汽车城、汽车综合体、汽车贸易专业市场、汽车贸易走廊等的建设和优化提升。支持汽车流通企业规模化、创新性发展，建设线上线下融合的新车、二手车销售服务体系，打造数字化消费体验场景。支持第三方二手车信息查询平台建设运营，提升二手车流通服务能力。支持各地推动汽车改装、汽车租赁、汽车赛事、房车露营、传统经典车等发展，因地制宜打造汽车与旅游、文化、体育等跨界融合消费创新项目，促进汽车由交通工具向生活空间转变。</w:t>
      </w:r>
    </w:p>
    <w:p w14:paraId="3BC350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7.建设生活必需品流通保供体系。聚焦生活必需品重点品种，建设改造流通保供重大设施，提升农产品批发市场、商贸流通、电商等企业流通保供能力，增强储存、加工、分拣等功能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高骨干仓储加工配送能力和效率，布局一批区域应急保供中心仓。支持完善生活必需品储备调控体系，加强肉、菜、小包装和应急食品等储备建设。支持城乡农贸市场建设改造，推动集农产品交易、餐饮、零售、文旅等多业态为一体的县域商贸中心项目建设。</w:t>
      </w:r>
    </w:p>
    <w:p w14:paraId="2C020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8.培育壮大商贸主体。支持提升商贸主体发展水平，加大力度引育供应链创新、消费科技、数字服务、平台经济等新业态、新模式。支持知名商贸品牌引育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支持商贸流通企业创新连锁经营、即时零售等商业模式，支持提升信息化、数字化水平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支持生产企业实现产销分离，推动企业提质增效。</w:t>
      </w:r>
    </w:p>
    <w:p w14:paraId="76293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9.支持家政服务主体共同推动服务标准化建设。加强集聚、联动发展，引入数字化管理手段，搭建公共服务平台，优化服务供给质量与效率，更好满足居民多样化生活需求。</w:t>
      </w:r>
    </w:p>
    <w:p w14:paraId="4AE83F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10.提升成品油流通数字化监管水平。推进成品油流通大数据管理体系建设，加快构建涵盖批发、仓储、零售等环节的全链条、可追溯动态监管体系，提升成品油流通领域数字化监管效能和服务水平。</w:t>
      </w:r>
    </w:p>
    <w:p w14:paraId="6F884D9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二、外经贸方向</w:t>
      </w:r>
    </w:p>
    <w:p w14:paraId="28DAC9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具体项目可在以下范围内自主选择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5F6AD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搭建重点外贸载体。支持园区型、平台型、链主型重点外贸载体，发挥数字信息化优势、产业资源集聚优势和创新服务潜力，提升我省外贸发展质效。支持培育外贸综合服务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含跨境电商综合服务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企业或平台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支持建设快件通关平台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支持打造跨境电商公共服务中心、保税仓、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家门口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陆地港功能平台，提升外贸企业出口服务能力。支持二手车出口基地企业与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一带一路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、RCEP等重点区域共建营销网络与售后服务体系，支持培育一批二手车出口龙头企业和集散中心。</w:t>
      </w:r>
    </w:p>
    <w:p w14:paraId="3CC5A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发展海外仓和物流。支持海外仓与外贸企业深度融合、协同发展，通过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仓储+展厅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仓储+营销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等模式，推动福建产品及品牌出海。支持物流企业优化运输服务保障，加强与优质外贸企业和跨境电商合作，支持在我省设立集货仓、中转仓、物流集散中心、福建跨境物流综合服务体系，降低物流费用。</w:t>
      </w:r>
    </w:p>
    <w:p w14:paraId="5B7410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3.建设外贸品牌。支持培育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福建省重点培育和发展的国际知名品牌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和跨境电商重点品牌，加强品牌宣传力度，提升福建外贸品牌公信力与国际知名度。</w:t>
      </w:r>
    </w:p>
    <w:p w14:paraId="53A9B9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4.深化工贸、科贸合作。支持单项冠军、科技型中小企业、专精特新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小巨人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高新技术企业等高科技企业拓展外贸业务、开拓国际市场，支持外贸主体培育机构开展主体培育工作。支持重点外贸企业提升以外贸为目的的生产线建设、生产设备、智能系统采购、控制系统升级改造、新产品或新系统研发。</w:t>
      </w:r>
    </w:p>
    <w:p w14:paraId="59044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5.扩大侨商集采。支持建设侨商集采中心，发挥在外闽籍华侨资源优势，对接海外福建商会和产业园区，培育侨商集采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白名单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企业，开展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侨商对接会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海外推介会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等活动，搭建供采对接平台、闽品展销中心等，扩大海外闽企省内采购规模。</w:t>
      </w:r>
    </w:p>
    <w:p w14:paraId="0714C8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建设海外营销体系。支持有实力的外贸企业建立国际营销网络，建设布局一批境外展示中心、分拨中心、批发市场、零售网点、售后维修网点等，提升福建外贸企业海外开展品牌宣传、展示销售、售后服务方面的能力，推动福品销全球。鼓励组展机构在境外独立办展，加大自办展培育力度，组织我省外贸企业组团出境参展拓市场。</w:t>
      </w:r>
    </w:p>
    <w:p w14:paraId="64D4E3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7.推进市场采购贸易。支持有条件的地市开展市场采购业务，推行市场采购全国通关一体化，推进市场采购组货人制度，拓展市场采购集聚区，推动市场采购软硬件升级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负面清单除外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和合规化建设，支持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市场采购+跨境电商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融合发展。</w:t>
      </w:r>
    </w:p>
    <w:p w14:paraId="76F319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8.跨境电商赋能产业带。支持建设产业带展示选品中心，培育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跨境电商+产业带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新模式。支持建设重点跨境电商产业园，汇聚优势产业企业、商会协会和金融、科研等产业上下游资源，配备物流中心等公共配套设施，为入驻企业提供一站式服务。支持企业开展跨境直播、建设独立站、引进直播服务机构等。</w:t>
      </w:r>
    </w:p>
    <w:p w14:paraId="507618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.创新发展服务贸易。支持建设服务贸易国际合作园区和数字、文化、技术、中医药、语言、人力资源、知识产权等服务出口基地，打造服务贸易综合改革开放平台和高质量发展高地。支持创新提升服务贸易和数字服务贸易，推进服务贸易向智能驱动的新型服务方式演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支持服务贸易企业提升贸易数字化水平，推动拓展服务贸易数字化、智能化应用场景。支持扩大国内急需的生产性服务进口，推动医疗健康、文体娱乐等优质生活性服务进口，推动生活性服务业品质化发展。</w:t>
      </w:r>
    </w:p>
    <w:p w14:paraId="1FB7AE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.加大力度引进外资。支持有关地区实施服务业扩大开放综合试点的重要投资项目。支持加大引资稳资力度，在境内外举办外商投资促进活动。支持培育企业开展境外返程投资、引进境外战略投资。支持各地培育建设国家外资标志性项目、重点外资项目，以及全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双百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外资项目。</w:t>
      </w:r>
    </w:p>
    <w:p w14:paraId="0F508D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11.优化口岸营商环境。支持拓宽物流通道、完善物流基础设施，完善口岸软硬件设施，扩展海陆空铁公多式联运，建设集货仓、中转仓等。支持口岸部门开展智慧口岸建设，支持口岸部门拓展跨境贸易便利化。</w:t>
      </w:r>
    </w:p>
    <w:p w14:paraId="11EB1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.推动对外投资与出口联动发展。支持企业开展全球化经营布局，通过对外投资建设海外生产基地、营销网络，拓展海外市场，提升综合实力和品牌影响力。支持企业以合作区为平台，有序开展中间品生产和贸易。支持企业开展设计咨询、投建营一体化等对外承包工程合作，带动国内装备、技术、标准走出去。</w:t>
      </w:r>
    </w:p>
    <w:p w14:paraId="54085609">
      <w:pP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br w:type="page"/>
      </w:r>
    </w:p>
    <w:p w14:paraId="79CFE0F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附件2</w:t>
      </w:r>
    </w:p>
    <w:p w14:paraId="115AE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6DA2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省级商务发展提质增效试点资金使用负面清单</w:t>
      </w:r>
    </w:p>
    <w:p w14:paraId="4226B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 w14:paraId="15841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已获得中央外经贸提质增效示范、县域商业体系建设、现代商贸流通体系试点城市建设、消费新业态新模式新场景试点工作等资金支持的项目。已获得中央专项债及省级地方债支持的项目。已获得省级乡村振兴、县域产业发展资金支持的项目。对于某个项目同时向多个部门申请财政资金补助的，允许就高不重复，由项目实施主体自主选择一方领取。</w:t>
      </w:r>
    </w:p>
    <w:p w14:paraId="7304C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平衡本级财政预算及偿还债务。支付税款、罚款、捐款、赞助、投资等支出。</w:t>
      </w:r>
    </w:p>
    <w:p w14:paraId="5F320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3.人员经费，包括发放人员工资、奖金、劳务费、津补</w:t>
      </w:r>
    </w:p>
    <w:p w14:paraId="0A239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贴等。</w:t>
      </w:r>
    </w:p>
    <w:p w14:paraId="79D836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工作经费，包括项目评审费用、审计费用、绩效评价费用、人员差旅费等。</w:t>
      </w:r>
    </w:p>
    <w:p w14:paraId="647733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建扩建政府性楼堂馆所等明令禁止的相关项目建设。所有项目涉及的土木建筑工程支出（可以支持涉及政府宏观调控、保供稳价、服务民生项目的建设，如农产品批发市场的交易棚、路面平整、仓储设施，冷库新建或改扩建的钢结构、库体保温、地面硬化等建设改造）；房产、土地的租金支出。</w:t>
      </w:r>
    </w:p>
    <w:p w14:paraId="73805C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6.禁止性补贴，包括与进出口实绩直接挂钩的、平台购买流量等涉及购买数据的补贴、税收返还等。</w:t>
      </w:r>
    </w:p>
    <w:p w14:paraId="3BB1A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7.企业内部管理相关投资和支出，如办公楼、员工宿舍、办公物品、人员工资等。企业自建数据平台的研发及人员投入等支出。先购买知识产权、再以知识产权对外投资的支出。</w:t>
      </w:r>
    </w:p>
    <w:p w14:paraId="400330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8.消费券发放。</w:t>
      </w:r>
    </w:p>
    <w:p w14:paraId="2D6FE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9.实施主体将项目授权、转包给其他单位实施。</w:t>
      </w:r>
    </w:p>
    <w:p w14:paraId="0D066D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10.被相关部门列入严重失信主体名单的企业，或拖欠应缴还财政资金的企业。</w:t>
      </w:r>
    </w:p>
    <w:p w14:paraId="7378A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11.其他违反相关规定的支出。</w:t>
      </w:r>
    </w:p>
    <w:p w14:paraId="4322FC47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1A7C6B5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2211" w:right="1417" w:bottom="1984" w:left="1587" w:header="851" w:footer="1247" w:gutter="0"/>
          <w:pgNumType w:fmt="decimal"/>
          <w:cols w:space="425" w:num="1"/>
          <w:docGrid w:type="lines" w:linePitch="312" w:charSpace="0"/>
        </w:sectPr>
      </w:pPr>
    </w:p>
    <w:p w14:paraId="40994081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附件3-1</w:t>
      </w:r>
    </w:p>
    <w:p w14:paraId="39D60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/>
          <w:sz w:val="24"/>
          <w:szCs w:val="32"/>
          <w:lang w:val="en-US" w:eastAsia="zh-CN"/>
        </w:rPr>
      </w:pPr>
    </w:p>
    <w:p w14:paraId="354E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省级商务发展提质增效试点工作拟支持项目情况表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</w:rPr>
        <w:t>内贸方向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sz w:val="44"/>
          <w:szCs w:val="44"/>
          <w:lang w:eastAsia="zh-CN"/>
        </w:rPr>
        <w:t>）</w:t>
      </w:r>
    </w:p>
    <w:p w14:paraId="51A50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pacing w:val="11"/>
          <w:sz w:val="24"/>
          <w:szCs w:val="24"/>
        </w:rPr>
      </w:pPr>
    </w:p>
    <w:p w14:paraId="1541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1"/>
          <w:sz w:val="24"/>
          <w:szCs w:val="24"/>
        </w:rPr>
        <w:t>县</w:t>
      </w:r>
      <w:r>
        <w:rPr>
          <w:rFonts w:hint="eastAsia" w:ascii="黑体" w:hAnsi="黑体" w:eastAsia="黑体" w:cs="黑体"/>
          <w:spacing w:val="11"/>
          <w:sz w:val="24"/>
          <w:szCs w:val="24"/>
          <w:lang w:eastAsia="zh-CN"/>
        </w:rPr>
        <w:t>（</w:t>
      </w:r>
      <w:r>
        <w:rPr>
          <w:rFonts w:ascii="黑体" w:hAnsi="黑体" w:eastAsia="黑体" w:cs="黑体"/>
          <w:spacing w:val="11"/>
          <w:sz w:val="24"/>
          <w:szCs w:val="24"/>
        </w:rPr>
        <w:t>市、区</w:t>
      </w:r>
      <w:r>
        <w:rPr>
          <w:rFonts w:hint="eastAsia" w:ascii="黑体" w:hAnsi="黑体" w:eastAsia="黑体" w:cs="黑体"/>
          <w:spacing w:val="11"/>
          <w:sz w:val="24"/>
          <w:szCs w:val="24"/>
          <w:lang w:eastAsia="zh-CN"/>
        </w:rPr>
        <w:t>）：</w:t>
      </w:r>
      <w:r>
        <w:rPr>
          <w:rFonts w:ascii="黑体" w:hAnsi="黑体" w:eastAsia="黑体" w:cs="黑体"/>
          <w:spacing w:val="-38"/>
          <w:sz w:val="24"/>
          <w:szCs w:val="24"/>
        </w:rPr>
        <w:t xml:space="preserve">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24"/>
          <w:u w:val="single" w:color="auto"/>
          <w:lang w:val="en-US" w:eastAsia="zh-CN"/>
        </w:rPr>
        <w:t xml:space="preserve">  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</w:t>
      </w:r>
    </w:p>
    <w:p w14:paraId="4C0D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1"/>
          <w:sz w:val="24"/>
          <w:szCs w:val="24"/>
        </w:rPr>
        <w:t>填报日期：</w:t>
      </w:r>
      <w:r>
        <w:rPr>
          <w:rFonts w:ascii="黑体" w:hAnsi="黑体" w:eastAsia="黑体" w:cs="黑体"/>
          <w:sz w:val="24"/>
          <w:szCs w:val="24"/>
          <w:u w:val="single" w:color="auto"/>
        </w:rPr>
        <w:t xml:space="preserve">                              </w:t>
      </w:r>
    </w:p>
    <w:p w14:paraId="28369AA6">
      <w:pPr>
        <w:spacing w:before="117" w:line="219" w:lineRule="auto"/>
        <w:jc w:val="right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金额：万元</w:t>
      </w:r>
    </w:p>
    <w:p w14:paraId="65B912A9">
      <w:pPr>
        <w:spacing w:line="25" w:lineRule="exact"/>
      </w:pPr>
    </w:p>
    <w:tbl>
      <w:tblPr>
        <w:tblStyle w:val="8"/>
        <w:tblW w:w="509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661"/>
        <w:gridCol w:w="1139"/>
        <w:gridCol w:w="2356"/>
        <w:gridCol w:w="1371"/>
        <w:gridCol w:w="968"/>
        <w:gridCol w:w="880"/>
        <w:gridCol w:w="1398"/>
        <w:gridCol w:w="1709"/>
        <w:gridCol w:w="602"/>
        <w:gridCol w:w="646"/>
        <w:gridCol w:w="2691"/>
      </w:tblGrid>
      <w:tr w14:paraId="167DB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77" w:type="pct"/>
            <w:vAlign w:val="center"/>
          </w:tcPr>
          <w:p w14:paraId="4BFC3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序号</w:t>
            </w:r>
          </w:p>
        </w:tc>
        <w:tc>
          <w:tcPr>
            <w:tcW w:w="221" w:type="pct"/>
            <w:vAlign w:val="center"/>
          </w:tcPr>
          <w:p w14:paraId="76B7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</w:t>
            </w:r>
          </w:p>
          <w:p w14:paraId="0D165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380" w:type="pct"/>
            <w:vAlign w:val="center"/>
          </w:tcPr>
          <w:p w14:paraId="5284B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实施</w:t>
            </w:r>
          </w:p>
          <w:p w14:paraId="5D514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主体</w:t>
            </w:r>
          </w:p>
        </w:tc>
        <w:tc>
          <w:tcPr>
            <w:tcW w:w="787" w:type="pct"/>
            <w:vAlign w:val="center"/>
          </w:tcPr>
          <w:p w14:paraId="6A794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项目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内容</w:t>
            </w:r>
          </w:p>
          <w:p w14:paraId="3CBD6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简略介绍拟开展的工作内容，申请资金支持具体用途，如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购买设备等</w:t>
            </w: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8" w:type="pct"/>
            <w:vAlign w:val="center"/>
          </w:tcPr>
          <w:p w14:paraId="581FB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截至填报日期项目推进情况</w:t>
            </w:r>
          </w:p>
        </w:tc>
        <w:tc>
          <w:tcPr>
            <w:tcW w:w="323" w:type="pct"/>
            <w:vAlign w:val="center"/>
          </w:tcPr>
          <w:p w14:paraId="08346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实施</w:t>
            </w:r>
          </w:p>
          <w:p w14:paraId="6DA33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期限</w:t>
            </w:r>
          </w:p>
        </w:tc>
        <w:tc>
          <w:tcPr>
            <w:tcW w:w="294" w:type="pct"/>
            <w:vAlign w:val="center"/>
          </w:tcPr>
          <w:p w14:paraId="71C6F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计划投入金额</w:t>
            </w:r>
          </w:p>
        </w:tc>
        <w:tc>
          <w:tcPr>
            <w:tcW w:w="467" w:type="pct"/>
            <w:vAlign w:val="center"/>
          </w:tcPr>
          <w:p w14:paraId="732BD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其他领域财政资金支持情况(专项资金</w:t>
            </w:r>
          </w:p>
          <w:p w14:paraId="1C854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名称、金额）</w:t>
            </w:r>
          </w:p>
        </w:tc>
        <w:tc>
          <w:tcPr>
            <w:tcW w:w="571" w:type="pct"/>
            <w:vAlign w:val="center"/>
          </w:tcPr>
          <w:p w14:paraId="20573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拟申请省级商务</w:t>
            </w:r>
          </w:p>
          <w:p w14:paraId="57119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发展提质增效试点</w:t>
            </w:r>
          </w:p>
          <w:p w14:paraId="45C1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资金支持金额</w:t>
            </w:r>
          </w:p>
        </w:tc>
        <w:tc>
          <w:tcPr>
            <w:tcW w:w="201" w:type="pct"/>
            <w:vAlign w:val="center"/>
          </w:tcPr>
          <w:p w14:paraId="400A9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牵头单位</w:t>
            </w:r>
          </w:p>
        </w:tc>
        <w:tc>
          <w:tcPr>
            <w:tcW w:w="216" w:type="pct"/>
            <w:vAlign w:val="center"/>
          </w:tcPr>
          <w:p w14:paraId="68FFA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配合</w:t>
            </w:r>
          </w:p>
          <w:p w14:paraId="068E8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单位</w:t>
            </w:r>
          </w:p>
        </w:tc>
        <w:tc>
          <w:tcPr>
            <w:tcW w:w="900" w:type="pct"/>
            <w:vAlign w:val="center"/>
          </w:tcPr>
          <w:p w14:paraId="6A67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1"/>
                <w:szCs w:val="21"/>
              </w:rPr>
              <w:t>预期成效</w:t>
            </w:r>
          </w:p>
          <w:p w14:paraId="15FB1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与申报指标表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衔接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，特别是营业额、税收、吸纳就业人数等方面的数据目标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 w14:paraId="231DE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77" w:type="pct"/>
            <w:vAlign w:val="center"/>
          </w:tcPr>
          <w:p w14:paraId="7C5F1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21" w:type="pct"/>
            <w:vAlign w:val="center"/>
          </w:tcPr>
          <w:p w14:paraId="136901E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80" w:type="pct"/>
            <w:vAlign w:val="center"/>
          </w:tcPr>
          <w:p w14:paraId="351D1C6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87" w:type="pct"/>
            <w:vAlign w:val="center"/>
          </w:tcPr>
          <w:p w14:paraId="0A46CDC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58" w:type="pct"/>
            <w:vAlign w:val="center"/>
          </w:tcPr>
          <w:p w14:paraId="5FB0227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23" w:type="pct"/>
            <w:vAlign w:val="center"/>
          </w:tcPr>
          <w:p w14:paraId="26BB06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94" w:type="pct"/>
            <w:vAlign w:val="center"/>
          </w:tcPr>
          <w:p w14:paraId="1485A2F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67" w:type="pct"/>
            <w:vAlign w:val="center"/>
          </w:tcPr>
          <w:p w14:paraId="135DE1B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571" w:type="pct"/>
            <w:vAlign w:val="center"/>
          </w:tcPr>
          <w:p w14:paraId="2AFEEB1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1" w:type="pct"/>
            <w:vAlign w:val="center"/>
          </w:tcPr>
          <w:p w14:paraId="4052EA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" w:type="pct"/>
            <w:vAlign w:val="center"/>
          </w:tcPr>
          <w:p w14:paraId="31D610D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00" w:type="pct"/>
            <w:vAlign w:val="center"/>
          </w:tcPr>
          <w:p w14:paraId="2BBD460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216F8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77" w:type="pct"/>
            <w:vAlign w:val="center"/>
          </w:tcPr>
          <w:p w14:paraId="2E97C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21" w:type="pct"/>
            <w:vAlign w:val="center"/>
          </w:tcPr>
          <w:p w14:paraId="2808478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80" w:type="pct"/>
            <w:vAlign w:val="center"/>
          </w:tcPr>
          <w:p w14:paraId="284AEA5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87" w:type="pct"/>
            <w:vAlign w:val="center"/>
          </w:tcPr>
          <w:p w14:paraId="7725E41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58" w:type="pct"/>
            <w:vAlign w:val="center"/>
          </w:tcPr>
          <w:p w14:paraId="328DD65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23" w:type="pct"/>
            <w:vAlign w:val="center"/>
          </w:tcPr>
          <w:p w14:paraId="6B56B0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94" w:type="pct"/>
            <w:vAlign w:val="center"/>
          </w:tcPr>
          <w:p w14:paraId="0CEA93A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67" w:type="pct"/>
            <w:vAlign w:val="center"/>
          </w:tcPr>
          <w:p w14:paraId="4E68490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571" w:type="pct"/>
            <w:vAlign w:val="center"/>
          </w:tcPr>
          <w:p w14:paraId="5E5A2A3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1" w:type="pct"/>
            <w:vAlign w:val="center"/>
          </w:tcPr>
          <w:p w14:paraId="49C3628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" w:type="pct"/>
            <w:vAlign w:val="center"/>
          </w:tcPr>
          <w:p w14:paraId="6E254D0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00" w:type="pct"/>
            <w:vAlign w:val="center"/>
          </w:tcPr>
          <w:p w14:paraId="39034B5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32304C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atLeast"/>
        </w:trPr>
        <w:tc>
          <w:tcPr>
            <w:tcW w:w="177" w:type="pct"/>
            <w:vAlign w:val="center"/>
          </w:tcPr>
          <w:p w14:paraId="44B7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21" w:type="pct"/>
            <w:vAlign w:val="center"/>
          </w:tcPr>
          <w:p w14:paraId="69DB966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80" w:type="pct"/>
            <w:vAlign w:val="center"/>
          </w:tcPr>
          <w:p w14:paraId="2F0FE30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87" w:type="pct"/>
            <w:vAlign w:val="center"/>
          </w:tcPr>
          <w:p w14:paraId="2CE601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58" w:type="pct"/>
            <w:vAlign w:val="center"/>
          </w:tcPr>
          <w:p w14:paraId="36AEDB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23" w:type="pct"/>
            <w:vAlign w:val="center"/>
          </w:tcPr>
          <w:p w14:paraId="3E61BDA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94" w:type="pct"/>
            <w:vAlign w:val="center"/>
          </w:tcPr>
          <w:p w14:paraId="2DFEBD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67" w:type="pct"/>
            <w:vAlign w:val="center"/>
          </w:tcPr>
          <w:p w14:paraId="1777B658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571" w:type="pct"/>
            <w:vAlign w:val="center"/>
          </w:tcPr>
          <w:p w14:paraId="0DE0603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01" w:type="pct"/>
            <w:vAlign w:val="center"/>
          </w:tcPr>
          <w:p w14:paraId="1F4234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" w:type="pct"/>
            <w:vAlign w:val="center"/>
          </w:tcPr>
          <w:p w14:paraId="7C73B7F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00" w:type="pct"/>
            <w:vAlign w:val="center"/>
          </w:tcPr>
          <w:p w14:paraId="46EC5C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  <w:tr w14:paraId="2992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77" w:type="pct"/>
            <w:vAlign w:val="center"/>
          </w:tcPr>
          <w:p w14:paraId="4131BBA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21" w:type="pct"/>
            <w:vAlign w:val="center"/>
          </w:tcPr>
          <w:p w14:paraId="00ACFA56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80" w:type="pct"/>
            <w:vAlign w:val="center"/>
          </w:tcPr>
          <w:p w14:paraId="0D92C58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787" w:type="pct"/>
            <w:vAlign w:val="center"/>
          </w:tcPr>
          <w:p w14:paraId="48C4F9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458" w:type="pct"/>
            <w:vAlign w:val="center"/>
          </w:tcPr>
          <w:p w14:paraId="4CABAB8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323" w:type="pct"/>
            <w:vAlign w:val="center"/>
          </w:tcPr>
          <w:p w14:paraId="5B831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合计</w:t>
            </w:r>
          </w:p>
        </w:tc>
        <w:tc>
          <w:tcPr>
            <w:tcW w:w="294" w:type="pct"/>
            <w:vAlign w:val="center"/>
          </w:tcPr>
          <w:p w14:paraId="3786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67" w:type="pct"/>
            <w:vAlign w:val="center"/>
          </w:tcPr>
          <w:p w14:paraId="6A86D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71" w:type="pct"/>
            <w:vAlign w:val="center"/>
          </w:tcPr>
          <w:p w14:paraId="4F9BF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01" w:type="pct"/>
            <w:vAlign w:val="center"/>
          </w:tcPr>
          <w:p w14:paraId="26C7F61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216" w:type="pct"/>
            <w:vAlign w:val="center"/>
          </w:tcPr>
          <w:p w14:paraId="0178D57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  <w:tc>
          <w:tcPr>
            <w:tcW w:w="900" w:type="pct"/>
            <w:vAlign w:val="center"/>
          </w:tcPr>
          <w:p w14:paraId="5345029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</w:pPr>
          </w:p>
        </w:tc>
      </w:tr>
    </w:tbl>
    <w:p w14:paraId="6BF580B3">
      <w:pPr>
        <w:spacing w:before="70" w:line="219" w:lineRule="auto"/>
        <w:ind w:left="2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sz w:val="18"/>
          <w:szCs w:val="18"/>
        </w:rPr>
        <w:t>备注：拟支持的项目，可以是正在实施或即将实施的项目，原则上应在试点期间完成建设并发挥成效。正在实施的项目，列入试点时已完成进度原</w:t>
      </w:r>
      <w:r>
        <w:rPr>
          <w:rFonts w:ascii="宋体" w:hAnsi="宋体" w:eastAsia="宋体" w:cs="宋体"/>
          <w:spacing w:val="-1"/>
          <w:sz w:val="18"/>
          <w:szCs w:val="18"/>
        </w:rPr>
        <w:t>则上不超过50%</w:t>
      </w:r>
      <w:r>
        <w:rPr>
          <w:rFonts w:hint="eastAsia" w:ascii="宋体" w:hAnsi="宋体" w:cs="宋体"/>
          <w:spacing w:val="-1"/>
          <w:sz w:val="18"/>
          <w:szCs w:val="18"/>
          <w:lang w:eastAsia="zh-CN"/>
        </w:rPr>
        <w:t>。</w:t>
      </w:r>
    </w:p>
    <w:p w14:paraId="645FE3C0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br w:type="page"/>
      </w:r>
    </w:p>
    <w:p w14:paraId="63277092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附件3-2</w:t>
      </w:r>
    </w:p>
    <w:p w14:paraId="66B6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39"/>
        <w:textAlignment w:val="auto"/>
        <w:rPr>
          <w:rFonts w:ascii="宋体" w:hAnsi="宋体" w:eastAsia="宋体" w:cs="宋体"/>
          <w:b/>
          <w:bCs/>
          <w:spacing w:val="-1"/>
          <w:sz w:val="20"/>
          <w:szCs w:val="20"/>
        </w:rPr>
      </w:pPr>
    </w:p>
    <w:p w14:paraId="59579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省级商务发展提质增效试点工作拟支持项目情况表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</w:rPr>
        <w:t>外经贸方向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8"/>
          <w:sz w:val="44"/>
          <w:szCs w:val="44"/>
          <w:lang w:val="en-US" w:eastAsia="zh-CN"/>
        </w:rPr>
        <w:t>）</w:t>
      </w:r>
    </w:p>
    <w:p w14:paraId="48F1C89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</w:pPr>
    </w:p>
    <w:p w14:paraId="3D7114D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</w:pPr>
      <w:r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>县</w:t>
      </w:r>
      <w:r>
        <w:rPr>
          <w:rFonts w:hint="eastAsia"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>（</w:t>
      </w:r>
      <w:r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>市、区</w:t>
      </w:r>
      <w:r>
        <w:rPr>
          <w:rFonts w:hint="eastAsia"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>）</w:t>
      </w:r>
      <w:r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>：       产业链：</w:t>
      </w:r>
      <w:r>
        <w:rPr>
          <w:rFonts w:hint="eastAsia"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 xml:space="preserve">（产业链的具体范围，由试点县对照《国民经济行业分类》、海关通用的商品品类进行界定并说明）           </w:t>
      </w:r>
    </w:p>
    <w:p w14:paraId="54B51D2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</w:pPr>
      <w:r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 xml:space="preserve">填报日期：          </w:t>
      </w:r>
      <w:r>
        <w:rPr>
          <w:rFonts w:hint="eastAsia"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 xml:space="preserve">        </w:t>
      </w:r>
      <w:r>
        <w:rPr>
          <w:rFonts w:ascii="黑体" w:hAnsi="黑体" w:eastAsia="黑体" w:cs="黑体"/>
          <w:spacing w:val="11"/>
          <w:kern w:val="2"/>
          <w:sz w:val="24"/>
          <w:szCs w:val="24"/>
          <w:lang w:val="en-US" w:eastAsia="zh-CN" w:bidi="ar-SA"/>
        </w:rPr>
        <w:t xml:space="preserve">              </w:t>
      </w:r>
    </w:p>
    <w:p w14:paraId="1B359FD4">
      <w:pPr>
        <w:spacing w:before="117" w:line="219" w:lineRule="auto"/>
        <w:jc w:val="right"/>
        <w:rPr>
          <w:rFonts w:ascii="宋体" w:hAnsi="宋体" w:eastAsia="宋体" w:cs="宋体"/>
          <w:spacing w:val="-1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金额：万元</w:t>
      </w:r>
    </w:p>
    <w:p w14:paraId="0BE2BAE2">
      <w:pPr>
        <w:spacing w:line="15" w:lineRule="exact"/>
      </w:pPr>
    </w:p>
    <w:tbl>
      <w:tblPr>
        <w:tblStyle w:val="8"/>
        <w:tblW w:w="5092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41"/>
        <w:gridCol w:w="1132"/>
        <w:gridCol w:w="2350"/>
        <w:gridCol w:w="1305"/>
        <w:gridCol w:w="716"/>
        <w:gridCol w:w="865"/>
        <w:gridCol w:w="1769"/>
        <w:gridCol w:w="1464"/>
        <w:gridCol w:w="644"/>
        <w:gridCol w:w="689"/>
        <w:gridCol w:w="2838"/>
      </w:tblGrid>
      <w:tr w14:paraId="6F5115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82" w:type="pct"/>
            <w:vAlign w:val="center"/>
          </w:tcPr>
          <w:p w14:paraId="7094E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序号</w:t>
            </w:r>
          </w:p>
        </w:tc>
        <w:tc>
          <w:tcPr>
            <w:tcW w:w="214" w:type="pct"/>
            <w:vAlign w:val="center"/>
          </w:tcPr>
          <w:p w14:paraId="0DC14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</w:t>
            </w:r>
          </w:p>
          <w:p w14:paraId="1AC32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378" w:type="pct"/>
            <w:vAlign w:val="center"/>
          </w:tcPr>
          <w:p w14:paraId="2D562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实施</w:t>
            </w:r>
          </w:p>
          <w:p w14:paraId="2093B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主体</w:t>
            </w:r>
          </w:p>
        </w:tc>
        <w:tc>
          <w:tcPr>
            <w:tcW w:w="785" w:type="pct"/>
            <w:vAlign w:val="center"/>
          </w:tcPr>
          <w:p w14:paraId="7D7A6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项目内容</w:t>
            </w:r>
          </w:p>
          <w:p w14:paraId="6F01E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简略介绍拟开展的工作内容，申请资金支持具体用途如购买设备等</w:t>
            </w: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36" w:type="pct"/>
            <w:vAlign w:val="center"/>
          </w:tcPr>
          <w:p w14:paraId="20E8C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截至填报日期项目推进情况</w:t>
            </w:r>
          </w:p>
        </w:tc>
        <w:tc>
          <w:tcPr>
            <w:tcW w:w="239" w:type="pct"/>
            <w:vAlign w:val="center"/>
          </w:tcPr>
          <w:p w14:paraId="55B2E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实施</w:t>
            </w:r>
          </w:p>
          <w:p w14:paraId="00EB3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期限</w:t>
            </w:r>
          </w:p>
        </w:tc>
        <w:tc>
          <w:tcPr>
            <w:tcW w:w="289" w:type="pct"/>
            <w:vAlign w:val="center"/>
          </w:tcPr>
          <w:p w14:paraId="0AD88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计划投入金额</w:t>
            </w:r>
          </w:p>
        </w:tc>
        <w:tc>
          <w:tcPr>
            <w:tcW w:w="591" w:type="pct"/>
            <w:vAlign w:val="center"/>
          </w:tcPr>
          <w:p w14:paraId="2843B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其他领域财政资金支持情况(专项资金名称、金额）</w:t>
            </w:r>
          </w:p>
        </w:tc>
        <w:tc>
          <w:tcPr>
            <w:tcW w:w="489" w:type="pct"/>
            <w:vAlign w:val="center"/>
          </w:tcPr>
          <w:p w14:paraId="149C8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  <w:p w14:paraId="50F5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拟申请省级商务发展提质增效试点资金支持金额</w:t>
            </w:r>
          </w:p>
        </w:tc>
        <w:tc>
          <w:tcPr>
            <w:tcW w:w="215" w:type="pct"/>
            <w:vAlign w:val="center"/>
          </w:tcPr>
          <w:p w14:paraId="7D3F9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牵头</w:t>
            </w:r>
          </w:p>
          <w:p w14:paraId="0847C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230" w:type="pct"/>
            <w:vAlign w:val="center"/>
          </w:tcPr>
          <w:p w14:paraId="082DC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配合</w:t>
            </w:r>
          </w:p>
          <w:p w14:paraId="35FC2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948" w:type="pct"/>
            <w:vAlign w:val="center"/>
          </w:tcPr>
          <w:p w14:paraId="3698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预期成效</w:t>
            </w:r>
          </w:p>
          <w:p w14:paraId="67744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pacing w:val="-2"/>
                <w:sz w:val="21"/>
                <w:szCs w:val="21"/>
              </w:rPr>
              <w:t>与申报指标表衔接，特别是与产业链对应的产值 、税收、吸纳就业人数、出口、进口、实际使用外资等方面的数据目标</w:t>
            </w:r>
            <w:r>
              <w:rPr>
                <w:rFonts w:hint="eastAsia" w:ascii="宋体" w:hAnsi="宋体" w:cs="宋体"/>
                <w:b/>
                <w:bCs/>
                <w:spacing w:val="-2"/>
                <w:sz w:val="21"/>
                <w:szCs w:val="21"/>
                <w:lang w:eastAsia="zh-CN"/>
              </w:rPr>
              <w:t>）</w:t>
            </w:r>
          </w:p>
        </w:tc>
      </w:tr>
      <w:tr w14:paraId="30E2F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82" w:type="pct"/>
            <w:vAlign w:val="top"/>
          </w:tcPr>
          <w:p w14:paraId="100EC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638CE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214" w:type="pct"/>
            <w:vAlign w:val="top"/>
          </w:tcPr>
          <w:p w14:paraId="2E4714BA">
            <w:pPr>
              <w:pStyle w:val="9"/>
            </w:pPr>
          </w:p>
        </w:tc>
        <w:tc>
          <w:tcPr>
            <w:tcW w:w="378" w:type="pct"/>
            <w:vAlign w:val="top"/>
          </w:tcPr>
          <w:p w14:paraId="06462D3F">
            <w:pPr>
              <w:pStyle w:val="9"/>
            </w:pPr>
          </w:p>
        </w:tc>
        <w:tc>
          <w:tcPr>
            <w:tcW w:w="785" w:type="pct"/>
            <w:vAlign w:val="top"/>
          </w:tcPr>
          <w:p w14:paraId="795E5B7D">
            <w:pPr>
              <w:pStyle w:val="9"/>
            </w:pPr>
          </w:p>
        </w:tc>
        <w:tc>
          <w:tcPr>
            <w:tcW w:w="436" w:type="pct"/>
            <w:vAlign w:val="top"/>
          </w:tcPr>
          <w:p w14:paraId="3020E303">
            <w:pPr>
              <w:pStyle w:val="9"/>
            </w:pPr>
          </w:p>
        </w:tc>
        <w:tc>
          <w:tcPr>
            <w:tcW w:w="239" w:type="pct"/>
            <w:vAlign w:val="top"/>
          </w:tcPr>
          <w:p w14:paraId="5A60DFFB">
            <w:pPr>
              <w:pStyle w:val="9"/>
            </w:pPr>
          </w:p>
        </w:tc>
        <w:tc>
          <w:tcPr>
            <w:tcW w:w="289" w:type="pct"/>
            <w:vAlign w:val="top"/>
          </w:tcPr>
          <w:p w14:paraId="4A92E43F">
            <w:pPr>
              <w:pStyle w:val="9"/>
            </w:pPr>
          </w:p>
        </w:tc>
        <w:tc>
          <w:tcPr>
            <w:tcW w:w="591" w:type="pct"/>
            <w:vAlign w:val="top"/>
          </w:tcPr>
          <w:p w14:paraId="5490C77D">
            <w:pPr>
              <w:pStyle w:val="9"/>
            </w:pPr>
          </w:p>
        </w:tc>
        <w:tc>
          <w:tcPr>
            <w:tcW w:w="489" w:type="pct"/>
            <w:vAlign w:val="top"/>
          </w:tcPr>
          <w:p w14:paraId="10AE7225">
            <w:pPr>
              <w:pStyle w:val="9"/>
            </w:pPr>
          </w:p>
        </w:tc>
        <w:tc>
          <w:tcPr>
            <w:tcW w:w="215" w:type="pct"/>
            <w:vAlign w:val="top"/>
          </w:tcPr>
          <w:p w14:paraId="250BE70E">
            <w:pPr>
              <w:pStyle w:val="9"/>
            </w:pPr>
          </w:p>
        </w:tc>
        <w:tc>
          <w:tcPr>
            <w:tcW w:w="230" w:type="pct"/>
            <w:vAlign w:val="top"/>
          </w:tcPr>
          <w:p w14:paraId="6C471009">
            <w:pPr>
              <w:pStyle w:val="9"/>
            </w:pPr>
          </w:p>
        </w:tc>
        <w:tc>
          <w:tcPr>
            <w:tcW w:w="948" w:type="pct"/>
            <w:vAlign w:val="top"/>
          </w:tcPr>
          <w:p w14:paraId="4D537114">
            <w:pPr>
              <w:pStyle w:val="9"/>
            </w:pPr>
          </w:p>
        </w:tc>
      </w:tr>
      <w:tr w14:paraId="4683FD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82" w:type="pct"/>
            <w:vAlign w:val="top"/>
          </w:tcPr>
          <w:p w14:paraId="1F80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3F9B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214" w:type="pct"/>
            <w:vAlign w:val="top"/>
          </w:tcPr>
          <w:p w14:paraId="0513C721">
            <w:pPr>
              <w:pStyle w:val="9"/>
            </w:pPr>
          </w:p>
        </w:tc>
        <w:tc>
          <w:tcPr>
            <w:tcW w:w="378" w:type="pct"/>
            <w:vAlign w:val="top"/>
          </w:tcPr>
          <w:p w14:paraId="4A9B6598">
            <w:pPr>
              <w:pStyle w:val="9"/>
            </w:pPr>
          </w:p>
        </w:tc>
        <w:tc>
          <w:tcPr>
            <w:tcW w:w="785" w:type="pct"/>
            <w:vAlign w:val="top"/>
          </w:tcPr>
          <w:p w14:paraId="7D61F236">
            <w:pPr>
              <w:pStyle w:val="9"/>
            </w:pPr>
          </w:p>
        </w:tc>
        <w:tc>
          <w:tcPr>
            <w:tcW w:w="436" w:type="pct"/>
            <w:vAlign w:val="top"/>
          </w:tcPr>
          <w:p w14:paraId="07ABC341">
            <w:pPr>
              <w:pStyle w:val="9"/>
            </w:pPr>
          </w:p>
        </w:tc>
        <w:tc>
          <w:tcPr>
            <w:tcW w:w="239" w:type="pct"/>
            <w:vAlign w:val="top"/>
          </w:tcPr>
          <w:p w14:paraId="77934BE4">
            <w:pPr>
              <w:pStyle w:val="9"/>
            </w:pPr>
          </w:p>
        </w:tc>
        <w:tc>
          <w:tcPr>
            <w:tcW w:w="289" w:type="pct"/>
            <w:vAlign w:val="top"/>
          </w:tcPr>
          <w:p w14:paraId="03D948D4">
            <w:pPr>
              <w:pStyle w:val="9"/>
            </w:pPr>
          </w:p>
        </w:tc>
        <w:tc>
          <w:tcPr>
            <w:tcW w:w="591" w:type="pct"/>
            <w:vAlign w:val="top"/>
          </w:tcPr>
          <w:p w14:paraId="7C82BE91">
            <w:pPr>
              <w:pStyle w:val="9"/>
            </w:pPr>
          </w:p>
        </w:tc>
        <w:tc>
          <w:tcPr>
            <w:tcW w:w="489" w:type="pct"/>
            <w:vAlign w:val="top"/>
          </w:tcPr>
          <w:p w14:paraId="57BEF6BA">
            <w:pPr>
              <w:pStyle w:val="9"/>
            </w:pPr>
          </w:p>
        </w:tc>
        <w:tc>
          <w:tcPr>
            <w:tcW w:w="215" w:type="pct"/>
            <w:vAlign w:val="top"/>
          </w:tcPr>
          <w:p w14:paraId="4EEDB9D0">
            <w:pPr>
              <w:pStyle w:val="9"/>
            </w:pPr>
          </w:p>
        </w:tc>
        <w:tc>
          <w:tcPr>
            <w:tcW w:w="230" w:type="pct"/>
            <w:vAlign w:val="top"/>
          </w:tcPr>
          <w:p w14:paraId="6199AD85">
            <w:pPr>
              <w:pStyle w:val="9"/>
            </w:pPr>
          </w:p>
        </w:tc>
        <w:tc>
          <w:tcPr>
            <w:tcW w:w="948" w:type="pct"/>
            <w:vAlign w:val="top"/>
          </w:tcPr>
          <w:p w14:paraId="1216A4AA">
            <w:pPr>
              <w:pStyle w:val="9"/>
            </w:pPr>
          </w:p>
        </w:tc>
      </w:tr>
      <w:tr w14:paraId="6EC28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82" w:type="pct"/>
            <w:vAlign w:val="top"/>
          </w:tcPr>
          <w:p w14:paraId="6A23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</w:p>
          <w:p w14:paraId="782C8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214" w:type="pct"/>
            <w:vAlign w:val="top"/>
          </w:tcPr>
          <w:p w14:paraId="61100617">
            <w:pPr>
              <w:pStyle w:val="9"/>
            </w:pPr>
          </w:p>
        </w:tc>
        <w:tc>
          <w:tcPr>
            <w:tcW w:w="378" w:type="pct"/>
            <w:vAlign w:val="top"/>
          </w:tcPr>
          <w:p w14:paraId="70EAA6D2">
            <w:pPr>
              <w:pStyle w:val="9"/>
            </w:pPr>
          </w:p>
        </w:tc>
        <w:tc>
          <w:tcPr>
            <w:tcW w:w="785" w:type="pct"/>
            <w:vAlign w:val="top"/>
          </w:tcPr>
          <w:p w14:paraId="2DB5DAF2">
            <w:pPr>
              <w:pStyle w:val="9"/>
            </w:pPr>
          </w:p>
        </w:tc>
        <w:tc>
          <w:tcPr>
            <w:tcW w:w="436" w:type="pct"/>
            <w:vAlign w:val="top"/>
          </w:tcPr>
          <w:p w14:paraId="45207586">
            <w:pPr>
              <w:pStyle w:val="9"/>
            </w:pPr>
          </w:p>
        </w:tc>
        <w:tc>
          <w:tcPr>
            <w:tcW w:w="239" w:type="pct"/>
            <w:vAlign w:val="top"/>
          </w:tcPr>
          <w:p w14:paraId="753AAAFC">
            <w:pPr>
              <w:pStyle w:val="9"/>
            </w:pPr>
          </w:p>
        </w:tc>
        <w:tc>
          <w:tcPr>
            <w:tcW w:w="289" w:type="pct"/>
            <w:vAlign w:val="top"/>
          </w:tcPr>
          <w:p w14:paraId="200B26EB">
            <w:pPr>
              <w:pStyle w:val="9"/>
            </w:pPr>
          </w:p>
        </w:tc>
        <w:tc>
          <w:tcPr>
            <w:tcW w:w="591" w:type="pct"/>
            <w:vAlign w:val="top"/>
          </w:tcPr>
          <w:p w14:paraId="0AD6C9D3">
            <w:pPr>
              <w:pStyle w:val="9"/>
            </w:pPr>
          </w:p>
        </w:tc>
        <w:tc>
          <w:tcPr>
            <w:tcW w:w="489" w:type="pct"/>
            <w:vAlign w:val="top"/>
          </w:tcPr>
          <w:p w14:paraId="4B9F94A5">
            <w:pPr>
              <w:pStyle w:val="9"/>
            </w:pPr>
          </w:p>
        </w:tc>
        <w:tc>
          <w:tcPr>
            <w:tcW w:w="215" w:type="pct"/>
            <w:vAlign w:val="top"/>
          </w:tcPr>
          <w:p w14:paraId="27618A06">
            <w:pPr>
              <w:pStyle w:val="9"/>
            </w:pPr>
          </w:p>
        </w:tc>
        <w:tc>
          <w:tcPr>
            <w:tcW w:w="230" w:type="pct"/>
            <w:vAlign w:val="top"/>
          </w:tcPr>
          <w:p w14:paraId="27291B50">
            <w:pPr>
              <w:pStyle w:val="9"/>
            </w:pPr>
          </w:p>
        </w:tc>
        <w:tc>
          <w:tcPr>
            <w:tcW w:w="948" w:type="pct"/>
            <w:vAlign w:val="top"/>
          </w:tcPr>
          <w:p w14:paraId="1D247456">
            <w:pPr>
              <w:pStyle w:val="9"/>
            </w:pPr>
          </w:p>
        </w:tc>
      </w:tr>
      <w:tr w14:paraId="4F42B5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2" w:type="pct"/>
            <w:vAlign w:val="top"/>
          </w:tcPr>
          <w:p w14:paraId="38F9E77D">
            <w:pPr>
              <w:pStyle w:val="9"/>
            </w:pPr>
          </w:p>
        </w:tc>
        <w:tc>
          <w:tcPr>
            <w:tcW w:w="214" w:type="pct"/>
            <w:vAlign w:val="top"/>
          </w:tcPr>
          <w:p w14:paraId="2829AF16">
            <w:pPr>
              <w:pStyle w:val="9"/>
            </w:pPr>
          </w:p>
        </w:tc>
        <w:tc>
          <w:tcPr>
            <w:tcW w:w="378" w:type="pct"/>
            <w:vAlign w:val="top"/>
          </w:tcPr>
          <w:p w14:paraId="2D2F662D">
            <w:pPr>
              <w:pStyle w:val="9"/>
            </w:pPr>
          </w:p>
        </w:tc>
        <w:tc>
          <w:tcPr>
            <w:tcW w:w="785" w:type="pct"/>
            <w:vAlign w:val="top"/>
          </w:tcPr>
          <w:p w14:paraId="40901CC8">
            <w:pPr>
              <w:pStyle w:val="9"/>
            </w:pPr>
          </w:p>
        </w:tc>
        <w:tc>
          <w:tcPr>
            <w:tcW w:w="436" w:type="pct"/>
            <w:vAlign w:val="top"/>
          </w:tcPr>
          <w:p w14:paraId="016C3D76">
            <w:pPr>
              <w:pStyle w:val="9"/>
            </w:pPr>
          </w:p>
        </w:tc>
        <w:tc>
          <w:tcPr>
            <w:tcW w:w="239" w:type="pct"/>
            <w:vAlign w:val="center"/>
          </w:tcPr>
          <w:p w14:paraId="64062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合计</w:t>
            </w:r>
          </w:p>
        </w:tc>
        <w:tc>
          <w:tcPr>
            <w:tcW w:w="289" w:type="pct"/>
            <w:vAlign w:val="center"/>
          </w:tcPr>
          <w:p w14:paraId="79294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591" w:type="pct"/>
            <w:vAlign w:val="center"/>
          </w:tcPr>
          <w:p w14:paraId="2A6B8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489" w:type="pct"/>
            <w:vAlign w:val="center"/>
          </w:tcPr>
          <w:p w14:paraId="107C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1" w:lineRule="auto"/>
              <w:ind w:left="0"/>
              <w:jc w:val="center"/>
              <w:textAlignment w:val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0</w:t>
            </w:r>
          </w:p>
        </w:tc>
        <w:tc>
          <w:tcPr>
            <w:tcW w:w="215" w:type="pct"/>
            <w:vAlign w:val="top"/>
          </w:tcPr>
          <w:p w14:paraId="00AD847C">
            <w:pPr>
              <w:pStyle w:val="9"/>
            </w:pPr>
          </w:p>
        </w:tc>
        <w:tc>
          <w:tcPr>
            <w:tcW w:w="230" w:type="pct"/>
            <w:vAlign w:val="top"/>
          </w:tcPr>
          <w:p w14:paraId="1D43D25B">
            <w:pPr>
              <w:pStyle w:val="9"/>
            </w:pPr>
          </w:p>
        </w:tc>
        <w:tc>
          <w:tcPr>
            <w:tcW w:w="948" w:type="pct"/>
            <w:vAlign w:val="top"/>
          </w:tcPr>
          <w:p w14:paraId="46A67CA9">
            <w:pPr>
              <w:pStyle w:val="9"/>
            </w:pPr>
          </w:p>
        </w:tc>
      </w:tr>
    </w:tbl>
    <w:p w14:paraId="2DB92919">
      <w:pPr>
        <w:spacing w:before="70" w:line="219" w:lineRule="auto"/>
        <w:ind w:left="20"/>
        <w:rPr>
          <w:rFonts w:hint="eastAsia" w:ascii="宋体" w:hAnsi="宋体" w:eastAsia="宋体" w:cs="宋体"/>
          <w:sz w:val="18"/>
          <w:szCs w:val="18"/>
          <w:lang w:eastAsia="zh-CN"/>
        </w:rPr>
      </w:pPr>
      <w:r>
        <w:rPr>
          <w:rFonts w:ascii="宋体" w:hAnsi="宋体" w:eastAsia="宋体" w:cs="宋体"/>
          <w:sz w:val="18"/>
          <w:szCs w:val="18"/>
        </w:rPr>
        <w:t>备注：拟支持的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项目</w:t>
      </w:r>
      <w:r>
        <w:rPr>
          <w:rFonts w:ascii="宋体" w:hAnsi="宋体" w:eastAsia="宋体" w:cs="宋体"/>
          <w:sz w:val="18"/>
          <w:szCs w:val="18"/>
        </w:rPr>
        <w:t>，可以是正在实施或即将实施的项目，原则上应在试点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期间</w:t>
      </w:r>
      <w:r>
        <w:rPr>
          <w:rFonts w:ascii="宋体" w:hAnsi="宋体" w:eastAsia="宋体" w:cs="宋体"/>
          <w:sz w:val="18"/>
          <w:szCs w:val="18"/>
        </w:rPr>
        <w:t>完成建设并发挥成效，正在实施的项目，列入试点时已完成进度原则上不超过50%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 w14:paraId="60FE5A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sectPr>
          <w:pgSz w:w="16838" w:h="11906" w:orient="landscape"/>
          <w:pgMar w:top="1440" w:right="1080" w:bottom="1440" w:left="1080" w:header="851" w:footer="992" w:gutter="0"/>
          <w:pgNumType w:fmt="decimal"/>
          <w:cols w:space="0" w:num="1"/>
          <w:rtlGutter w:val="0"/>
          <w:docGrid w:type="lines" w:linePitch="315" w:charSpace="0"/>
        </w:sectPr>
      </w:pPr>
    </w:p>
    <w:tbl>
      <w:tblPr>
        <w:tblStyle w:val="6"/>
        <w:tblpPr w:leftFromText="180" w:rightFromText="180" w:vertAnchor="text" w:horzAnchor="page" w:tblpXSpec="center" w:tblpY="11945"/>
        <w:tblOverlap w:val="never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0"/>
      </w:tblGrid>
      <w:tr w14:paraId="5103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20" w:type="dxa"/>
            <w:tcBorders>
              <w:left w:val="nil"/>
              <w:right w:val="nil"/>
            </w:tcBorders>
            <w:noWrap/>
            <w:vAlign w:val="top"/>
          </w:tcPr>
          <w:p w14:paraId="4D793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280" w:firstLineChars="100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德化县工业信息化和商务局办公室           202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29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 w14:paraId="595D12CE">
      <w:pPr>
        <w:pStyle w:val="2"/>
        <w:rPr>
          <w:rFonts w:hint="eastAsia"/>
          <w:lang w:val="en-US" w:eastAsia="zh-CN"/>
        </w:rPr>
      </w:pPr>
    </w:p>
    <w:p w14:paraId="0E806CCC">
      <w:bookmarkStart w:id="0" w:name="_GoBack"/>
      <w:bookmarkEnd w:id="0"/>
    </w:p>
    <w:sectPr>
      <w:pgSz w:w="11906" w:h="16838"/>
      <w:pgMar w:top="2211" w:right="1474" w:bottom="1984" w:left="1644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54F4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D6650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D6650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6E5F"/>
    <w:rsid w:val="3D10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仿宋" w:cs="Times New Roman"/>
      <w:color w:val="000000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黑体" w:hAnsi="黑体" w:eastAsia="黑体" w:cs="黑体"/>
      <w:sz w:val="11"/>
      <w:szCs w:val="1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"/>
    <w:basedOn w:val="1"/>
    <w:next w:val="1"/>
    <w:qFormat/>
    <w:uiPriority w:val="0"/>
    <w:pPr>
      <w:ind w:firstLine="420" w:firstLineChars="10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2025-12-30T03:51:00Z</dcterms:created>
  <dc:creator>高梦青</dc:creator>
  <cp:lastModifiedBy>高梦青</cp:lastModifiedBy>
  <dcterms:modified xsi:type="dcterms:W3CDTF">2025-12-30T03:51:56Z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51BC5A1E457E4164B211C7D35B58F1F2_11</vt:lpwstr>
  </property>
  <property fmtid="{D5CDD505-2E9C-101B-9397-08002B2CF9AE}" pid="4" name="KSOTemplateDocerSaveRecord">
    <vt:lpwstr>eyJoZGlkIjoiODFlZTFhYTlmZjYwNjMyZTg1NjljZTcxYWFiNmEyZmMiLCJ1c2VySWQiOiIyMzE4ODc4MjkifQ==</vt:lpwstr>
  </property>
</Properties>
</file>