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仿宋_GB2312" w:eastAsia="仿宋_GB2312"/>
          <w:color w:val="auto"/>
          <w:szCs w:val="32"/>
        </w:rPr>
      </w:pPr>
    </w:p>
    <w:p>
      <w:pPr>
        <w:spacing w:line="570" w:lineRule="exact"/>
        <w:jc w:val="center"/>
        <w:rPr>
          <w:rFonts w:ascii="仿宋_GB2312" w:eastAsia="仿宋_GB2312"/>
          <w:color w:val="auto"/>
          <w:szCs w:val="32"/>
        </w:rPr>
      </w:pPr>
    </w:p>
    <w:p>
      <w:pPr>
        <w:spacing w:line="570" w:lineRule="exact"/>
        <w:jc w:val="center"/>
        <w:rPr>
          <w:rFonts w:ascii="仿宋_GB2312" w:eastAsia="仿宋_GB2312"/>
          <w:color w:val="auto"/>
          <w:szCs w:val="32"/>
        </w:rPr>
      </w:pPr>
    </w:p>
    <w:p>
      <w:pPr>
        <w:spacing w:line="570" w:lineRule="exact"/>
        <w:jc w:val="center"/>
        <w:rPr>
          <w:rFonts w:ascii="仿宋_GB2312" w:eastAsia="仿宋_GB2312"/>
          <w:color w:val="auto"/>
          <w:szCs w:val="32"/>
        </w:rPr>
      </w:pPr>
    </w:p>
    <w:p>
      <w:pPr>
        <w:spacing w:line="570" w:lineRule="exact"/>
        <w:jc w:val="center"/>
        <w:rPr>
          <w:rFonts w:ascii="仿宋_GB2312" w:eastAsia="仿宋_GB2312"/>
          <w:color w:val="auto"/>
          <w:szCs w:val="32"/>
        </w:rPr>
      </w:pPr>
    </w:p>
    <w:p>
      <w:pPr>
        <w:spacing w:line="440" w:lineRule="exact"/>
        <w:jc w:val="center"/>
        <w:rPr>
          <w:rFonts w:ascii="仿宋_GB2312" w:eastAsia="仿宋_GB2312"/>
          <w:color w:val="auto"/>
          <w:szCs w:val="32"/>
        </w:rPr>
      </w:pPr>
    </w:p>
    <w:p>
      <w:pPr>
        <w:spacing w:line="570" w:lineRule="exact"/>
        <w:jc w:val="center"/>
        <w:rPr>
          <w:rFonts w:ascii="仿宋_GB2312" w:eastAsia="仿宋_GB2312"/>
          <w:color w:val="auto"/>
          <w:szCs w:val="32"/>
        </w:rPr>
      </w:pPr>
    </w:p>
    <w:p>
      <w:pPr>
        <w:spacing w:line="560" w:lineRule="exact"/>
        <w:jc w:val="center"/>
        <w:rPr>
          <w:rFonts w:ascii="方正小标宋简体" w:eastAsia="方正小标宋简体"/>
          <w:color w:val="auto"/>
          <w:sz w:val="32"/>
          <w:szCs w:val="32"/>
        </w:rPr>
      </w:pPr>
      <w:r>
        <w:rPr>
          <w:rFonts w:hint="eastAsia" w:ascii="仿宋_GB2312" w:eastAsia="仿宋_GB2312"/>
          <w:color w:val="auto"/>
          <w:sz w:val="32"/>
          <w:szCs w:val="32"/>
        </w:rPr>
        <w:t>德财〔202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号</w:t>
      </w:r>
    </w:p>
    <w:p>
      <w:pPr>
        <w:spacing w:line="560" w:lineRule="exact"/>
        <w:jc w:val="center"/>
        <w:rPr>
          <w:rFonts w:ascii="方正小标宋简体" w:eastAsia="方正小标宋简体"/>
          <w:color w:val="auto"/>
          <w:sz w:val="44"/>
          <w:szCs w:val="44"/>
        </w:rPr>
      </w:pPr>
    </w:p>
    <w:p>
      <w:pPr>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德化县财政局关于202</w:t>
      </w:r>
      <w:r>
        <w:rPr>
          <w:rFonts w:hint="eastAsia" w:ascii="方正小标宋简体" w:eastAsia="方正小标宋简体"/>
          <w:color w:val="auto"/>
          <w:sz w:val="44"/>
          <w:szCs w:val="44"/>
          <w:lang w:val="en-US" w:eastAsia="zh-CN"/>
        </w:rPr>
        <w:t>5</w:t>
      </w:r>
      <w:r>
        <w:rPr>
          <w:rFonts w:hint="eastAsia" w:ascii="方正小标宋简体" w:eastAsia="方正小标宋简体"/>
          <w:color w:val="auto"/>
          <w:sz w:val="44"/>
          <w:szCs w:val="44"/>
        </w:rPr>
        <w:t>年法治政府建设</w:t>
      </w:r>
    </w:p>
    <w:p>
      <w:pPr>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情况的报告</w:t>
      </w:r>
    </w:p>
    <w:p>
      <w:pPr>
        <w:spacing w:line="560" w:lineRule="exact"/>
        <w:jc w:val="left"/>
        <w:rPr>
          <w:rFonts w:ascii="仿宋_GB2312" w:eastAsia="仿宋_GB2312"/>
          <w:color w:val="auto"/>
          <w:sz w:val="32"/>
          <w:szCs w:val="32"/>
        </w:rPr>
      </w:pP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2025年以来，</w:t>
      </w:r>
      <w:r>
        <w:rPr>
          <w:rFonts w:hint="eastAsia" w:ascii="仿宋_GB2312" w:eastAsia="仿宋_GB2312"/>
          <w:color w:val="auto"/>
          <w:sz w:val="32"/>
          <w:szCs w:val="32"/>
        </w:rPr>
        <w:t>德化县财政局始终以习近平新时代中国特色社会主义思想为根本遵循，全面贯彻党的二十大和二十届历次全会精神，深入践行习近平法治思想，牢牢把握习近平总书记在福建考察时的重要讲话精神核心要义，坚决落实党中央全面依法治国决策部署及省、市、县委工作要求，锚定《德化县法治政府建设实施方案（2021-2025年）》</w:t>
      </w:r>
      <w:r>
        <w:rPr>
          <w:rFonts w:hint="eastAsia" w:ascii="仿宋_GB2312" w:eastAsia="仿宋_GB2312"/>
          <w:color w:val="auto"/>
          <w:sz w:val="32"/>
          <w:szCs w:val="32"/>
          <w:lang w:val="en-US" w:eastAsia="zh-CN"/>
        </w:rPr>
        <w:t>各项</w:t>
      </w:r>
      <w:r>
        <w:rPr>
          <w:rFonts w:hint="eastAsia" w:ascii="仿宋_GB2312" w:eastAsia="仿宋_GB2312"/>
          <w:color w:val="auto"/>
          <w:sz w:val="32"/>
          <w:szCs w:val="32"/>
        </w:rPr>
        <w:t>目标任务，</w:t>
      </w:r>
      <w:r>
        <w:rPr>
          <w:rFonts w:hint="eastAsia" w:ascii="仿宋_GB2312" w:eastAsia="仿宋_GB2312"/>
          <w:color w:val="auto"/>
          <w:sz w:val="32"/>
          <w:szCs w:val="32"/>
          <w:lang w:val="en-US" w:eastAsia="zh-CN"/>
        </w:rPr>
        <w:t>持续</w:t>
      </w:r>
      <w:r>
        <w:rPr>
          <w:rFonts w:hint="eastAsia" w:ascii="仿宋_GB2312" w:eastAsia="仿宋_GB2312"/>
          <w:color w:val="auto"/>
          <w:sz w:val="32"/>
          <w:szCs w:val="32"/>
        </w:rPr>
        <w:t>深化拓展 “深学争优、敢为争先、实干争效”行动，</w:t>
      </w:r>
      <w:r>
        <w:rPr>
          <w:rFonts w:hint="eastAsia" w:ascii="仿宋_GB2312" w:eastAsia="仿宋_GB2312"/>
          <w:color w:val="auto"/>
          <w:sz w:val="32"/>
          <w:szCs w:val="32"/>
          <w:lang w:val="en-US" w:eastAsia="zh-CN"/>
        </w:rPr>
        <w:t>深入开展“奋勇争先、建功瓷都”激励行动，</w:t>
      </w:r>
      <w:r>
        <w:rPr>
          <w:rFonts w:hint="eastAsia" w:ascii="仿宋_GB2312" w:eastAsia="仿宋_GB2312"/>
          <w:color w:val="auto"/>
          <w:sz w:val="32"/>
          <w:szCs w:val="32"/>
        </w:rPr>
        <w:t>以深化财政体制改革为抓手，聚焦基础筑牢、重点突破、落地见效，以法治思维规范财政权力运行，以法治方式破解改革发展难题，持续推动财政法治建设提质增效。</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一、202</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年推进法治政府建设的主要举措和成效</w:t>
      </w:r>
    </w:p>
    <w:p>
      <w:pPr>
        <w:numPr>
          <w:ilvl w:val="0"/>
          <w:numId w:val="1"/>
        </w:numPr>
        <w:spacing w:line="560" w:lineRule="exact"/>
        <w:ind w:left="-10" w:leftChars="0" w:firstLine="640" w:firstLineChars="0"/>
        <w:rPr>
          <w:rFonts w:hint="eastAsia" w:ascii="仿宋_GB2312" w:hAnsi="仿宋" w:eastAsia="仿宋_GB2312"/>
          <w:color w:val="auto"/>
          <w:sz w:val="32"/>
          <w:szCs w:val="32"/>
        </w:rPr>
      </w:pPr>
      <w:r>
        <w:rPr>
          <w:rFonts w:hint="eastAsia" w:ascii="楷体_GB2312" w:hAnsi="楷体_GB2312" w:eastAsia="楷体_GB2312" w:cs="楷体_GB2312"/>
          <w:color w:val="auto"/>
          <w:sz w:val="32"/>
          <w:szCs w:val="32"/>
        </w:rPr>
        <w:t>全面加强组织领导，筑牢法治建设保障根基</w:t>
      </w:r>
      <w:r>
        <w:rPr>
          <w:rFonts w:hint="eastAsia" w:ascii="楷体_GB2312" w:hAnsi="楷体_GB2312" w:eastAsia="楷体_GB2312" w:cs="楷体_GB2312"/>
          <w:color w:val="auto"/>
          <w:sz w:val="32"/>
          <w:szCs w:val="32"/>
          <w:lang w:eastAsia="zh-CN"/>
        </w:rPr>
        <w:t>。</w:t>
      </w:r>
      <w:r>
        <w:rPr>
          <w:rFonts w:hint="eastAsia" w:ascii="仿宋_GB2312" w:eastAsia="仿宋_GB2312"/>
          <w:b/>
          <w:bCs w:val="0"/>
          <w:color w:val="auto"/>
          <w:sz w:val="32"/>
          <w:szCs w:val="32"/>
        </w:rPr>
        <w:t>一是</w:t>
      </w:r>
      <w:r>
        <w:rPr>
          <w:rFonts w:hint="eastAsia" w:ascii="仿宋_GB2312" w:hAnsi="仿宋_GB2312" w:eastAsia="仿宋_GB2312" w:cs="仿宋_GB2312"/>
          <w:b/>
          <w:bCs w:val="0"/>
          <w:color w:val="auto"/>
          <w:sz w:val="32"/>
          <w:szCs w:val="32"/>
        </w:rPr>
        <w:t>深化思想引领与能力建设</w:t>
      </w:r>
      <w:r>
        <w:rPr>
          <w:rFonts w:hint="eastAsia" w:ascii="仿宋_GB2312" w:hAnsi="仿宋_GB2312" w:eastAsia="仿宋_GB2312" w:cs="仿宋_GB2312"/>
          <w:b/>
          <w:bCs w:val="0"/>
          <w:color w:val="auto"/>
          <w:sz w:val="32"/>
          <w:szCs w:val="32"/>
          <w:lang w:eastAsia="zh-CN"/>
        </w:rPr>
        <w:t>。</w:t>
      </w:r>
      <w:r>
        <w:rPr>
          <w:rFonts w:hint="eastAsia" w:ascii="仿宋_GB2312" w:eastAsia="仿宋_GB2312"/>
          <w:color w:val="auto"/>
          <w:sz w:val="32"/>
          <w:szCs w:val="32"/>
        </w:rPr>
        <w:t>将学习宣传习近平法治思想作为核心</w:t>
      </w:r>
      <w:r>
        <w:rPr>
          <w:rFonts w:hint="eastAsia" w:ascii="仿宋_GB2312" w:eastAsia="仿宋_GB2312"/>
          <w:color w:val="auto"/>
          <w:sz w:val="32"/>
          <w:szCs w:val="32"/>
          <w:lang w:val="en-US" w:eastAsia="zh-CN"/>
        </w:rPr>
        <w:t>政治</w:t>
      </w:r>
      <w:r>
        <w:rPr>
          <w:rFonts w:hint="eastAsia" w:ascii="仿宋_GB2312" w:eastAsia="仿宋_GB2312"/>
          <w:color w:val="auto"/>
          <w:sz w:val="32"/>
          <w:szCs w:val="32"/>
        </w:rPr>
        <w:t>任务，纳入党组理论学习中心组重点学习内容，系统学习党的二十大及二十届</w:t>
      </w:r>
      <w:r>
        <w:rPr>
          <w:rFonts w:hint="eastAsia" w:ascii="仿宋_GB2312" w:eastAsia="仿宋_GB2312"/>
          <w:color w:val="auto"/>
          <w:sz w:val="32"/>
          <w:szCs w:val="32"/>
          <w:lang w:val="en-US" w:eastAsia="zh-CN"/>
        </w:rPr>
        <w:t>历次</w:t>
      </w:r>
      <w:r>
        <w:rPr>
          <w:rFonts w:hint="eastAsia" w:ascii="仿宋_GB2312" w:eastAsia="仿宋_GB2312"/>
          <w:color w:val="auto"/>
          <w:sz w:val="32"/>
          <w:szCs w:val="32"/>
        </w:rPr>
        <w:t>全会精神和财政领域法律法规，通过专题研讨、培训等形式，推动干部职工主动学法用法，切实增强运用法治思维和法治方式深化改革、推动发展、化解矛盾、维护稳定的能力。</w:t>
      </w:r>
      <w:r>
        <w:rPr>
          <w:rFonts w:hint="eastAsia" w:ascii="仿宋_GB2312" w:hAnsi="仿宋_GB2312" w:eastAsia="仿宋_GB2312" w:cs="仿宋_GB2312"/>
          <w:b/>
          <w:bCs w:val="0"/>
          <w:color w:val="auto"/>
          <w:sz w:val="32"/>
          <w:szCs w:val="32"/>
        </w:rPr>
        <w:t>二是压实法治建设第一责任</w:t>
      </w:r>
      <w:r>
        <w:rPr>
          <w:rFonts w:hint="eastAsia" w:ascii="仿宋_GB2312" w:hAnsi="仿宋_GB2312" w:eastAsia="仿宋_GB2312" w:cs="仿宋_GB2312"/>
          <w:b/>
          <w:bCs w:val="0"/>
          <w:color w:val="auto"/>
          <w:sz w:val="32"/>
          <w:szCs w:val="32"/>
          <w:lang w:eastAsia="zh-CN"/>
        </w:rPr>
        <w:t>。</w:t>
      </w:r>
      <w:r>
        <w:rPr>
          <w:rFonts w:hint="eastAsia" w:ascii="仿宋_GB2312" w:eastAsia="仿宋_GB2312"/>
          <w:color w:val="auto"/>
          <w:sz w:val="32"/>
          <w:szCs w:val="32"/>
        </w:rPr>
        <w:t>局党组书记严格履行推进法治建设第一责任人职责，对法治建设重要工作亲自部署、重大问题亲自过问、重点环节亲自协调、重要任务亲自督办，推动财政各项工作纳入法治化轨道</w:t>
      </w:r>
      <w:r>
        <w:rPr>
          <w:rFonts w:hint="eastAsia" w:ascii="仿宋_GB2312" w:eastAsia="仿宋_GB2312"/>
          <w:color w:val="auto"/>
          <w:sz w:val="32"/>
          <w:szCs w:val="32"/>
          <w:lang w:eastAsia="zh-CN"/>
        </w:rPr>
        <w:t>。</w:t>
      </w:r>
      <w:r>
        <w:rPr>
          <w:rFonts w:hint="eastAsia" w:ascii="仿宋_GB2312" w:eastAsia="仿宋_GB2312"/>
          <w:color w:val="auto"/>
          <w:sz w:val="32"/>
          <w:szCs w:val="32"/>
        </w:rPr>
        <w:t>将普法工作纳入领导班子议事日程，定期召开党组会议专题部署，严格执行 “谁执法谁普法” 责任制，统筹各股室协同推进年度普法工作。</w:t>
      </w:r>
      <w:r>
        <w:rPr>
          <w:rFonts w:hint="eastAsia" w:ascii="仿宋_GB2312" w:hAnsi="仿宋_GB2312" w:eastAsia="仿宋_GB2312" w:cs="仿宋_GB2312"/>
          <w:b/>
          <w:bCs w:val="0"/>
          <w:color w:val="auto"/>
          <w:sz w:val="32"/>
          <w:szCs w:val="32"/>
        </w:rPr>
        <w:t>三是健全推进机制与经费保障</w:t>
      </w:r>
      <w:r>
        <w:rPr>
          <w:rFonts w:hint="eastAsia" w:ascii="仿宋_GB2312" w:hAnsi="仿宋_GB2312" w:eastAsia="仿宋_GB2312" w:cs="仿宋_GB2312"/>
          <w:b/>
          <w:bCs w:val="0"/>
          <w:color w:val="auto"/>
          <w:sz w:val="32"/>
          <w:szCs w:val="32"/>
          <w:lang w:eastAsia="zh-CN"/>
        </w:rPr>
        <w:t>。</w:t>
      </w:r>
      <w:r>
        <w:rPr>
          <w:rFonts w:hint="eastAsia" w:ascii="仿宋_GB2312" w:eastAsia="仿宋_GB2312"/>
          <w:color w:val="auto"/>
          <w:sz w:val="32"/>
          <w:szCs w:val="32"/>
        </w:rPr>
        <w:t>对照省市财政</w:t>
      </w:r>
      <w:r>
        <w:rPr>
          <w:rFonts w:hint="eastAsia" w:ascii="仿宋_GB2312" w:eastAsia="仿宋_GB2312"/>
          <w:color w:val="auto"/>
          <w:sz w:val="32"/>
          <w:szCs w:val="32"/>
          <w:lang w:val="en-US" w:eastAsia="zh-CN"/>
        </w:rPr>
        <w:t>部门</w:t>
      </w:r>
      <w:r>
        <w:rPr>
          <w:rFonts w:hint="eastAsia" w:ascii="仿宋_GB2312" w:eastAsia="仿宋_GB2312"/>
          <w:color w:val="auto"/>
          <w:sz w:val="32"/>
          <w:szCs w:val="32"/>
        </w:rPr>
        <w:t>和县委、县政府“八五”普法规划要求，结合工作实际制定《2025 年德化县财政局普法依法治理工作要点》《2025年度普法责任清单》，将清单任务纳入年度重点工作，完善财政制度体系。发挥财政职能作用，将法治宣传、示范创建、普法活动、专题培训等工作经费足额纳入年度预算，根据工作需要适时追加保障，确保法治建设有序推进。</w:t>
      </w:r>
      <w:r>
        <w:rPr>
          <w:rFonts w:hint="eastAsia" w:ascii="仿宋_GB2312" w:eastAsia="仿宋_GB2312"/>
          <w:b/>
          <w:bCs/>
          <w:color w:val="auto"/>
          <w:sz w:val="32"/>
          <w:szCs w:val="32"/>
          <w:lang w:val="en-US" w:eastAsia="zh-CN"/>
        </w:rPr>
        <w:t>四是</w:t>
      </w:r>
      <w:r>
        <w:rPr>
          <w:rFonts w:hint="eastAsia" w:ascii="仿宋_GB2312" w:eastAsia="仿宋_GB2312"/>
          <w:b/>
          <w:bCs/>
          <w:color w:val="auto"/>
          <w:sz w:val="32"/>
          <w:szCs w:val="32"/>
        </w:rPr>
        <w:t>落实法律顾问制度。</w:t>
      </w:r>
      <w:r>
        <w:rPr>
          <w:rFonts w:hint="eastAsia" w:ascii="仿宋_GB2312" w:eastAsia="仿宋_GB2312"/>
          <w:color w:val="auto"/>
          <w:sz w:val="32"/>
          <w:szCs w:val="32"/>
        </w:rPr>
        <w:t>聘请法律顾问</w:t>
      </w:r>
      <w:r>
        <w:rPr>
          <w:rFonts w:hint="eastAsia" w:ascii="仿宋_GB2312" w:eastAsia="仿宋_GB2312"/>
          <w:color w:val="auto"/>
          <w:sz w:val="32"/>
          <w:szCs w:val="32"/>
          <w:lang w:eastAsia="zh-CN"/>
        </w:rPr>
        <w:t>，</w:t>
      </w:r>
      <w:r>
        <w:rPr>
          <w:rFonts w:hint="eastAsia" w:ascii="仿宋_GB2312" w:eastAsia="仿宋_GB2312"/>
          <w:color w:val="auto"/>
          <w:sz w:val="32"/>
          <w:szCs w:val="32"/>
        </w:rPr>
        <w:t>解答法律问题，为政府采购投诉、行政处罚、规范性文件制定等事项提供法律服务，协助开展法治相关工作，进一步提高我局依法行政、依法理财的能力和水平。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Segoe UI Emoji" w:hAnsi="Segoe UI Emoji" w:eastAsia="Segoe UI Emoji" w:cs="Segoe UI Emoji"/>
          <w:i w:val="0"/>
          <w:caps w:val="0"/>
          <w:color w:val="auto"/>
          <w:spacing w:val="0"/>
          <w:sz w:val="24"/>
          <w:szCs w:val="24"/>
          <w:shd w:val="clear" w:fill="EFF0F1"/>
        </w:rPr>
      </w:pPr>
      <w:r>
        <w:rPr>
          <w:rFonts w:hint="eastAsia" w:ascii="楷体_GB2312" w:eastAsia="楷体_GB2312"/>
          <w:color w:val="auto"/>
          <w:sz w:val="32"/>
          <w:szCs w:val="32"/>
          <w:lang w:eastAsia="zh-CN"/>
        </w:rPr>
        <w:t>（</w:t>
      </w:r>
      <w:r>
        <w:rPr>
          <w:rFonts w:hint="eastAsia" w:ascii="楷体_GB2312" w:eastAsia="楷体_GB2312"/>
          <w:color w:val="auto"/>
          <w:sz w:val="32"/>
          <w:szCs w:val="32"/>
          <w:lang w:val="en-US" w:eastAsia="zh-CN"/>
        </w:rPr>
        <w:t>二</w:t>
      </w:r>
      <w:r>
        <w:rPr>
          <w:rFonts w:hint="eastAsia" w:ascii="楷体_GB2312" w:eastAsia="楷体_GB2312"/>
          <w:color w:val="auto"/>
          <w:sz w:val="32"/>
          <w:szCs w:val="32"/>
          <w:lang w:eastAsia="zh-CN"/>
        </w:rPr>
        <w:t>）</w:t>
      </w:r>
      <w:r>
        <w:rPr>
          <w:rFonts w:hint="eastAsia" w:ascii="楷体_GB2312" w:eastAsia="楷体_GB2312"/>
          <w:color w:val="auto"/>
          <w:sz w:val="32"/>
          <w:szCs w:val="32"/>
        </w:rPr>
        <w:t>着力提升执法水平，</w:t>
      </w:r>
      <w:r>
        <w:rPr>
          <w:rFonts w:hint="eastAsia" w:ascii="楷体_GB2312" w:hAnsi="楷体_GB2312" w:eastAsia="楷体_GB2312" w:cs="楷体_GB2312"/>
          <w:color w:val="auto"/>
          <w:sz w:val="32"/>
          <w:szCs w:val="32"/>
          <w:lang w:val="en-US" w:eastAsia="zh-CN"/>
        </w:rPr>
        <w:t>推进</w:t>
      </w:r>
      <w:r>
        <w:rPr>
          <w:rFonts w:hint="eastAsia" w:ascii="楷体_GB2312" w:hAnsi="楷体_GB2312" w:eastAsia="楷体_GB2312" w:cs="楷体_GB2312"/>
          <w:color w:val="auto"/>
          <w:sz w:val="32"/>
          <w:szCs w:val="32"/>
        </w:rPr>
        <w:t>公正文明执法</w:t>
      </w:r>
      <w:r>
        <w:rPr>
          <w:rFonts w:hint="eastAsia" w:ascii="楷体_GB2312" w:eastAsia="楷体_GB2312"/>
          <w:color w:val="auto"/>
          <w:sz w:val="32"/>
          <w:szCs w:val="32"/>
        </w:rPr>
        <w:t>。</w:t>
      </w:r>
      <w:r>
        <w:rPr>
          <w:rFonts w:hint="eastAsia" w:ascii="仿宋_GB2312" w:eastAsia="仿宋_GB2312"/>
          <w:b/>
          <w:color w:val="auto"/>
          <w:sz w:val="32"/>
          <w:szCs w:val="32"/>
        </w:rPr>
        <w:t>一是</w:t>
      </w:r>
      <w:r>
        <w:rPr>
          <w:rFonts w:hint="eastAsia" w:ascii="仿宋_GB2312" w:eastAsia="仿宋_GB2312"/>
          <w:b/>
          <w:color w:val="auto"/>
          <w:sz w:val="32"/>
          <w:szCs w:val="32"/>
          <w:lang w:val="en-US" w:eastAsia="zh-CN"/>
        </w:rPr>
        <w:t>建强执法人员队伍</w:t>
      </w:r>
      <w:r>
        <w:rPr>
          <w:rFonts w:hint="eastAsia" w:ascii="仿宋_GB2312" w:eastAsia="仿宋_GB2312"/>
          <w:b/>
          <w:color w:val="auto"/>
          <w:sz w:val="32"/>
          <w:szCs w:val="32"/>
        </w:rPr>
        <w:t>。</w:t>
      </w:r>
      <w:r>
        <w:rPr>
          <w:rFonts w:hint="eastAsia" w:ascii="仿宋_GB2312" w:eastAsia="仿宋_GB2312"/>
          <w:b w:val="0"/>
          <w:bCs/>
          <w:color w:val="auto"/>
          <w:sz w:val="32"/>
          <w:szCs w:val="32"/>
        </w:rPr>
        <w:t>落实行政执法人员资格管理和持证上岗制度</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鼓励年轻干部和新录用干部参加202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年度财政系统行政执法资格考试，</w:t>
      </w:r>
      <w:r>
        <w:rPr>
          <w:rFonts w:hint="eastAsia" w:ascii="仿宋_GB2312" w:eastAsia="仿宋_GB2312"/>
          <w:color w:val="auto"/>
          <w:sz w:val="32"/>
          <w:szCs w:val="32"/>
          <w:lang w:val="en-US" w:eastAsia="zh-CN"/>
        </w:rPr>
        <w:t>实现</w:t>
      </w:r>
      <w:r>
        <w:rPr>
          <w:rFonts w:hint="eastAsia" w:ascii="仿宋_GB2312" w:eastAsia="仿宋_GB2312"/>
          <w:color w:val="auto"/>
          <w:sz w:val="32"/>
          <w:szCs w:val="32"/>
        </w:rPr>
        <w:t>综合知识和专业知识考试通过率均为100%</w:t>
      </w:r>
      <w:r>
        <w:rPr>
          <w:rFonts w:hint="eastAsia" w:ascii="仿宋_GB2312" w:eastAsia="仿宋_GB2312"/>
          <w:color w:val="auto"/>
          <w:sz w:val="32"/>
          <w:szCs w:val="32"/>
          <w:lang w:val="en-US" w:eastAsia="zh-CN"/>
        </w:rPr>
        <w:t>的目标</w:t>
      </w:r>
      <w:r>
        <w:rPr>
          <w:rFonts w:hint="eastAsia" w:ascii="仿宋_GB2312" w:eastAsia="仿宋_GB2312"/>
          <w:color w:val="auto"/>
          <w:sz w:val="32"/>
          <w:szCs w:val="32"/>
        </w:rPr>
        <w:t>，组织全体行政执法人员参加网络培训、专题讲座等，推动财政干部牢固树立法治思维和法治观念。</w:t>
      </w:r>
      <w:r>
        <w:rPr>
          <w:rFonts w:hint="eastAsia" w:ascii="仿宋_GB2312" w:eastAsia="仿宋_GB2312"/>
          <w:b/>
          <w:color w:val="auto"/>
          <w:sz w:val="32"/>
          <w:szCs w:val="32"/>
        </w:rPr>
        <w:t>二是深化行政执法体制改革。</w:t>
      </w:r>
      <w:r>
        <w:rPr>
          <w:rFonts w:hint="eastAsia" w:ascii="仿宋_GB2312" w:eastAsia="仿宋_GB2312"/>
          <w:color w:val="auto"/>
          <w:sz w:val="32"/>
          <w:szCs w:val="32"/>
        </w:rPr>
        <w:t>深入贯彻落实新《中华人民共和国行政处罚法》，全面推行行政执法公示、执法全过程记录、重大行政执法决定法制审核“三项制度”，健全执法台账管理体系，规范事前、事中、事后信息公开流程，确保行政执法行为全程可追溯、可监督。</w:t>
      </w:r>
      <w:r>
        <w:rPr>
          <w:rFonts w:hint="eastAsia" w:ascii="仿宋_GB2312" w:eastAsia="仿宋_GB2312"/>
          <w:b/>
          <w:color w:val="auto"/>
          <w:sz w:val="32"/>
          <w:szCs w:val="32"/>
        </w:rPr>
        <w:t>三是</w:t>
      </w:r>
      <w:r>
        <w:rPr>
          <w:rFonts w:hint="eastAsia" w:ascii="仿宋_GB2312" w:eastAsia="仿宋_GB2312"/>
          <w:b/>
          <w:color w:val="auto"/>
          <w:sz w:val="32"/>
          <w:szCs w:val="32"/>
          <w:lang w:val="en-US" w:eastAsia="zh-CN"/>
        </w:rPr>
        <w:t>完善</w:t>
      </w:r>
      <w:r>
        <w:rPr>
          <w:rFonts w:hint="eastAsia" w:ascii="仿宋_GB2312" w:eastAsia="仿宋_GB2312"/>
          <w:b/>
          <w:color w:val="auto"/>
          <w:sz w:val="32"/>
          <w:szCs w:val="32"/>
        </w:rPr>
        <w:t>财政清单管理制度。</w:t>
      </w:r>
      <w:r>
        <w:rPr>
          <w:rFonts w:hint="eastAsia" w:ascii="仿宋_GB2312" w:eastAsia="仿宋_GB2312"/>
          <w:color w:val="auto"/>
          <w:sz w:val="32"/>
          <w:szCs w:val="32"/>
        </w:rPr>
        <w:t>精准对接乡镇履职保障需求，梳理配合履职事项2项（其中牵头落实事项1项、内部配合事项1项），严格遵循 “财力下沉、保障到位、监管有效” 原则，建立支出标准定期评估优化机制，推动财政资金分配与乡镇履职事项清单深度衔接，实现资金投向精准化、保障机制长效化、监管措施高效化。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（三）切实履行财政职能，提升财政管理法治化水平。</w:t>
      </w:r>
      <w:r>
        <w:rPr>
          <w:rFonts w:hint="eastAsia" w:ascii="仿宋_GB2312" w:eastAsia="仿宋_GB2312"/>
          <w:b/>
          <w:bCs/>
          <w:color w:val="auto"/>
          <w:sz w:val="32"/>
          <w:szCs w:val="32"/>
        </w:rPr>
        <w:t>一是</w:t>
      </w:r>
      <w:r>
        <w:rPr>
          <w:rFonts w:hint="eastAsia" w:ascii="仿宋_GB2312" w:eastAsia="仿宋_GB2312"/>
          <w:b/>
          <w:bCs/>
          <w:color w:val="auto"/>
          <w:sz w:val="32"/>
          <w:szCs w:val="32"/>
          <w:lang w:val="en-US" w:eastAsia="zh-CN"/>
        </w:rPr>
        <w:t>强化</w:t>
      </w:r>
      <w:r>
        <w:rPr>
          <w:rFonts w:hint="eastAsia" w:ascii="仿宋_GB2312" w:eastAsia="仿宋_GB2312"/>
          <w:b/>
          <w:bCs/>
          <w:color w:val="auto"/>
          <w:sz w:val="32"/>
          <w:szCs w:val="32"/>
        </w:rPr>
        <w:t>法治经费保障。</w:t>
      </w:r>
      <w:r>
        <w:rPr>
          <w:rFonts w:hint="eastAsia" w:ascii="仿宋_GB2312" w:eastAsia="仿宋_GB2312"/>
          <w:color w:val="auto"/>
          <w:sz w:val="32"/>
          <w:szCs w:val="32"/>
        </w:rPr>
        <w:t>结合财政职能定位，将法治建设工作经费纳入年度预算统筹安排，建立动态调整机制，根据工作实际需求适时追加保障，为法治政府建设提供坚实财力支撑。</w:t>
      </w:r>
      <w:r>
        <w:rPr>
          <w:rFonts w:hint="eastAsia" w:ascii="仿宋_GB2312" w:eastAsia="仿宋_GB2312"/>
          <w:b/>
          <w:bCs/>
          <w:color w:val="auto"/>
          <w:sz w:val="32"/>
          <w:szCs w:val="32"/>
        </w:rPr>
        <w:t>二是加大财会监督力度。</w:t>
      </w:r>
      <w:r>
        <w:rPr>
          <w:rFonts w:hint="eastAsia" w:ascii="仿宋_GB2312" w:eastAsia="仿宋_GB2312"/>
          <w:color w:val="auto"/>
          <w:sz w:val="32"/>
          <w:szCs w:val="32"/>
        </w:rPr>
        <w:t>组织开展202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年会计信息质量检查，完成3家单位监督检查任务，建立问题整改台账，健全长效监管机制，坚决防范重大财经纪律和审计问责风险。</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025年对全县2269个项目涉及金额33.97亿元开展预算绩效目标管理，围绕重点、执点、突出社会民生，选择7个项目开展重点绩效评价工作，进一步强化绩效管理结果与安排预算、完善政策和改进管理的挂钩应用。</w:t>
      </w:r>
      <w:r>
        <w:rPr>
          <w:rFonts w:hint="eastAsia" w:ascii="仿宋_GB2312" w:eastAsia="仿宋_GB2312"/>
          <w:b/>
          <w:bCs/>
          <w:color w:val="auto"/>
          <w:sz w:val="32"/>
          <w:szCs w:val="32"/>
        </w:rPr>
        <w:t>三是优化政府采购营商环境。</w:t>
      </w:r>
      <w:r>
        <w:rPr>
          <w:rFonts w:hint="eastAsia" w:ascii="仿宋_GB2312" w:eastAsia="仿宋_GB2312"/>
          <w:color w:val="auto"/>
          <w:sz w:val="32"/>
          <w:szCs w:val="32"/>
        </w:rPr>
        <w:t>将政府采购营商环境作为财政重点中心工作，做到主要领导亲自抓，分管领导具体抓，坚持每周跟进度、每月必调度、常态抓落实，针对政府采购营商环境的考评指标逐条进行梳理。20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年，德化县营商环境政府采购指标位列全市第二。</w:t>
      </w:r>
      <w:r>
        <w:rPr>
          <w:rFonts w:hint="eastAsia" w:ascii="仿宋_GB2312" w:eastAsia="仿宋_GB2312"/>
          <w:b/>
          <w:bCs/>
          <w:color w:val="auto"/>
          <w:sz w:val="32"/>
          <w:szCs w:val="32"/>
        </w:rPr>
        <w:t>四是自觉接受各方监督。</w:t>
      </w:r>
      <w:r>
        <w:rPr>
          <w:rFonts w:hint="eastAsia" w:ascii="仿宋_GB2312" w:eastAsia="仿宋_GB2312"/>
          <w:color w:val="auto"/>
          <w:sz w:val="32"/>
          <w:szCs w:val="32"/>
        </w:rPr>
        <w:t>严格落实“公开为常态、不公开为例外”原则，全面推进财政信息公开，</w:t>
      </w:r>
      <w:r>
        <w:rPr>
          <w:rFonts w:hint="eastAsia" w:ascii="仿宋_GB2312" w:eastAsia="仿宋_GB2312"/>
          <w:color w:val="auto"/>
          <w:sz w:val="32"/>
          <w:szCs w:val="32"/>
          <w:lang w:val="en-US" w:eastAsia="zh-CN"/>
        </w:rPr>
        <w:t>2025年，累计</w:t>
      </w:r>
      <w:r>
        <w:rPr>
          <w:rFonts w:hint="eastAsia" w:ascii="仿宋_GB2312" w:eastAsia="仿宋_GB2312"/>
          <w:color w:val="auto"/>
          <w:sz w:val="32"/>
          <w:szCs w:val="32"/>
        </w:rPr>
        <w:t>公开政府预决算、部门预决算、政府采购等信息287条。自觉接受党内监督</w:t>
      </w:r>
      <w:r>
        <w:rPr>
          <w:rFonts w:hint="eastAsia" w:ascii="仿宋_GB2312" w:eastAsia="仿宋_GB2312"/>
          <w:color w:val="auto"/>
          <w:sz w:val="32"/>
          <w:szCs w:val="32"/>
          <w:lang w:eastAsia="zh-CN"/>
        </w:rPr>
        <w:t>、</w:t>
      </w:r>
      <w:r>
        <w:rPr>
          <w:rFonts w:hint="eastAsia" w:ascii="仿宋_GB2312" w:eastAsia="仿宋_GB2312"/>
          <w:color w:val="auto"/>
          <w:sz w:val="32"/>
          <w:szCs w:val="32"/>
        </w:rPr>
        <w:t>人大监督、民主监督、司法监督</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审计监督</w:t>
      </w:r>
      <w:r>
        <w:rPr>
          <w:rFonts w:hint="eastAsia" w:ascii="仿宋_GB2312" w:eastAsia="仿宋_GB2312"/>
          <w:color w:val="auto"/>
          <w:sz w:val="32"/>
          <w:szCs w:val="32"/>
          <w:lang w:eastAsia="zh-CN"/>
        </w:rPr>
        <w:t>。</w:t>
      </w:r>
      <w:r>
        <w:rPr>
          <w:rFonts w:hint="eastAsia" w:ascii="仿宋_GB2312" w:eastAsia="仿宋_GB2312"/>
          <w:color w:val="auto"/>
          <w:sz w:val="32"/>
          <w:szCs w:val="32"/>
        </w:rPr>
        <w:t>加强政策解读和回应，对人大代表、政协委员提出的议案及时详细回复，202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年共联合办理人大建议</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件、政协提案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件，答复率、满意率均达到100%。</w:t>
      </w:r>
    </w:p>
    <w:p>
      <w:pPr>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（四）深入开展法治宣传，营造全民守法浓厚氛围。</w:t>
      </w:r>
      <w:r>
        <w:rPr>
          <w:rFonts w:hint="eastAsia" w:ascii="仿宋_GB2312" w:eastAsia="仿宋_GB2312"/>
          <w:b/>
          <w:color w:val="auto"/>
          <w:sz w:val="32"/>
          <w:szCs w:val="32"/>
        </w:rPr>
        <w:t>一是加强</w:t>
      </w:r>
      <w:r>
        <w:rPr>
          <w:rFonts w:hint="eastAsia" w:ascii="仿宋_GB2312" w:eastAsia="仿宋_GB2312"/>
          <w:b/>
          <w:color w:val="auto"/>
          <w:sz w:val="32"/>
          <w:szCs w:val="32"/>
          <w:lang w:val="en-US" w:eastAsia="zh-CN"/>
        </w:rPr>
        <w:t>干部</w:t>
      </w:r>
      <w:r>
        <w:rPr>
          <w:rFonts w:hint="eastAsia" w:ascii="仿宋_GB2312" w:eastAsia="仿宋_GB2312"/>
          <w:b/>
          <w:color w:val="auto"/>
          <w:sz w:val="32"/>
          <w:szCs w:val="32"/>
        </w:rPr>
        <w:t>学法</w:t>
      </w:r>
      <w:r>
        <w:rPr>
          <w:rFonts w:hint="eastAsia" w:ascii="仿宋_GB2312" w:eastAsia="仿宋_GB2312"/>
          <w:b/>
          <w:color w:val="auto"/>
          <w:sz w:val="32"/>
          <w:szCs w:val="32"/>
          <w:lang w:val="en-US" w:eastAsia="zh-CN"/>
        </w:rPr>
        <w:t>用法</w:t>
      </w:r>
      <w:r>
        <w:rPr>
          <w:rFonts w:hint="eastAsia" w:ascii="仿宋_GB2312" w:eastAsia="仿宋_GB2312"/>
          <w:b/>
          <w:color w:val="auto"/>
          <w:sz w:val="32"/>
          <w:szCs w:val="32"/>
        </w:rPr>
        <w:t>。</w:t>
      </w:r>
      <w:r>
        <w:rPr>
          <w:rFonts w:hint="eastAsia" w:ascii="仿宋_GB2312" w:eastAsia="仿宋_GB2312"/>
          <w:color w:val="auto"/>
          <w:sz w:val="32"/>
          <w:szCs w:val="32"/>
        </w:rPr>
        <w:t>通过党组理论学习中心组、</w:t>
      </w:r>
      <w:r>
        <w:rPr>
          <w:rFonts w:hint="eastAsia" w:ascii="仿宋_GB2312" w:eastAsia="仿宋_GB2312"/>
          <w:color w:val="auto"/>
          <w:sz w:val="32"/>
          <w:szCs w:val="32"/>
          <w:lang w:val="en-US" w:eastAsia="zh-CN"/>
        </w:rPr>
        <w:t>专题</w:t>
      </w:r>
      <w:r>
        <w:rPr>
          <w:rFonts w:hint="eastAsia" w:ascii="仿宋_GB2312" w:eastAsia="仿宋_GB2312"/>
          <w:color w:val="auto"/>
          <w:sz w:val="32"/>
          <w:szCs w:val="32"/>
        </w:rPr>
        <w:t>讲座、青年学习交流等多种形式组织学习党的二十</w:t>
      </w:r>
      <w:r>
        <w:rPr>
          <w:rFonts w:hint="eastAsia" w:ascii="仿宋_GB2312" w:eastAsia="仿宋_GB2312"/>
          <w:color w:val="auto"/>
          <w:sz w:val="32"/>
          <w:szCs w:val="32"/>
          <w:lang w:val="en-US" w:eastAsia="zh-CN"/>
        </w:rPr>
        <w:t>大和二十</w:t>
      </w:r>
      <w:r>
        <w:rPr>
          <w:rFonts w:hint="eastAsia" w:ascii="仿宋_GB2312" w:eastAsia="仿宋_GB2312"/>
          <w:color w:val="auto"/>
          <w:sz w:val="32"/>
          <w:szCs w:val="32"/>
        </w:rPr>
        <w:t>届</w:t>
      </w:r>
      <w:r>
        <w:rPr>
          <w:rFonts w:hint="eastAsia" w:ascii="仿宋_GB2312" w:eastAsia="仿宋_GB2312"/>
          <w:color w:val="auto"/>
          <w:sz w:val="32"/>
          <w:szCs w:val="32"/>
          <w:lang w:val="en-US" w:eastAsia="zh-CN"/>
        </w:rPr>
        <w:t>历次</w:t>
      </w:r>
      <w:bookmarkStart w:id="0" w:name="_GoBack"/>
      <w:bookmarkEnd w:id="0"/>
      <w:r>
        <w:rPr>
          <w:rFonts w:hint="eastAsia" w:ascii="仿宋_GB2312" w:eastAsia="仿宋_GB2312"/>
          <w:color w:val="auto"/>
          <w:sz w:val="32"/>
          <w:szCs w:val="32"/>
        </w:rPr>
        <w:t>全会精神，深入学习党章、《中国共产党纪律处分条例》等党内法规，切实增强运用法治思维、法治方式推动财政管理改革和防范化解风险的能力。制定</w:t>
      </w:r>
      <w:r>
        <w:rPr>
          <w:rFonts w:hint="eastAsia" w:ascii="仿宋_GB2312" w:hAnsi="仿宋" w:eastAsia="仿宋_GB2312"/>
          <w:color w:val="auto"/>
          <w:sz w:val="32"/>
          <w:szCs w:val="32"/>
        </w:rPr>
        <w:t>年度普法责任清单</w:t>
      </w:r>
      <w:r>
        <w:rPr>
          <w:rFonts w:hint="eastAsia" w:ascii="仿宋_GB2312" w:eastAsia="仿宋_GB2312"/>
          <w:color w:val="auto"/>
          <w:sz w:val="32"/>
          <w:szCs w:val="32"/>
        </w:rPr>
        <w:t>，将预算法、会计法等作为普法工作重点，提升财政干部法治素养。</w:t>
      </w:r>
      <w:r>
        <w:rPr>
          <w:rFonts w:hint="eastAsia" w:ascii="仿宋_GB2312" w:eastAsia="仿宋_GB2312"/>
          <w:b/>
          <w:color w:val="auto"/>
          <w:sz w:val="32"/>
          <w:szCs w:val="32"/>
        </w:rPr>
        <w:t>二是</w:t>
      </w:r>
      <w:r>
        <w:rPr>
          <w:rFonts w:hint="eastAsia" w:ascii="仿宋_GB2312" w:eastAsia="仿宋_GB2312"/>
          <w:b/>
          <w:color w:val="auto"/>
          <w:sz w:val="32"/>
          <w:szCs w:val="32"/>
          <w:lang w:val="en-US" w:eastAsia="zh-CN"/>
        </w:rPr>
        <w:t>拓宽普法宣传渠道</w:t>
      </w:r>
      <w:r>
        <w:rPr>
          <w:rFonts w:hint="eastAsia" w:ascii="仿宋_GB2312" w:eastAsia="仿宋_GB2312"/>
          <w:b/>
          <w:color w:val="auto"/>
          <w:sz w:val="32"/>
          <w:szCs w:val="32"/>
        </w:rPr>
        <w:t>。</w:t>
      </w:r>
      <w:r>
        <w:rPr>
          <w:rFonts w:hint="eastAsia" w:ascii="仿宋_GB2312" w:eastAsia="仿宋_GB2312"/>
          <w:color w:val="auto"/>
          <w:sz w:val="32"/>
          <w:szCs w:val="32"/>
        </w:rPr>
        <w:t>将普法宣传融入财政日常工作，充分利用民法典</w:t>
      </w:r>
      <w:r>
        <w:rPr>
          <w:rFonts w:hint="eastAsia" w:ascii="仿宋_GB2312" w:eastAsia="仿宋_GB2312"/>
          <w:color w:val="auto"/>
          <w:sz w:val="32"/>
          <w:szCs w:val="32"/>
          <w:lang w:val="en-US" w:eastAsia="zh-CN"/>
        </w:rPr>
        <w:t>宣传月</w:t>
      </w:r>
      <w:r>
        <w:rPr>
          <w:rFonts w:hint="eastAsia" w:ascii="仿宋_GB2312" w:eastAsia="仿宋_GB2312"/>
          <w:color w:val="auto"/>
          <w:sz w:val="32"/>
          <w:szCs w:val="32"/>
        </w:rPr>
        <w:t>、国家安全日、宪法宣传周等重要时间节点，通过微信公众号、工作群等线上方式进行普法宣传，</w:t>
      </w:r>
      <w:r>
        <w:rPr>
          <w:rFonts w:hint="eastAsia" w:ascii="仿宋_GB2312" w:eastAsia="仿宋_GB2312"/>
          <w:color w:val="auto"/>
          <w:sz w:val="32"/>
          <w:szCs w:val="32"/>
          <w:lang w:val="en-US" w:eastAsia="zh-CN"/>
        </w:rPr>
        <w:t>创新</w:t>
      </w:r>
      <w:r>
        <w:rPr>
          <w:rFonts w:hint="eastAsia" w:ascii="仿宋_GB2312" w:eastAsia="仿宋_GB2312"/>
          <w:color w:val="auto"/>
          <w:sz w:val="32"/>
          <w:szCs w:val="32"/>
        </w:rPr>
        <w:t>开展财政普法宣传活动进社区，广泛普及</w:t>
      </w:r>
      <w:r>
        <w:rPr>
          <w:rFonts w:hint="eastAsia" w:ascii="仿宋_GB2312" w:eastAsia="仿宋_GB2312"/>
          <w:color w:val="auto"/>
          <w:sz w:val="32"/>
          <w:szCs w:val="32"/>
          <w:lang w:val="en-US" w:eastAsia="zh-CN"/>
        </w:rPr>
        <w:t>财政</w:t>
      </w:r>
      <w:r>
        <w:rPr>
          <w:rFonts w:hint="eastAsia" w:ascii="仿宋_GB2312" w:eastAsia="仿宋_GB2312"/>
          <w:color w:val="auto"/>
          <w:sz w:val="32"/>
          <w:szCs w:val="32"/>
        </w:rPr>
        <w:t>法律知识，营造良好的法治宣传氛围。</w:t>
      </w:r>
    </w:p>
    <w:p>
      <w:pPr>
        <w:spacing w:line="560" w:lineRule="exact"/>
        <w:ind w:left="160" w:leftChars="76" w:firstLine="480" w:firstLineChars="15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二、存在的不足和原因</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年以来，虽然我局法治财政建设推进工作取得一定成效，但还存在一些不足，主要表现</w:t>
      </w:r>
      <w:r>
        <w:rPr>
          <w:rFonts w:hint="eastAsia" w:ascii="仿宋_GB2312" w:eastAsia="仿宋_GB2312"/>
          <w:color w:val="auto"/>
          <w:sz w:val="32"/>
          <w:szCs w:val="32"/>
          <w:lang w:val="en-US" w:eastAsia="zh-CN"/>
        </w:rPr>
        <w:t>在</w:t>
      </w:r>
      <w:r>
        <w:rPr>
          <w:rFonts w:hint="eastAsia" w:ascii="仿宋_GB2312" w:eastAsia="仿宋_GB2312"/>
          <w:color w:val="auto"/>
          <w:sz w:val="32"/>
          <w:szCs w:val="32"/>
        </w:rPr>
        <w:t>：</w:t>
      </w:r>
      <w:r>
        <w:rPr>
          <w:rFonts w:hint="eastAsia" w:ascii="仿宋_GB2312" w:eastAsia="仿宋_GB2312"/>
          <w:b/>
          <w:color w:val="auto"/>
          <w:sz w:val="32"/>
          <w:szCs w:val="32"/>
        </w:rPr>
        <w:t>一是</w:t>
      </w:r>
      <w:r>
        <w:rPr>
          <w:rFonts w:hint="eastAsia" w:ascii="仿宋_GB2312" w:eastAsia="仿宋_GB2312"/>
          <w:color w:val="auto"/>
          <w:sz w:val="32"/>
          <w:szCs w:val="32"/>
        </w:rPr>
        <w:t>财政干部依法行政、依法理财能力</w:t>
      </w:r>
      <w:r>
        <w:rPr>
          <w:rFonts w:hint="eastAsia" w:ascii="仿宋_GB2312" w:eastAsia="仿宋_GB2312"/>
          <w:color w:val="auto"/>
          <w:sz w:val="32"/>
          <w:szCs w:val="32"/>
          <w:lang w:val="en-US" w:eastAsia="zh-CN"/>
        </w:rPr>
        <w:t>有待</w:t>
      </w:r>
      <w:r>
        <w:rPr>
          <w:rFonts w:hint="eastAsia" w:ascii="仿宋_GB2312" w:eastAsia="仿宋_GB2312"/>
          <w:color w:val="auto"/>
          <w:sz w:val="32"/>
          <w:szCs w:val="32"/>
        </w:rPr>
        <w:t>提升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目前学法形式仍以</w:t>
      </w:r>
      <w:r>
        <w:rPr>
          <w:rFonts w:hint="eastAsia" w:ascii="仿宋_GB2312" w:eastAsia="仿宋_GB2312"/>
          <w:color w:val="auto"/>
          <w:sz w:val="32"/>
          <w:szCs w:val="32"/>
        </w:rPr>
        <w:t>线上平台</w:t>
      </w:r>
      <w:r>
        <w:rPr>
          <w:rFonts w:hint="eastAsia" w:ascii="仿宋_GB2312" w:eastAsia="仿宋_GB2312"/>
          <w:color w:val="auto"/>
          <w:sz w:val="32"/>
          <w:szCs w:val="32"/>
          <w:lang w:val="en-US" w:eastAsia="zh-CN"/>
        </w:rPr>
        <w:t>和专题</w:t>
      </w:r>
      <w:r>
        <w:rPr>
          <w:rFonts w:hint="eastAsia" w:ascii="仿宋_GB2312" w:eastAsia="仿宋_GB2312"/>
          <w:color w:val="auto"/>
          <w:sz w:val="32"/>
          <w:szCs w:val="32"/>
        </w:rPr>
        <w:t>讲座</w:t>
      </w:r>
      <w:r>
        <w:rPr>
          <w:rFonts w:hint="eastAsia" w:ascii="仿宋_GB2312" w:eastAsia="仿宋_GB2312"/>
          <w:color w:val="auto"/>
          <w:sz w:val="32"/>
          <w:szCs w:val="32"/>
          <w:lang w:val="en-US" w:eastAsia="zh-CN"/>
        </w:rPr>
        <w:t>为主</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实践化、场景化培训较少，干部</w:t>
      </w:r>
      <w:r>
        <w:rPr>
          <w:rFonts w:hint="eastAsia" w:ascii="仿宋_GB2312" w:eastAsia="仿宋_GB2312"/>
          <w:color w:val="auto"/>
          <w:sz w:val="32"/>
          <w:szCs w:val="32"/>
        </w:rPr>
        <w:t>运用法治思维和法治手段</w:t>
      </w:r>
      <w:r>
        <w:rPr>
          <w:rFonts w:hint="eastAsia" w:ascii="仿宋_GB2312" w:eastAsia="仿宋_GB2312"/>
          <w:color w:val="auto"/>
          <w:sz w:val="32"/>
          <w:szCs w:val="32"/>
          <w:lang w:val="en-US" w:eastAsia="zh-CN"/>
        </w:rPr>
        <w:t>解决复杂问题、防范化解风险的意识和能力还需进一步增强。</w:t>
      </w:r>
      <w:r>
        <w:rPr>
          <w:rFonts w:hint="eastAsia" w:ascii="仿宋_GB2312" w:eastAsia="仿宋_GB2312"/>
          <w:b/>
          <w:color w:val="auto"/>
          <w:sz w:val="32"/>
          <w:szCs w:val="32"/>
        </w:rPr>
        <w:t>二是</w:t>
      </w:r>
      <w:r>
        <w:rPr>
          <w:rFonts w:hint="eastAsia" w:ascii="仿宋_GB2312" w:eastAsia="仿宋_GB2312"/>
          <w:color w:val="auto"/>
          <w:sz w:val="32"/>
          <w:szCs w:val="32"/>
        </w:rPr>
        <w:t>财政普法</w:t>
      </w:r>
      <w:r>
        <w:rPr>
          <w:rFonts w:hint="eastAsia" w:ascii="仿宋_GB2312" w:eastAsia="仿宋_GB2312"/>
          <w:color w:val="auto"/>
          <w:sz w:val="32"/>
          <w:szCs w:val="32"/>
          <w:lang w:val="en-US" w:eastAsia="zh-CN"/>
        </w:rPr>
        <w:t>宣传实效性有待加强。普法工作</w:t>
      </w:r>
      <w:r>
        <w:rPr>
          <w:rFonts w:hint="eastAsia" w:ascii="仿宋_GB2312" w:eastAsia="仿宋_GB2312"/>
          <w:color w:val="auto"/>
          <w:sz w:val="32"/>
          <w:szCs w:val="32"/>
        </w:rPr>
        <w:t>主要面向机关事业单位，面向社会群众</w:t>
      </w:r>
      <w:r>
        <w:rPr>
          <w:rFonts w:hint="eastAsia" w:ascii="仿宋_GB2312" w:eastAsia="仿宋_GB2312"/>
          <w:color w:val="auto"/>
          <w:sz w:val="32"/>
          <w:szCs w:val="32"/>
          <w:lang w:val="en-US" w:eastAsia="zh-CN"/>
        </w:rPr>
        <w:t>和企业的</w:t>
      </w:r>
      <w:r>
        <w:rPr>
          <w:rFonts w:hint="eastAsia" w:ascii="仿宋_GB2312" w:eastAsia="仿宋_GB2312"/>
          <w:color w:val="auto"/>
          <w:sz w:val="32"/>
          <w:szCs w:val="32"/>
        </w:rPr>
        <w:t>宣传的力度</w:t>
      </w:r>
      <w:r>
        <w:rPr>
          <w:rFonts w:hint="eastAsia" w:ascii="仿宋_GB2312" w:eastAsia="仿宋_GB2312"/>
          <w:color w:val="auto"/>
          <w:sz w:val="32"/>
          <w:szCs w:val="32"/>
          <w:lang w:val="en-US" w:eastAsia="zh-CN"/>
        </w:rPr>
        <w:t>不足</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宣传形式和内容针对性不强，未能充分结合群众关心的民生财政、惠民政策等热点开展普法、财政普法的广度和深度有待拓展。</w:t>
      </w:r>
      <w:r>
        <w:rPr>
          <w:rFonts w:hint="eastAsia" w:ascii="仿宋_GB2312" w:eastAsia="仿宋_GB2312"/>
          <w:b/>
          <w:bCs/>
          <w:color w:val="auto"/>
          <w:sz w:val="32"/>
          <w:szCs w:val="32"/>
          <w:lang w:val="en-US" w:eastAsia="zh-CN"/>
        </w:rPr>
        <w:t>三是</w:t>
      </w:r>
      <w:r>
        <w:rPr>
          <w:rFonts w:hint="eastAsia" w:ascii="仿宋_GB2312" w:eastAsia="仿宋_GB2312"/>
          <w:color w:val="auto"/>
          <w:sz w:val="32"/>
          <w:szCs w:val="32"/>
          <w:lang w:val="en-US" w:eastAsia="zh-CN"/>
        </w:rPr>
        <w:t>法治与业务融合不够紧密。部分工作仍存在“重业务、轻法治”倾向，将法治建设与财政业务同部署、同落实、同考核的机制不够健全，法治对财政改革发展的保障作用未能充分发挥。</w:t>
      </w:r>
    </w:p>
    <w:p>
      <w:pPr>
        <w:spacing w:line="56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三、202</w:t>
      </w:r>
      <w:r>
        <w:rPr>
          <w:rFonts w:hint="eastAsia" w:ascii="黑体" w:hAnsi="黑体" w:eastAsia="黑体" w:cs="仿宋_GB2312"/>
          <w:color w:val="auto"/>
          <w:sz w:val="32"/>
          <w:szCs w:val="32"/>
          <w:lang w:val="en-US" w:eastAsia="zh-CN"/>
        </w:rPr>
        <w:t>6</w:t>
      </w:r>
      <w:r>
        <w:rPr>
          <w:rFonts w:hint="eastAsia" w:ascii="黑体" w:hAnsi="黑体" w:eastAsia="黑体" w:cs="仿宋_GB2312"/>
          <w:color w:val="auto"/>
          <w:sz w:val="32"/>
          <w:szCs w:val="32"/>
        </w:rPr>
        <w:t>年推进法治政府建设主要工作安排</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年，我们将</w:t>
      </w:r>
      <w:r>
        <w:rPr>
          <w:rFonts w:hint="eastAsia" w:ascii="仿宋_GB2312" w:eastAsia="仿宋_GB2312"/>
          <w:color w:val="auto"/>
          <w:sz w:val="32"/>
          <w:szCs w:val="32"/>
          <w:lang w:val="en-US" w:eastAsia="zh-CN"/>
        </w:rPr>
        <w:t>持续</w:t>
      </w:r>
      <w:r>
        <w:rPr>
          <w:rFonts w:hint="eastAsia" w:ascii="仿宋_GB2312" w:eastAsia="仿宋_GB2312"/>
          <w:color w:val="auto"/>
          <w:sz w:val="32"/>
          <w:szCs w:val="32"/>
        </w:rPr>
        <w:t>深入学习贯彻习近平法治思想，</w:t>
      </w:r>
      <w:r>
        <w:rPr>
          <w:rFonts w:hint="eastAsia" w:ascii="仿宋_GB2312" w:eastAsia="仿宋_GB2312"/>
          <w:color w:val="auto"/>
          <w:sz w:val="32"/>
          <w:szCs w:val="32"/>
          <w:lang w:val="en-US" w:eastAsia="zh-CN"/>
        </w:rPr>
        <w:t>深入贯彻</w:t>
      </w:r>
      <w:r>
        <w:rPr>
          <w:rFonts w:hint="eastAsia" w:ascii="仿宋_GB2312" w:eastAsia="仿宋_GB2312"/>
          <w:color w:val="auto"/>
          <w:sz w:val="32"/>
          <w:szCs w:val="32"/>
        </w:rPr>
        <w:t>落实党的二十大和二十届</w:t>
      </w:r>
      <w:r>
        <w:rPr>
          <w:rFonts w:hint="eastAsia" w:ascii="仿宋_GB2312" w:eastAsia="仿宋_GB2312"/>
          <w:color w:val="auto"/>
          <w:sz w:val="32"/>
          <w:szCs w:val="32"/>
          <w:lang w:val="en-US" w:eastAsia="zh-CN"/>
        </w:rPr>
        <w:t>历次</w:t>
      </w:r>
      <w:r>
        <w:rPr>
          <w:rFonts w:hint="eastAsia" w:ascii="仿宋_GB2312" w:eastAsia="仿宋_GB2312"/>
          <w:color w:val="auto"/>
          <w:sz w:val="32"/>
          <w:szCs w:val="32"/>
        </w:rPr>
        <w:t>全会关于法治建设重大部署精神，对标法治建设新要求，以深化财政体制改革为牵引，加快推进法治财政建设提质增效，切实增强运用法治思维和法治方式深化改革、推动发展、化解矛盾、应对风险的能力，</w:t>
      </w:r>
      <w:r>
        <w:rPr>
          <w:rFonts w:hint="eastAsia" w:ascii="仿宋_GB2312" w:eastAsia="仿宋_GB2312"/>
          <w:color w:val="auto"/>
          <w:sz w:val="32"/>
          <w:szCs w:val="32"/>
          <w:lang w:val="en-US" w:eastAsia="zh-CN"/>
        </w:rPr>
        <w:t>全力</w:t>
      </w:r>
      <w:r>
        <w:rPr>
          <w:rFonts w:hint="eastAsia" w:ascii="仿宋_GB2312" w:eastAsia="仿宋_GB2312"/>
          <w:color w:val="auto"/>
          <w:sz w:val="32"/>
          <w:szCs w:val="32"/>
        </w:rPr>
        <w:t>走好新时代法治财政建设之路。</w:t>
      </w:r>
    </w:p>
    <w:p>
      <w:pPr>
        <w:keepNext w:val="0"/>
        <w:keepLines w:val="0"/>
        <w:pageBreakBefore w:val="0"/>
        <w:kinsoku/>
        <w:wordWrap/>
        <w:overflowPunct/>
        <w:topLinePunct w:val="0"/>
        <w:bidi w:val="0"/>
        <w:snapToGrid/>
        <w:spacing w:line="570" w:lineRule="exact"/>
        <w:ind w:firstLine="640" w:firstLineChars="200"/>
        <w:textAlignment w:val="auto"/>
        <w:rPr>
          <w:rFonts w:hint="default"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（一）强化政治引领，打造高素质专业化法治队伍。</w:t>
      </w:r>
      <w:r>
        <w:rPr>
          <w:rFonts w:hint="eastAsia" w:ascii="仿宋_GB2312" w:eastAsia="仿宋_GB2312"/>
          <w:color w:val="auto"/>
          <w:sz w:val="32"/>
          <w:szCs w:val="32"/>
        </w:rPr>
        <w:t>深化习近平法治思想学习教育，将学习贯彻习近平法治思想作为年度学法内容和普法重点，纳入党组理论学习中心组学习和干部教育培训的核心内容，</w:t>
      </w:r>
      <w:r>
        <w:rPr>
          <w:rFonts w:hint="eastAsia" w:ascii="仿宋_GB2312" w:eastAsia="仿宋_GB2312"/>
          <w:color w:val="auto"/>
          <w:sz w:val="32"/>
          <w:szCs w:val="32"/>
          <w:lang w:val="en-US" w:eastAsia="zh-CN"/>
        </w:rPr>
        <w:t>坚持常态化、机制化学习。通过多种形式的学习宣传活动，加强财政干部职工对依法治国、法治政府建设工作重要性的认识。</w:t>
      </w:r>
    </w:p>
    <w:p>
      <w:pPr>
        <w:keepNext w:val="0"/>
        <w:keepLines w:val="0"/>
        <w:pageBreakBefore w:val="0"/>
        <w:kinsoku/>
        <w:wordWrap/>
        <w:overflowPunct/>
        <w:topLinePunct w:val="0"/>
        <w:bidi w:val="0"/>
        <w:snapToGrid/>
        <w:spacing w:line="57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val="0"/>
          <w:bCs w:val="0"/>
          <w:color w:val="auto"/>
          <w:sz w:val="32"/>
          <w:szCs w:val="32"/>
        </w:rPr>
        <w:t>（二）聚焦法治目标，健全依法行政长效机制。</w:t>
      </w:r>
      <w:r>
        <w:rPr>
          <w:rFonts w:hint="default" w:ascii="仿宋_GB2312" w:hAnsi="仿宋_GB2312" w:eastAsia="仿宋_GB2312" w:cs="仿宋_GB2312"/>
          <w:color w:val="auto"/>
          <w:sz w:val="32"/>
          <w:szCs w:val="32"/>
        </w:rPr>
        <w:t>牢固树立过“紧日子”思想，持续压减一般性支出，坚决兜牢“三保”底线，优化支出结构，确保财政资源精准投向发展关键环节和民生迫切领域。不断强化制度保障，坚持科学决策，严格执行部门预算编制流程，严把各类专项资金支出审批关口，切实保障财政资金安全规范高效使用。</w:t>
      </w:r>
      <w:r>
        <w:rPr>
          <w:rFonts w:hint="eastAsia" w:ascii="仿宋_GB2312" w:hAnsi="仿宋_GB2312" w:eastAsia="仿宋_GB2312" w:cs="仿宋_GB2312"/>
          <w:color w:val="auto"/>
          <w:sz w:val="32"/>
          <w:szCs w:val="32"/>
          <w:lang w:val="en-US" w:eastAsia="zh-CN"/>
        </w:rPr>
        <w:t>深化预算绩效管理改革，抓好</w:t>
      </w:r>
      <w:r>
        <w:rPr>
          <w:rFonts w:hint="default" w:ascii="仿宋_GB2312" w:hAnsi="仿宋_GB2312" w:eastAsia="仿宋_GB2312" w:cs="仿宋_GB2312"/>
          <w:color w:val="auto"/>
          <w:sz w:val="32"/>
          <w:szCs w:val="32"/>
        </w:rPr>
        <w:t>事前、事中、事后和整体“四环节”，运用评价结果优化资金配置，提高财政资金使用效益。</w:t>
      </w:r>
    </w:p>
    <w:p>
      <w:pPr>
        <w:keepNext w:val="0"/>
        <w:keepLines w:val="0"/>
        <w:pageBreakBefore w:val="0"/>
        <w:kinsoku/>
        <w:wordWrap/>
        <w:overflowPunct/>
        <w:topLinePunct w:val="0"/>
        <w:bidi w:val="0"/>
        <w:snapToGrid/>
        <w:spacing w:line="570" w:lineRule="exact"/>
        <w:ind w:firstLine="640" w:firstLineChars="200"/>
        <w:textAlignment w:val="auto"/>
        <w:rPr>
          <w:rFonts w:hint="default" w:ascii="仿宋_GB2312" w:hAnsi="仿宋_GB2312" w:eastAsia="仿宋_GB2312" w:cs="仿宋_GB2312"/>
          <w:color w:val="auto"/>
          <w:sz w:val="32"/>
          <w:szCs w:val="32"/>
        </w:rPr>
      </w:pPr>
      <w:r>
        <w:rPr>
          <w:rFonts w:hint="default" w:ascii="楷体_GB2312" w:hAnsi="楷体_GB2312" w:eastAsia="楷体_GB2312" w:cs="楷体_GB2312"/>
          <w:b w:val="0"/>
          <w:bCs w:val="0"/>
          <w:color w:val="auto"/>
          <w:sz w:val="32"/>
          <w:szCs w:val="32"/>
        </w:rPr>
        <w:t>（三）</w:t>
      </w:r>
      <w:r>
        <w:rPr>
          <w:rFonts w:hint="eastAsia" w:ascii="楷体_GB2312" w:hAnsi="楷体_GB2312" w:eastAsia="楷体_GB2312" w:cs="楷体_GB2312"/>
          <w:b w:val="0"/>
          <w:bCs w:val="0"/>
          <w:color w:val="auto"/>
          <w:sz w:val="32"/>
          <w:szCs w:val="32"/>
          <w:lang w:val="en-US" w:eastAsia="zh-CN"/>
        </w:rPr>
        <w:t>深化</w:t>
      </w:r>
      <w:r>
        <w:rPr>
          <w:rFonts w:hint="default" w:ascii="楷体_GB2312" w:hAnsi="楷体_GB2312" w:eastAsia="楷体_GB2312" w:cs="楷体_GB2312"/>
          <w:b w:val="0"/>
          <w:bCs w:val="0"/>
          <w:color w:val="auto"/>
          <w:sz w:val="32"/>
          <w:szCs w:val="32"/>
        </w:rPr>
        <w:t>法治宣传，营造全民学法守法氛围。</w:t>
      </w:r>
      <w:r>
        <w:rPr>
          <w:rFonts w:hint="default" w:ascii="仿宋_GB2312" w:hAnsi="仿宋_GB2312" w:eastAsia="仿宋_GB2312" w:cs="仿宋_GB2312"/>
          <w:color w:val="auto"/>
          <w:sz w:val="32"/>
          <w:szCs w:val="32"/>
        </w:rPr>
        <w:t>深入开展以宪法为核心的全民普法宣传教育活动，创新宣教机制、拓展宣教载体</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聚焦群众关心的预算管理、政府采购、惠民政策等热点，依托微信公众号</w:t>
      </w:r>
      <w:r>
        <w:rPr>
          <w:rFonts w:hint="eastAsia" w:ascii="仿宋_GB2312" w:hAnsi="仿宋_GB2312" w:eastAsia="仿宋_GB2312" w:cs="仿宋_GB2312"/>
          <w:color w:val="auto"/>
          <w:sz w:val="32"/>
          <w:szCs w:val="32"/>
          <w:lang w:val="en-US" w:eastAsia="zh-CN"/>
        </w:rPr>
        <w:t>等载体</w:t>
      </w:r>
      <w:r>
        <w:rPr>
          <w:rFonts w:hint="default" w:ascii="仿宋_GB2312" w:hAnsi="仿宋_GB2312" w:eastAsia="仿宋_GB2312" w:cs="仿宋_GB2312"/>
          <w:color w:val="auto"/>
          <w:sz w:val="32"/>
          <w:szCs w:val="32"/>
        </w:rPr>
        <w:t>，定期推送财政法律法规和典型案例，提升普法宣传的趣味性和实效性。</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加强</w:t>
      </w:r>
      <w:r>
        <w:rPr>
          <w:rFonts w:hint="eastAsia" w:ascii="楷体_GB2312" w:hAnsi="楷体_GB2312" w:eastAsia="楷体_GB2312" w:cs="楷体_GB2312"/>
          <w:b w:val="0"/>
          <w:bCs w:val="0"/>
          <w:color w:val="auto"/>
          <w:sz w:val="32"/>
          <w:szCs w:val="32"/>
          <w:lang w:eastAsia="zh-CN"/>
        </w:rPr>
        <w:t>财政监督，</w:t>
      </w:r>
      <w:r>
        <w:rPr>
          <w:rFonts w:hint="eastAsia" w:ascii="楷体_GB2312" w:hAnsi="楷体_GB2312" w:eastAsia="楷体_GB2312" w:cs="楷体_GB2312"/>
          <w:b w:val="0"/>
          <w:bCs w:val="0"/>
          <w:color w:val="auto"/>
          <w:sz w:val="32"/>
          <w:szCs w:val="32"/>
          <w:lang w:val="en-US" w:eastAsia="zh-CN"/>
        </w:rPr>
        <w:t>发挥协同贯通积极作用</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z w:val="32"/>
          <w:szCs w:val="32"/>
          <w:lang w:eastAsia="zh-CN"/>
        </w:rPr>
        <w:t>持续完善财会监督体系和工作机制，</w:t>
      </w:r>
      <w:r>
        <w:rPr>
          <w:rFonts w:hint="default" w:ascii="仿宋_GB2312" w:hAnsi="仿宋_GB2312" w:eastAsia="仿宋_GB2312" w:cs="仿宋_GB2312"/>
          <w:color w:val="auto"/>
          <w:sz w:val="32"/>
          <w:szCs w:val="32"/>
        </w:rPr>
        <w:t>推动财会监督与人大监督、审计监督、司法监督等各类监督贯通协调，建立信息共享、线索移送、成果共用机制，形成监督合力。自觉接受人大、审计等监督，坚持解决具体问题与建立长效机制同步推进，不断提升财政管理规范化水平。</w:t>
      </w:r>
    </w:p>
    <w:p>
      <w:pPr>
        <w:spacing w:line="560" w:lineRule="exact"/>
        <w:ind w:firstLine="5510" w:firstLineChars="1722"/>
        <w:rPr>
          <w:rFonts w:ascii="仿宋_GB2312" w:eastAsia="仿宋_GB2312"/>
          <w:color w:val="auto"/>
          <w:sz w:val="32"/>
          <w:szCs w:val="32"/>
        </w:rPr>
      </w:pPr>
    </w:p>
    <w:p>
      <w:pPr>
        <w:spacing w:line="560" w:lineRule="exact"/>
        <w:ind w:firstLine="5510" w:firstLineChars="1722"/>
        <w:rPr>
          <w:rFonts w:ascii="仿宋_GB2312" w:eastAsia="仿宋_GB2312"/>
          <w:color w:val="auto"/>
          <w:sz w:val="32"/>
          <w:szCs w:val="32"/>
        </w:rPr>
      </w:pPr>
    </w:p>
    <w:p>
      <w:pPr>
        <w:spacing w:line="560" w:lineRule="exact"/>
        <w:ind w:firstLine="5510" w:firstLineChars="1722"/>
        <w:rPr>
          <w:rFonts w:ascii="仿宋_GB2312" w:eastAsia="仿宋_GB2312"/>
          <w:color w:val="auto"/>
          <w:sz w:val="32"/>
          <w:szCs w:val="32"/>
        </w:rPr>
      </w:pPr>
      <w:r>
        <w:rPr>
          <w:rFonts w:hint="eastAsia" w:ascii="仿宋_GB2312" w:eastAsia="仿宋_GB2312"/>
          <w:color w:val="auto"/>
          <w:sz w:val="32"/>
          <w:szCs w:val="32"/>
        </w:rPr>
        <w:t>德化县财政局</w:t>
      </w:r>
    </w:p>
    <w:p>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 xml:space="preserve">                             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年1月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日</w:t>
      </w:r>
    </w:p>
    <w:p>
      <w:pPr>
        <w:spacing w:line="560" w:lineRule="exact"/>
        <w:rPr>
          <w:rFonts w:ascii="仿宋_GB2312" w:eastAsia="仿宋_GB2312"/>
          <w:color w:val="auto"/>
          <w:sz w:val="32"/>
          <w:szCs w:val="32"/>
        </w:rPr>
      </w:pPr>
      <w:r>
        <w:rPr>
          <w:rFonts w:hint="eastAsia" w:ascii="仿宋_GB2312" w:eastAsia="仿宋_GB2312"/>
          <w:color w:val="auto"/>
          <w:sz w:val="32"/>
          <w:szCs w:val="32"/>
        </w:rPr>
        <w:t>（此件主动公开）　　</w:t>
      </w:r>
    </w:p>
    <w:p>
      <w:pPr>
        <w:spacing w:line="560" w:lineRule="exact"/>
        <w:ind w:firstLine="640" w:firstLineChars="200"/>
        <w:rPr>
          <w:rFonts w:ascii="仿宋_GB2312" w:eastAsia="仿宋_GB2312"/>
          <w:color w:val="auto"/>
          <w:sz w:val="32"/>
          <w:szCs w:val="32"/>
        </w:rPr>
      </w:pPr>
    </w:p>
    <w:sectPr>
      <w:pgSz w:w="11906" w:h="16838"/>
      <w:pgMar w:top="1587"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53BC9"/>
    <w:multiLevelType w:val="singleLevel"/>
    <w:tmpl w:val="F3053BC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7F78"/>
    <w:rsid w:val="000028AD"/>
    <w:rsid w:val="000D5BDF"/>
    <w:rsid w:val="00114F7E"/>
    <w:rsid w:val="00164FDF"/>
    <w:rsid w:val="002B35B2"/>
    <w:rsid w:val="003071A0"/>
    <w:rsid w:val="0031266E"/>
    <w:rsid w:val="0032244E"/>
    <w:rsid w:val="00327059"/>
    <w:rsid w:val="0038551F"/>
    <w:rsid w:val="0038690A"/>
    <w:rsid w:val="003E0D80"/>
    <w:rsid w:val="003F7A6F"/>
    <w:rsid w:val="00486BC8"/>
    <w:rsid w:val="004D63C0"/>
    <w:rsid w:val="005555EA"/>
    <w:rsid w:val="00652B58"/>
    <w:rsid w:val="00760308"/>
    <w:rsid w:val="008B036F"/>
    <w:rsid w:val="008D753C"/>
    <w:rsid w:val="008E413A"/>
    <w:rsid w:val="008E54C9"/>
    <w:rsid w:val="008F22EB"/>
    <w:rsid w:val="00972AFA"/>
    <w:rsid w:val="009B7F78"/>
    <w:rsid w:val="009C0097"/>
    <w:rsid w:val="009F7EA0"/>
    <w:rsid w:val="00A55664"/>
    <w:rsid w:val="00A850C3"/>
    <w:rsid w:val="00AB326E"/>
    <w:rsid w:val="00B97D63"/>
    <w:rsid w:val="00BF1F9E"/>
    <w:rsid w:val="00C2412E"/>
    <w:rsid w:val="00C65383"/>
    <w:rsid w:val="00C662A5"/>
    <w:rsid w:val="00D13C19"/>
    <w:rsid w:val="00DB1FCB"/>
    <w:rsid w:val="00DC085E"/>
    <w:rsid w:val="00E12337"/>
    <w:rsid w:val="00E13BB1"/>
    <w:rsid w:val="00EA45D3"/>
    <w:rsid w:val="00F97984"/>
    <w:rsid w:val="00FE625F"/>
    <w:rsid w:val="05011C47"/>
    <w:rsid w:val="179C3A02"/>
    <w:rsid w:val="1C2A3F50"/>
    <w:rsid w:val="2C9B03BF"/>
    <w:rsid w:val="2D6F5E6B"/>
    <w:rsid w:val="384950F9"/>
    <w:rsid w:val="3B5465E8"/>
    <w:rsid w:val="3C453F63"/>
    <w:rsid w:val="3F3E5587"/>
    <w:rsid w:val="47060F5B"/>
    <w:rsid w:val="4FE13370"/>
    <w:rsid w:val="54D654C5"/>
    <w:rsid w:val="71F65507"/>
    <w:rsid w:val="73B137C1"/>
    <w:rsid w:val="785B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_GBK" w:hAnsi="Times New Roman" w:eastAsia="方正仿宋_GBK" w:cs="Times New Roman"/>
      <w:color w:val="000000"/>
      <w:sz w:val="24"/>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404</Words>
  <Characters>2308</Characters>
  <Lines>19</Lines>
  <Paragraphs>5</Paragraphs>
  <TotalTime>50</TotalTime>
  <ScaleCrop>false</ScaleCrop>
  <LinksUpToDate>false</LinksUpToDate>
  <CharactersWithSpaces>2707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2024-12-16T12:27:00Z</dcterms:created>
  <dc:creator>Administrator</dc:creator>
  <cp:lastModifiedBy>lenovo2</cp:lastModifiedBy>
  <cp:lastPrinted>2026-01-09T01:06:00Z</cp:lastPrinted>
  <dcterms:modified xsi:type="dcterms:W3CDTF">2026-01-12T08:16:49Z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268E4601230049F5B3DA97ECF542AD83_13</vt:lpwstr>
  </property>
  <property fmtid="{D5CDD505-2E9C-101B-9397-08002B2CF9AE}" pid="4" name="KSOTemplateDocerSaveRecord">
    <vt:lpwstr>eyJoZGlkIjoiNjJkYjM1ODQ5NGE5NmU1NjM5NWZiNjVlYjJkYmE0ZjIiLCJ1c2VySWQiOiI5MTg2OTAyNjAifQ==</vt:lpwstr>
  </property>
</Properties>
</file>