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宋体" w:eastAsia="方正小标宋简体"/>
          <w:color w:val="FF0000"/>
          <w:sz w:val="44"/>
          <w:szCs w:val="44"/>
        </w:rPr>
      </w:pPr>
    </w:p>
    <w:p>
      <w:pPr>
        <w:keepNext w:val="0"/>
        <w:keepLines w:val="0"/>
        <w:pageBreakBefore w:val="0"/>
        <w:widowControl w:val="0"/>
        <w:kinsoku/>
        <w:wordWrap/>
        <w:overflowPunct/>
        <w:topLinePunct w:val="0"/>
        <w:autoSpaceDE/>
        <w:autoSpaceDN/>
        <w:bidi w:val="0"/>
        <w:adjustRightInd/>
        <w:snapToGrid/>
        <w:spacing w:line="1600" w:lineRule="exact"/>
        <w:jc w:val="both"/>
        <w:textAlignment w:val="auto"/>
        <w:rPr>
          <w:rFonts w:hint="eastAsia"/>
        </w:rPr>
      </w:pPr>
      <w:r>
        <w:rPr>
          <w:sz w:val="84"/>
          <w:szCs w:val="84"/>
        </w:rPr>
        <w:pict>
          <v:shape id="_x0000_s1026" o:spid="_x0000_s1026" o:spt="136" type="#_x0000_t136" style="position:absolute;left:0pt;margin-left:386.2pt;margin-top:39.85pt;height:78pt;width:72pt;z-index:251660288;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2pt;v-text-align:center;"/>
          </v:shape>
        </w:pict>
      </w:r>
      <w:r>
        <w:rPr>
          <w:rFonts w:ascii="方正小标宋简体" w:hAnsi="宋体" w:eastAsia="方正小标宋简体"/>
          <w:color w:val="FF0000"/>
          <w:sz w:val="44"/>
          <w:szCs w:val="44"/>
        </w:rPr>
        <w:pict>
          <v:shape id="_x0000_i1025" o:spt="136" type="#_x0000_t136" style="height:56.25pt;width:378pt;" fillcolor="#FF0000" filled="t" stroked="t" coordsize="21600,21600">
            <v:path/>
            <v:fill on="t" focussize="0,0"/>
            <v:stroke color="#FF0000"/>
            <v:imagedata o:title=""/>
            <o:lock v:ext="edit"/>
            <v:textpath on="t" fitshape="t" fitpath="t" trim="t" xscale="f" string="德 化 县 财 政 局" style="font-family:方正小标宋简体;font-size:32pt;v-text-align:center;"/>
            <w10:wrap type="none"/>
            <w10:anchorlock/>
          </v:shape>
        </w:pict>
      </w:r>
    </w:p>
    <w:p>
      <w:pPr>
        <w:pStyle w:val="6"/>
        <w:rPr>
          <w:rFonts w:hint="eastAsia"/>
        </w:rPr>
      </w:pPr>
      <w:r>
        <w:rPr>
          <w:rFonts w:ascii="方正小标宋简体" w:hAnsi="宋体" w:eastAsia="方正小标宋简体"/>
          <w:color w:val="FF0000"/>
          <w:sz w:val="84"/>
          <w:szCs w:val="84"/>
        </w:rPr>
        <w:pict>
          <v:shape id="_x0000_i1026" o:spt="136" type="#_x0000_t136" style="height:56.25pt;width:378pt;" fillcolor="#FF0000" filled="t" stroked="t" coordsize="21600,21600">
            <v:path/>
            <v:fill on="t" focussize="0,0"/>
            <v:stroke color="#FF0000"/>
            <v:imagedata o:title=""/>
            <o:lock v:ext="edit"/>
            <v:textpath on="t" fitshape="t" fitpath="t" trim="t" xscale="f" string="德化县农业农村局" style="font-family:方正小标宋简体;font-size:32pt;v-text-align:center;"/>
            <w10:wrap type="none"/>
            <w10:anchorlock/>
          </v:shape>
        </w:pict>
      </w:r>
    </w:p>
    <w:p>
      <w:pPr>
        <w:spacing w:line="570" w:lineRule="exact"/>
        <w:jc w:val="center"/>
        <w:rPr>
          <w:rFonts w:hint="eastAsia" w:ascii="方正小标宋简体" w:eastAsia="方正小标宋简体"/>
          <w:w w:val="98"/>
          <w:sz w:val="44"/>
          <w:szCs w:val="44"/>
        </w:rPr>
      </w:pPr>
    </w:p>
    <w:p>
      <w:pPr>
        <w:spacing w:line="570" w:lineRule="exact"/>
        <w:jc w:val="center"/>
        <w:rPr>
          <w:rFonts w:hint="eastAsia" w:ascii="方正小标宋简体" w:eastAsia="方正小标宋简体"/>
          <w:w w:val="98"/>
          <w:sz w:val="44"/>
          <w:szCs w:val="44"/>
        </w:rPr>
      </w:pPr>
    </w:p>
    <w:p>
      <w:pPr>
        <w:jc w:val="center"/>
        <w:rPr>
          <w:rFonts w:hint="eastAsia" w:ascii="方正小标宋简体" w:eastAsia="方正小标宋简体"/>
          <w:w w:val="98"/>
          <w:sz w:val="44"/>
          <w:szCs w:val="44"/>
        </w:rPr>
      </w:pPr>
      <w:r>
        <w:rPr>
          <w:rFonts w:hint="eastAsia" w:ascii="仿宋_GB2312" w:hAnsi="宋体" w:eastAsia="仿宋_GB2312"/>
          <w:bCs/>
          <w:sz w:val="32"/>
          <w:szCs w:val="32"/>
        </w:rPr>
        <w:t>德财指标〔2025〕</w:t>
      </w:r>
      <w:r>
        <w:rPr>
          <w:rFonts w:hint="eastAsia" w:ascii="仿宋_GB2312" w:hAnsi="宋体" w:eastAsia="仿宋_GB2312"/>
          <w:bCs/>
          <w:sz w:val="32"/>
          <w:szCs w:val="32"/>
          <w:lang w:val="en-US" w:eastAsia="zh-CN"/>
        </w:rPr>
        <w:t>499</w:t>
      </w:r>
      <w:r>
        <w:rPr>
          <w:rFonts w:hint="eastAsia" w:ascii="仿宋_GB2312" w:hAnsi="宋体" w:eastAsia="仿宋_GB2312"/>
          <w:bCs/>
          <w:sz w:val="32"/>
          <w:szCs w:val="32"/>
        </w:rPr>
        <w:t>号</w:t>
      </w:r>
      <w:r>
        <w:rPr>
          <w:rFonts w:ascii="宋体" w:hAnsi="宋体"/>
          <w:color w:val="FF0000"/>
          <w:sz w:val="32"/>
          <w:szCs w:val="32"/>
        </w:rPr>
        <mc:AlternateContent>
          <mc:Choice Requires="wps">
            <w:drawing>
              <wp:anchor distT="0" distB="0" distL="114300" distR="114300" simplePos="0" relativeHeight="251661312" behindDoc="0" locked="0" layoutInCell="1" allowOverlap="1">
                <wp:simplePos x="0" y="0"/>
                <wp:positionH relativeFrom="column">
                  <wp:posOffset>125730</wp:posOffset>
                </wp:positionH>
                <wp:positionV relativeFrom="paragraph">
                  <wp:posOffset>333375</wp:posOffset>
                </wp:positionV>
                <wp:extent cx="5600700" cy="0"/>
                <wp:effectExtent l="0" t="10795" r="0" b="11430"/>
                <wp:wrapNone/>
                <wp:docPr id="2" name="直线 2"/>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9.9pt;margin-top:26.25pt;height:0pt;width:441pt;z-index:251661312;mso-width-relative:page;mso-height-relative:page;" filled="f" stroked="t" coordsize="21600,21600" o:gfxdata="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PafX1QAAAAgBAAAPAAAAAAAAAAEAIAAAACIA&#10;AABkcnMvZG93bnJldi54bWxQSwECFAAUAAAACACHTuJAz211S9MBAACcAwAADgAAAAAAAAABACAA&#10;AAAkAQAAZHJzL2Uyb0RvYy54bWxQSwUGAAAAAAYABgBZAQAAaQUAAAAA&#10;">
                <v:fill on="f" focussize="0,0"/>
                <v:stroke weight="1.75pt" color="#FF0000" joinstyle="round"/>
                <v:imagedata o:title=""/>
                <o:lock v:ext="edit" aspectratio="f"/>
              </v:line>
            </w:pict>
          </mc:Fallback>
        </mc:AlternateContent>
      </w:r>
    </w:p>
    <w:p>
      <w:pPr>
        <w:spacing w:line="570" w:lineRule="exact"/>
        <w:jc w:val="center"/>
        <w:rPr>
          <w:rFonts w:hint="eastAsia" w:ascii="方正小标宋简体" w:eastAsia="方正小标宋简体"/>
          <w:w w:val="98"/>
          <w:sz w:val="44"/>
          <w:szCs w:val="44"/>
        </w:rPr>
      </w:pPr>
    </w:p>
    <w:p>
      <w:pPr>
        <w:spacing w:line="570" w:lineRule="exact"/>
        <w:jc w:val="center"/>
        <w:rPr>
          <w:rFonts w:hint="eastAsia" w:ascii="方正小标宋简体" w:eastAsia="方正小标宋简体"/>
          <w:w w:val="98"/>
          <w:sz w:val="44"/>
          <w:szCs w:val="44"/>
        </w:rPr>
      </w:pPr>
      <w:r>
        <w:rPr>
          <w:rFonts w:hint="eastAsia" w:ascii="方正小标宋简体" w:eastAsia="方正小标宋简体"/>
          <w:w w:val="98"/>
          <w:sz w:val="44"/>
          <w:szCs w:val="44"/>
        </w:rPr>
        <w:t>德化县财政局</w:t>
      </w:r>
      <w:r>
        <w:rPr>
          <w:rFonts w:hint="eastAsia" w:ascii="方正小标宋简体" w:eastAsia="方正小标宋简体"/>
          <w:w w:val="98"/>
          <w:sz w:val="44"/>
          <w:szCs w:val="44"/>
          <w:lang w:val="en-US" w:eastAsia="zh-CN"/>
        </w:rPr>
        <w:t xml:space="preserve">  </w:t>
      </w:r>
      <w:r>
        <w:rPr>
          <w:rFonts w:hint="eastAsia" w:ascii="方正小标宋简体" w:eastAsia="方正小标宋简体"/>
          <w:w w:val="98"/>
          <w:sz w:val="44"/>
          <w:szCs w:val="44"/>
        </w:rPr>
        <w:t>德化县农业农村局关于下达</w:t>
      </w:r>
    </w:p>
    <w:p>
      <w:pPr>
        <w:spacing w:line="570" w:lineRule="exact"/>
        <w:jc w:val="center"/>
        <w:rPr>
          <w:rFonts w:hint="eastAsia" w:ascii="方正小标宋简体" w:eastAsia="方正小标宋简体"/>
          <w:w w:val="98"/>
          <w:sz w:val="44"/>
          <w:szCs w:val="44"/>
        </w:rPr>
      </w:pPr>
      <w:r>
        <w:rPr>
          <w:rFonts w:hint="eastAsia" w:ascii="方正小标宋简体" w:eastAsia="方正小标宋简体"/>
          <w:w w:val="98"/>
          <w:sz w:val="44"/>
          <w:szCs w:val="44"/>
        </w:rPr>
        <w:t>202</w:t>
      </w:r>
      <w:r>
        <w:rPr>
          <w:rFonts w:hint="eastAsia" w:ascii="方正小标宋简体" w:eastAsia="方正小标宋简体"/>
          <w:w w:val="98"/>
          <w:sz w:val="44"/>
          <w:szCs w:val="44"/>
          <w:lang w:val="en-US" w:eastAsia="zh-CN"/>
        </w:rPr>
        <w:t>5</w:t>
      </w:r>
      <w:r>
        <w:rPr>
          <w:rFonts w:hint="eastAsia" w:ascii="方正小标宋简体" w:eastAsia="方正小标宋简体"/>
          <w:w w:val="98"/>
          <w:sz w:val="44"/>
          <w:szCs w:val="44"/>
        </w:rPr>
        <w:t>年特色</w:t>
      </w:r>
      <w:r>
        <w:rPr>
          <w:rFonts w:hint="eastAsia" w:ascii="方正小标宋简体" w:eastAsia="方正小标宋简体"/>
          <w:w w:val="98"/>
          <w:sz w:val="44"/>
          <w:szCs w:val="44"/>
          <w:lang w:eastAsia="zh-CN"/>
        </w:rPr>
        <w:t>现代</w:t>
      </w:r>
      <w:r>
        <w:rPr>
          <w:rFonts w:hint="eastAsia" w:ascii="方正小标宋简体" w:eastAsia="方正小标宋简体"/>
          <w:w w:val="98"/>
          <w:sz w:val="44"/>
          <w:szCs w:val="44"/>
        </w:rPr>
        <w:t>农业发展资金</w:t>
      </w:r>
    </w:p>
    <w:p>
      <w:pPr>
        <w:spacing w:line="570" w:lineRule="exact"/>
        <w:jc w:val="center"/>
        <w:rPr>
          <w:rFonts w:hint="eastAsia" w:ascii="方正小标宋简体" w:eastAsia="方正小标宋简体"/>
          <w:w w:val="96"/>
          <w:sz w:val="44"/>
          <w:szCs w:val="44"/>
        </w:rPr>
      </w:pPr>
      <w:r>
        <w:rPr>
          <w:rFonts w:hint="eastAsia" w:ascii="方正小标宋简体" w:eastAsia="方正小标宋简体"/>
          <w:w w:val="98"/>
          <w:sz w:val="44"/>
          <w:szCs w:val="44"/>
        </w:rPr>
        <w:t>（第</w:t>
      </w:r>
      <w:r>
        <w:rPr>
          <w:rFonts w:hint="eastAsia" w:ascii="方正小标宋简体" w:eastAsia="方正小标宋简体"/>
          <w:w w:val="98"/>
          <w:sz w:val="44"/>
          <w:szCs w:val="44"/>
          <w:lang w:eastAsia="zh-CN"/>
        </w:rPr>
        <w:t>六</w:t>
      </w:r>
      <w:r>
        <w:rPr>
          <w:rFonts w:hint="eastAsia" w:ascii="方正小标宋简体" w:eastAsia="方正小标宋简体"/>
          <w:w w:val="98"/>
          <w:sz w:val="44"/>
          <w:szCs w:val="44"/>
        </w:rPr>
        <w:t>批）</w:t>
      </w:r>
      <w:r>
        <w:rPr>
          <w:rFonts w:hint="eastAsia" w:ascii="方正小标宋简体" w:eastAsia="方正小标宋简体"/>
          <w:w w:val="96"/>
          <w:sz w:val="44"/>
          <w:szCs w:val="44"/>
        </w:rPr>
        <w:t>的通知</w:t>
      </w:r>
    </w:p>
    <w:p>
      <w:pPr>
        <w:spacing w:line="57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有关乡镇</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根据《泉州市财政局 泉州市农业农村局关于下达202</w:t>
      </w:r>
      <w:r>
        <w:rPr>
          <w:rFonts w:hint="eastAsia" w:ascii="仿宋_GB2312" w:eastAsia="仿宋_GB2312"/>
          <w:sz w:val="32"/>
          <w:szCs w:val="32"/>
          <w:lang w:val="en-US" w:eastAsia="zh-CN"/>
        </w:rPr>
        <w:t>5</w:t>
      </w:r>
      <w:r>
        <w:rPr>
          <w:rFonts w:hint="eastAsia" w:ascii="仿宋_GB2312" w:eastAsia="仿宋_GB2312"/>
          <w:sz w:val="32"/>
          <w:szCs w:val="32"/>
        </w:rPr>
        <w:t>年特色</w:t>
      </w:r>
      <w:r>
        <w:rPr>
          <w:rFonts w:hint="eastAsia" w:ascii="仿宋_GB2312" w:eastAsia="仿宋_GB2312"/>
          <w:sz w:val="32"/>
          <w:szCs w:val="32"/>
          <w:lang w:eastAsia="zh-CN"/>
        </w:rPr>
        <w:t>现代</w:t>
      </w:r>
      <w:r>
        <w:rPr>
          <w:rFonts w:hint="eastAsia" w:ascii="仿宋_GB2312" w:eastAsia="仿宋_GB2312"/>
          <w:sz w:val="32"/>
          <w:szCs w:val="32"/>
        </w:rPr>
        <w:t>农业发展资金（第</w:t>
      </w:r>
      <w:r>
        <w:rPr>
          <w:rFonts w:hint="eastAsia" w:ascii="仿宋_GB2312" w:eastAsia="仿宋_GB2312"/>
          <w:sz w:val="32"/>
          <w:szCs w:val="32"/>
          <w:lang w:eastAsia="zh-CN"/>
        </w:rPr>
        <w:t>六</w:t>
      </w:r>
      <w:r>
        <w:rPr>
          <w:rFonts w:hint="eastAsia" w:ascii="仿宋_GB2312" w:eastAsia="仿宋_GB2312"/>
          <w:sz w:val="32"/>
          <w:szCs w:val="32"/>
        </w:rPr>
        <w:t>批）的通知》(泉财</w:t>
      </w:r>
      <w:r>
        <w:rPr>
          <w:rFonts w:hint="eastAsia" w:ascii="仿宋_GB2312" w:eastAsia="仿宋_GB2312"/>
          <w:sz w:val="32"/>
          <w:szCs w:val="32"/>
          <w:lang w:eastAsia="zh-CN"/>
        </w:rPr>
        <w:t>农</w:t>
      </w:r>
      <w:r>
        <w:rPr>
          <w:rFonts w:hint="eastAsia" w:ascii="仿宋_GB2312" w:eastAsia="仿宋_GB2312"/>
          <w:sz w:val="32"/>
          <w:szCs w:val="32"/>
        </w:rPr>
        <w:t>指</w:t>
      </w:r>
      <w:r>
        <w:rPr>
          <w:rFonts w:hint="eastAsia" w:ascii="仿宋_GB2312" w:eastAsia="仿宋_GB2312"/>
          <w:sz w:val="32"/>
        </w:rPr>
        <w:t>〔202</w:t>
      </w:r>
      <w:r>
        <w:rPr>
          <w:rFonts w:hint="eastAsia" w:ascii="仿宋_GB2312" w:eastAsia="仿宋_GB2312"/>
          <w:sz w:val="32"/>
          <w:lang w:val="en-US" w:eastAsia="zh-CN"/>
        </w:rPr>
        <w:t>5</w:t>
      </w:r>
      <w:r>
        <w:rPr>
          <w:rFonts w:hint="eastAsia" w:ascii="仿宋_GB2312" w:eastAsia="仿宋_GB2312"/>
          <w:sz w:val="32"/>
        </w:rPr>
        <w:t>〕</w:t>
      </w:r>
      <w:r>
        <w:rPr>
          <w:rFonts w:hint="eastAsia" w:ascii="仿宋_GB2312" w:eastAsia="仿宋_GB2312"/>
          <w:sz w:val="32"/>
          <w:lang w:val="en-US" w:eastAsia="zh-CN"/>
        </w:rPr>
        <w:t>88</w:t>
      </w:r>
      <w:r>
        <w:rPr>
          <w:rFonts w:hint="eastAsia" w:ascii="仿宋_GB2312" w:hAnsi="仿宋_GB2312" w:eastAsia="仿宋_GB2312" w:cs="仿宋_GB2312"/>
          <w:sz w:val="32"/>
          <w:szCs w:val="32"/>
        </w:rPr>
        <w:t>号</w:t>
      </w:r>
      <w:r>
        <w:rPr>
          <w:rFonts w:hint="eastAsia" w:ascii="仿宋_GB2312" w:eastAsia="仿宋_GB2312"/>
          <w:sz w:val="32"/>
          <w:szCs w:val="32"/>
        </w:rPr>
        <w:t>)</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val="en-US" w:eastAsia="zh-CN"/>
        </w:rPr>
        <w:t>为加快推动高标准农田建设，保障我县耕地和粮食安全。</w:t>
      </w:r>
      <w:r>
        <w:rPr>
          <w:rFonts w:hint="eastAsia" w:ascii="仿宋_GB2312" w:hAnsi="仿宋_GB2312" w:eastAsia="仿宋_GB2312" w:cs="仿宋_GB2312"/>
          <w:sz w:val="32"/>
          <w:szCs w:val="32"/>
        </w:rPr>
        <w:t>现下达</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年特色</w:t>
      </w:r>
      <w:r>
        <w:rPr>
          <w:rFonts w:hint="eastAsia" w:ascii="仿宋_GB2312" w:eastAsia="仿宋_GB2312"/>
          <w:sz w:val="32"/>
          <w:szCs w:val="32"/>
          <w:lang w:eastAsia="zh-CN"/>
        </w:rPr>
        <w:t>现代</w:t>
      </w:r>
      <w:r>
        <w:rPr>
          <w:rFonts w:hint="eastAsia" w:ascii="仿宋_GB2312" w:eastAsia="仿宋_GB2312"/>
          <w:sz w:val="32"/>
          <w:szCs w:val="32"/>
        </w:rPr>
        <w:t>农业发展资金（第</w:t>
      </w:r>
      <w:r>
        <w:rPr>
          <w:rFonts w:hint="eastAsia" w:ascii="仿宋_GB2312" w:eastAsia="仿宋_GB2312"/>
          <w:sz w:val="32"/>
          <w:szCs w:val="32"/>
          <w:lang w:eastAsia="zh-CN"/>
        </w:rPr>
        <w:t>六</w:t>
      </w:r>
      <w:r>
        <w:rPr>
          <w:rFonts w:hint="eastAsia" w:ascii="仿宋_GB2312" w:eastAsia="仿宋_GB2312"/>
          <w:sz w:val="32"/>
          <w:szCs w:val="32"/>
        </w:rPr>
        <w:t>批）</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元，收回</w:t>
      </w:r>
      <w:r>
        <w:rPr>
          <w:rFonts w:hint="eastAsia" w:ascii="仿宋_GB2312" w:hAnsi="仿宋_GB2312" w:eastAsia="仿宋_GB2312" w:cs="仿宋_GB2312"/>
          <w:sz w:val="32"/>
          <w:szCs w:val="32"/>
          <w:lang w:val="en-US" w:eastAsia="zh-CN"/>
        </w:rPr>
        <w:t>33.46万元</w:t>
      </w:r>
      <w:r>
        <w:rPr>
          <w:rFonts w:hint="eastAsia" w:ascii="仿宋_GB2312" w:hAnsi="仿宋_GB2312" w:eastAsia="仿宋_GB2312" w:cs="仿宋_GB2312"/>
          <w:sz w:val="32"/>
          <w:szCs w:val="32"/>
        </w:rPr>
        <w:t>（详见附件1），</w:t>
      </w:r>
      <w:r>
        <w:rPr>
          <w:rFonts w:hint="eastAsia" w:ascii="仿宋_GB2312" w:hAnsi="仿宋_GB2312" w:eastAsia="仿宋_GB2312" w:cs="仿宋_GB2312"/>
          <w:sz w:val="32"/>
          <w:szCs w:val="32"/>
          <w:lang w:eastAsia="zh-CN"/>
        </w:rPr>
        <w:t>款项列“</w:t>
      </w:r>
      <w:r>
        <w:rPr>
          <w:rFonts w:hint="eastAsia" w:ascii="仿宋_GB2312" w:hAnsi="仿宋_GB2312" w:eastAsia="仿宋_GB2312" w:cs="仿宋_GB2312"/>
          <w:sz w:val="32"/>
          <w:szCs w:val="32"/>
          <w:lang w:val="en-US" w:eastAsia="zh-CN"/>
        </w:rPr>
        <w:t>2120814-农业生产发展支出</w:t>
      </w:r>
      <w:r>
        <w:rPr>
          <w:rFonts w:hint="eastAsia" w:ascii="仿宋_GB2312" w:hAnsi="仿宋_GB2312" w:eastAsia="仿宋_GB2312" w:cs="仿宋_GB2312"/>
          <w:sz w:val="32"/>
          <w:szCs w:val="32"/>
          <w:lang w:eastAsia="zh-CN"/>
        </w:rPr>
        <w:t>”科目，</w:t>
      </w:r>
      <w:r>
        <w:rPr>
          <w:rFonts w:hint="eastAsia" w:ascii="仿宋_GB2312" w:hAnsi="仿宋_GB2312" w:eastAsia="仿宋_GB2312" w:cs="仿宋_GB2312"/>
          <w:sz w:val="32"/>
          <w:szCs w:val="32"/>
        </w:rPr>
        <w:t>同步下达绩效目标（详见附件2）。请按照《</w:t>
      </w:r>
      <w:r>
        <w:rPr>
          <w:rFonts w:hint="eastAsia" w:ascii="仿宋_GB2312" w:hAnsi="仿宋_GB2312" w:eastAsia="仿宋_GB2312" w:cs="仿宋_GB2312"/>
          <w:sz w:val="32"/>
          <w:szCs w:val="32"/>
          <w:lang w:eastAsia="zh-CN"/>
        </w:rPr>
        <w:t>泉州市财政局</w:t>
      </w:r>
      <w:r>
        <w:rPr>
          <w:rFonts w:hint="eastAsia" w:ascii="仿宋_GB2312" w:hAnsi="仿宋_GB2312" w:eastAsia="仿宋_GB2312" w:cs="仿宋_GB2312"/>
          <w:sz w:val="32"/>
          <w:szCs w:val="32"/>
          <w:lang w:val="en-US" w:eastAsia="zh-CN"/>
        </w:rPr>
        <w:t xml:space="preserve"> 泉州市农业农村局关于印发&lt;</w:t>
      </w:r>
      <w:r>
        <w:rPr>
          <w:rFonts w:hint="eastAsia" w:ascii="仿宋_GB2312" w:hAnsi="仿宋_GB2312" w:eastAsia="仿宋_GB2312" w:cs="仿宋_GB2312"/>
          <w:sz w:val="32"/>
          <w:szCs w:val="32"/>
        </w:rPr>
        <w:t>泉州市市级特色现代农业发展</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资金管理规定</w:t>
      </w:r>
      <w:r>
        <w:rPr>
          <w:rFonts w:hint="eastAsia" w:ascii="仿宋_GB2312" w:hAnsi="仿宋_GB2312" w:eastAsia="仿宋_GB2312" w:cs="仿宋_GB2312"/>
          <w:sz w:val="32"/>
          <w:szCs w:val="32"/>
          <w:lang w:val="en-US" w:eastAsia="zh-CN"/>
        </w:rPr>
        <w:t>&gt;等3个专项资金管理规定的通知</w:t>
      </w:r>
      <w:r>
        <w:rPr>
          <w:rFonts w:hint="eastAsia" w:ascii="仿宋_GB2312" w:hAnsi="仿宋_GB2312" w:eastAsia="仿宋_GB2312" w:cs="仿宋_GB2312"/>
          <w:sz w:val="32"/>
          <w:szCs w:val="32"/>
        </w:rPr>
        <w:t>》（泉财</w:t>
      </w:r>
      <w:r>
        <w:rPr>
          <w:rFonts w:hint="eastAsia" w:ascii="仿宋_GB2312" w:hAnsi="仿宋_GB2312" w:eastAsia="仿宋_GB2312" w:cs="仿宋_GB2312"/>
          <w:sz w:val="32"/>
          <w:szCs w:val="32"/>
          <w:lang w:eastAsia="zh-CN"/>
        </w:rPr>
        <w:t>规</w:t>
      </w:r>
      <w:r>
        <w:rPr>
          <w:rFonts w:hint="eastAsia" w:ascii="仿宋_GB2312" w:eastAsia="仿宋_GB2312"/>
          <w:sz w:val="32"/>
        </w:rPr>
        <w:t>〔202</w:t>
      </w:r>
      <w:r>
        <w:rPr>
          <w:rFonts w:hint="eastAsia" w:ascii="仿宋_GB2312" w:eastAsia="仿宋_GB2312"/>
          <w:sz w:val="32"/>
          <w:lang w:val="en-US" w:eastAsia="zh-CN"/>
        </w:rPr>
        <w:t>4</w:t>
      </w:r>
      <w:r>
        <w:rPr>
          <w:rFonts w:hint="eastAsia" w:ascii="仿宋_GB2312" w:eastAsia="仿宋_GB2312"/>
          <w:sz w:val="32"/>
        </w:rPr>
        <w:t>〕</w:t>
      </w:r>
      <w:r>
        <w:rPr>
          <w:rFonts w:hint="eastAsia" w:ascii="仿宋_GB2312" w:eastAsia="仿宋_GB2312"/>
          <w:sz w:val="32"/>
          <w:lang w:val="en-US" w:eastAsia="zh-CN"/>
        </w:rPr>
        <w:t>7</w:t>
      </w:r>
      <w:r>
        <w:rPr>
          <w:rFonts w:hint="eastAsia" w:ascii="仿宋_GB2312" w:eastAsia="仿宋_GB2312"/>
          <w:sz w:val="32"/>
        </w:rPr>
        <w:t>号</w:t>
      </w:r>
      <w:r>
        <w:rPr>
          <w:rFonts w:hint="eastAsia" w:ascii="仿宋_GB2312" w:eastAsia="仿宋_GB2312"/>
          <w:sz w:val="32"/>
          <w:szCs w:val="32"/>
        </w:rPr>
        <w:t>）</w:t>
      </w:r>
      <w:r>
        <w:rPr>
          <w:rFonts w:hint="eastAsia" w:ascii="仿宋_GB2312" w:eastAsia="仿宋_GB2312"/>
          <w:sz w:val="32"/>
          <w:szCs w:val="32"/>
          <w:lang w:eastAsia="zh-CN"/>
        </w:rPr>
        <w:t>要求</w:t>
      </w:r>
      <w:r>
        <w:rPr>
          <w:rFonts w:hint="eastAsia" w:ascii="仿宋_GB2312" w:eastAsia="仿宋_GB2312"/>
          <w:sz w:val="32"/>
          <w:szCs w:val="32"/>
        </w:rPr>
        <w:t>，</w:t>
      </w:r>
      <w:r>
        <w:rPr>
          <w:rFonts w:hint="eastAsia" w:ascii="仿宋_GB2312" w:hAnsi="仿宋_GB2312" w:eastAsia="仿宋_GB2312" w:cs="仿宋_GB2312"/>
          <w:sz w:val="32"/>
          <w:szCs w:val="32"/>
        </w:rPr>
        <w:t>加强资金</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按照规定的用途和范围分配使用，</w:t>
      </w:r>
      <w:r>
        <w:rPr>
          <w:rFonts w:hint="eastAsia" w:ascii="仿宋_GB2312" w:hAnsi="仿宋_GB2312" w:eastAsia="仿宋_GB2312" w:cs="仿宋_GB2312"/>
          <w:sz w:val="32"/>
          <w:szCs w:val="32"/>
        </w:rPr>
        <w:t>确保专款专用</w:t>
      </w:r>
      <w:r>
        <w:rPr>
          <w:rFonts w:hint="eastAsia" w:ascii="仿宋_GB2312" w:hAnsi="仿宋_GB2312" w:eastAsia="仿宋_GB2312" w:cs="仿宋_GB2312"/>
          <w:sz w:val="32"/>
          <w:szCs w:val="32"/>
          <w:lang w:eastAsia="zh-CN"/>
        </w:rPr>
        <w:t>，任何部门和单位不得截留、挤占和挪用，专项资金的支付按照财政国库管理制度有关规定执行，同时</w:t>
      </w:r>
      <w:r>
        <w:rPr>
          <w:rFonts w:hint="eastAsia" w:ascii="仿宋_GB2312" w:hAnsi="仿宋_GB2312" w:eastAsia="仿宋_GB2312" w:cs="仿宋_GB2312"/>
          <w:sz w:val="32"/>
          <w:szCs w:val="32"/>
        </w:rPr>
        <w:t>做好绩效跟踪</w:t>
      </w:r>
      <w:r>
        <w:rPr>
          <w:rFonts w:hint="eastAsia" w:ascii="仿宋_GB2312" w:hAnsi="仿宋_GB2312" w:eastAsia="仿宋_GB2312" w:cs="仿宋_GB2312"/>
          <w:sz w:val="32"/>
          <w:szCs w:val="32"/>
          <w:lang w:eastAsia="zh-CN"/>
        </w:rPr>
        <w:t>和管理，切实提高财政资金使用效益</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eastAsia="仿宋_GB2312"/>
          <w:sz w:val="32"/>
          <w:szCs w:val="32"/>
        </w:rPr>
      </w:pPr>
      <w:r>
        <w:rPr>
          <w:rFonts w:hint="eastAsia" w:ascii="仿宋_GB2312" w:eastAsia="仿宋_GB2312"/>
          <w:sz w:val="32"/>
          <w:szCs w:val="32"/>
        </w:rPr>
        <w:t>附件：1.202</w:t>
      </w:r>
      <w:r>
        <w:rPr>
          <w:rFonts w:hint="eastAsia" w:ascii="仿宋_GB2312" w:eastAsia="仿宋_GB2312"/>
          <w:sz w:val="32"/>
          <w:szCs w:val="32"/>
          <w:lang w:val="en-US" w:eastAsia="zh-CN"/>
        </w:rPr>
        <w:t>5</w:t>
      </w:r>
      <w:r>
        <w:rPr>
          <w:rFonts w:hint="eastAsia" w:ascii="仿宋_GB2312" w:eastAsia="仿宋_GB2312"/>
          <w:sz w:val="32"/>
          <w:szCs w:val="32"/>
        </w:rPr>
        <w:t>年特色</w:t>
      </w:r>
      <w:r>
        <w:rPr>
          <w:rFonts w:hint="eastAsia" w:ascii="仿宋_GB2312" w:eastAsia="仿宋_GB2312"/>
          <w:sz w:val="32"/>
          <w:szCs w:val="32"/>
          <w:lang w:eastAsia="zh-CN"/>
        </w:rPr>
        <w:t>现代</w:t>
      </w:r>
      <w:r>
        <w:rPr>
          <w:rFonts w:hint="eastAsia" w:ascii="仿宋_GB2312" w:eastAsia="仿宋_GB2312"/>
          <w:sz w:val="32"/>
          <w:szCs w:val="32"/>
        </w:rPr>
        <w:t>农业发展资金（第</w:t>
      </w:r>
      <w:r>
        <w:rPr>
          <w:rFonts w:hint="eastAsia" w:ascii="仿宋_GB2312" w:eastAsia="仿宋_GB2312"/>
          <w:sz w:val="32"/>
          <w:szCs w:val="32"/>
          <w:lang w:eastAsia="zh-CN"/>
        </w:rPr>
        <w:t>六</w:t>
      </w:r>
      <w:r>
        <w:rPr>
          <w:rFonts w:hint="eastAsia" w:ascii="仿宋_GB2312" w:eastAsia="仿宋_GB2312"/>
          <w:sz w:val="32"/>
          <w:szCs w:val="32"/>
        </w:rPr>
        <w:t>批）分配表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w:t>
      </w:r>
      <w:r>
        <w:rPr>
          <w:rFonts w:hint="eastAsia" w:ascii="仿宋_GB2312" w:eastAsia="仿宋_GB2312"/>
          <w:sz w:val="32"/>
          <w:szCs w:val="32"/>
        </w:rPr>
        <w:t>特色</w:t>
      </w:r>
      <w:r>
        <w:rPr>
          <w:rFonts w:hint="eastAsia" w:ascii="仿宋_GB2312" w:eastAsia="仿宋_GB2312"/>
          <w:sz w:val="32"/>
          <w:szCs w:val="32"/>
          <w:lang w:eastAsia="zh-CN"/>
        </w:rPr>
        <w:t>现代</w:t>
      </w:r>
      <w:r>
        <w:rPr>
          <w:rFonts w:hint="eastAsia" w:ascii="仿宋_GB2312" w:eastAsia="仿宋_GB2312"/>
          <w:sz w:val="32"/>
          <w:szCs w:val="32"/>
        </w:rPr>
        <w:t>农业发展资金（第</w:t>
      </w:r>
      <w:r>
        <w:rPr>
          <w:rFonts w:hint="eastAsia" w:ascii="仿宋_GB2312" w:eastAsia="仿宋_GB2312"/>
          <w:sz w:val="32"/>
          <w:szCs w:val="32"/>
          <w:lang w:eastAsia="zh-CN"/>
        </w:rPr>
        <w:t>六</w:t>
      </w:r>
      <w:r>
        <w:rPr>
          <w:rFonts w:hint="eastAsia" w:ascii="仿宋_GB2312" w:eastAsia="仿宋_GB2312"/>
          <w:sz w:val="32"/>
          <w:szCs w:val="32"/>
        </w:rPr>
        <w:t>批）</w:t>
      </w:r>
      <w:r>
        <w:rPr>
          <w:rFonts w:hint="eastAsia" w:ascii="仿宋_GB2312" w:hAnsi="仿宋_GB2312" w:eastAsia="仿宋_GB2312" w:cs="仿宋_GB2312"/>
          <w:sz w:val="32"/>
          <w:szCs w:val="32"/>
          <w:lang w:val="en-US" w:eastAsia="zh-CN"/>
        </w:rPr>
        <w:t>绩效目标表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德化县财政局                  德化县农业农村局                </w:t>
      </w: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2025年12月30日</w:t>
      </w:r>
    </w:p>
    <w:p>
      <w:pPr>
        <w:keepNext w:val="0"/>
        <w:keepLines w:val="0"/>
        <w:pageBreakBefore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sz w:val="32"/>
          <w:szCs w:val="32"/>
          <w:lang w:val="en-US" w:eastAsia="zh-CN"/>
        </w:rPr>
        <w:t>（此件主动公开）</w:t>
      </w: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6"/>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年特色</w:t>
      </w:r>
      <w:r>
        <w:rPr>
          <w:rFonts w:hint="eastAsia" w:ascii="方正小标宋简体" w:hAnsi="方正小标宋简体" w:eastAsia="方正小标宋简体" w:cs="方正小标宋简体"/>
          <w:sz w:val="36"/>
          <w:szCs w:val="36"/>
          <w:lang w:eastAsia="zh-CN"/>
        </w:rPr>
        <w:t>现代</w:t>
      </w:r>
      <w:r>
        <w:rPr>
          <w:rFonts w:hint="eastAsia" w:ascii="方正小标宋简体" w:hAnsi="方正小标宋简体" w:eastAsia="方正小标宋简体" w:cs="方正小标宋简体"/>
          <w:sz w:val="36"/>
          <w:szCs w:val="36"/>
        </w:rPr>
        <w:t>农业发展资金（第</w:t>
      </w:r>
      <w:r>
        <w:rPr>
          <w:rFonts w:hint="eastAsia" w:ascii="方正小标宋简体" w:hAnsi="方正小标宋简体" w:eastAsia="方正小标宋简体" w:cs="方正小标宋简体"/>
          <w:sz w:val="36"/>
          <w:szCs w:val="36"/>
          <w:lang w:eastAsia="zh-CN"/>
        </w:rPr>
        <w:t>六</w:t>
      </w:r>
      <w:r>
        <w:rPr>
          <w:rFonts w:hint="eastAsia" w:ascii="方正小标宋简体" w:hAnsi="方正小标宋简体" w:eastAsia="方正小标宋简体" w:cs="方正小标宋简体"/>
          <w:sz w:val="36"/>
          <w:szCs w:val="36"/>
        </w:rPr>
        <w:t>批）分配表</w:t>
      </w:r>
    </w:p>
    <w:tbl>
      <w:tblPr>
        <w:tblStyle w:val="4"/>
        <w:tblW w:w="13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2819"/>
        <w:gridCol w:w="3285"/>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850" w:type="dxa"/>
            <w:vMerge w:val="restart"/>
            <w:vAlign w:val="center"/>
          </w:tcPr>
          <w:p>
            <w:pPr>
              <w:pStyle w:val="6"/>
              <w:jc w:val="center"/>
              <w:rPr>
                <w:rFonts w:hint="eastAsia" w:ascii="黑体" w:hAnsi="黑体" w:eastAsia="黑体" w:cs="黑体"/>
                <w:sz w:val="30"/>
                <w:szCs w:val="30"/>
                <w:vertAlign w:val="baseline"/>
                <w:lang w:eastAsia="zh-CN"/>
              </w:rPr>
            </w:pPr>
            <w:r>
              <w:rPr>
                <w:rFonts w:hint="eastAsia" w:ascii="黑体" w:hAnsi="黑体" w:eastAsia="黑体" w:cs="黑体"/>
                <w:sz w:val="30"/>
                <w:szCs w:val="30"/>
                <w:vertAlign w:val="baseline"/>
                <w:lang w:eastAsia="zh-CN"/>
              </w:rPr>
              <w:t>项目单位</w:t>
            </w:r>
          </w:p>
        </w:tc>
        <w:tc>
          <w:tcPr>
            <w:tcW w:w="2819" w:type="dxa"/>
            <w:vMerge w:val="restart"/>
            <w:vAlign w:val="center"/>
          </w:tcPr>
          <w:p>
            <w:pPr>
              <w:pStyle w:val="6"/>
              <w:jc w:val="center"/>
              <w:rPr>
                <w:rFonts w:hint="eastAsia" w:ascii="黑体" w:hAnsi="黑体" w:eastAsia="黑体" w:cs="黑体"/>
                <w:sz w:val="30"/>
                <w:szCs w:val="30"/>
                <w:vertAlign w:val="baseline"/>
                <w:lang w:eastAsia="zh-CN"/>
              </w:rPr>
            </w:pPr>
            <w:r>
              <w:rPr>
                <w:rFonts w:hint="eastAsia" w:ascii="黑体" w:hAnsi="黑体" w:eastAsia="黑体" w:cs="黑体"/>
                <w:sz w:val="30"/>
                <w:szCs w:val="30"/>
                <w:vertAlign w:val="baseline"/>
                <w:lang w:val="en-US" w:eastAsia="zh-CN"/>
              </w:rPr>
              <w:t>下达2025年新立项项目市级配套资金</w:t>
            </w:r>
          </w:p>
        </w:tc>
        <w:tc>
          <w:tcPr>
            <w:tcW w:w="3285" w:type="dxa"/>
            <w:vMerge w:val="restart"/>
            <w:vAlign w:val="center"/>
          </w:tcPr>
          <w:p>
            <w:pPr>
              <w:pStyle w:val="6"/>
              <w:jc w:val="center"/>
              <w:rPr>
                <w:rFonts w:hint="eastAsia" w:ascii="黑体" w:hAnsi="黑体" w:eastAsia="黑体" w:cs="黑体"/>
                <w:sz w:val="30"/>
                <w:szCs w:val="30"/>
                <w:vertAlign w:val="baseline"/>
                <w:lang w:eastAsia="zh-CN"/>
              </w:rPr>
            </w:pPr>
            <w:r>
              <w:rPr>
                <w:rFonts w:hint="eastAsia" w:ascii="黑体" w:hAnsi="黑体" w:eastAsia="黑体" w:cs="黑体"/>
                <w:sz w:val="30"/>
                <w:szCs w:val="30"/>
                <w:vertAlign w:val="baseline"/>
                <w:lang w:eastAsia="zh-CN"/>
              </w:rPr>
              <w:t>下达农业水价综合改革及建后管护资金</w:t>
            </w:r>
          </w:p>
        </w:tc>
        <w:tc>
          <w:tcPr>
            <w:tcW w:w="4105" w:type="dxa"/>
            <w:vAlign w:val="center"/>
          </w:tcPr>
          <w:p>
            <w:pPr>
              <w:pStyle w:val="6"/>
              <w:jc w:val="center"/>
              <w:rPr>
                <w:rFonts w:hint="eastAsia" w:ascii="黑体" w:hAnsi="黑体" w:eastAsia="黑体" w:cs="黑体"/>
                <w:sz w:val="30"/>
                <w:szCs w:val="30"/>
                <w:vertAlign w:val="baseline"/>
                <w:lang w:eastAsia="zh-CN"/>
              </w:rPr>
            </w:pPr>
            <w:r>
              <w:rPr>
                <w:rFonts w:hint="eastAsia" w:ascii="黑体" w:hAnsi="黑体" w:eastAsia="黑体" w:cs="黑体"/>
                <w:sz w:val="30"/>
                <w:szCs w:val="30"/>
                <w:vertAlign w:val="baseline"/>
                <w:lang w:val="en-US" w:eastAsia="zh-CN"/>
              </w:rPr>
              <w:t>收回资金（政府性基金）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850" w:type="dxa"/>
            <w:vMerge w:val="continue"/>
            <w:vAlign w:val="center"/>
          </w:tcPr>
          <w:p>
            <w:pPr>
              <w:pStyle w:val="6"/>
              <w:jc w:val="center"/>
              <w:rPr>
                <w:rFonts w:hint="eastAsia" w:ascii="黑体" w:hAnsi="黑体" w:eastAsia="黑体" w:cs="黑体"/>
                <w:sz w:val="30"/>
                <w:szCs w:val="30"/>
                <w:vertAlign w:val="baseline"/>
              </w:rPr>
            </w:pPr>
          </w:p>
        </w:tc>
        <w:tc>
          <w:tcPr>
            <w:tcW w:w="2819" w:type="dxa"/>
            <w:vMerge w:val="continue"/>
            <w:vAlign w:val="center"/>
          </w:tcPr>
          <w:p>
            <w:pPr>
              <w:pStyle w:val="6"/>
              <w:jc w:val="center"/>
              <w:rPr>
                <w:rFonts w:hint="eastAsia" w:ascii="黑体" w:hAnsi="黑体" w:eastAsia="黑体" w:cs="黑体"/>
                <w:sz w:val="30"/>
                <w:szCs w:val="30"/>
                <w:vertAlign w:val="baseline"/>
                <w:lang w:eastAsia="zh-CN"/>
              </w:rPr>
            </w:pPr>
          </w:p>
        </w:tc>
        <w:tc>
          <w:tcPr>
            <w:tcW w:w="3285" w:type="dxa"/>
            <w:vMerge w:val="continue"/>
            <w:vAlign w:val="center"/>
          </w:tcPr>
          <w:p>
            <w:pPr>
              <w:pStyle w:val="6"/>
              <w:jc w:val="center"/>
              <w:rPr>
                <w:rFonts w:hint="eastAsia" w:ascii="黑体" w:hAnsi="黑体" w:eastAsia="黑体" w:cs="黑体"/>
                <w:sz w:val="30"/>
                <w:szCs w:val="30"/>
                <w:vertAlign w:val="baseline"/>
                <w:lang w:eastAsia="zh-CN"/>
              </w:rPr>
            </w:pPr>
          </w:p>
        </w:tc>
        <w:tc>
          <w:tcPr>
            <w:tcW w:w="4105" w:type="dxa"/>
            <w:vAlign w:val="center"/>
          </w:tcPr>
          <w:p>
            <w:pPr>
              <w:pStyle w:val="6"/>
              <w:jc w:val="center"/>
              <w:rPr>
                <w:rFonts w:hint="eastAsia" w:ascii="黑体" w:hAnsi="黑体" w:eastAsia="黑体" w:cs="黑体"/>
                <w:sz w:val="30"/>
                <w:szCs w:val="30"/>
                <w:vertAlign w:val="baseline"/>
                <w:lang w:eastAsia="zh-CN"/>
              </w:rPr>
            </w:pPr>
            <w:r>
              <w:rPr>
                <w:rFonts w:hint="eastAsia" w:ascii="黑体" w:hAnsi="黑体" w:eastAsia="黑体" w:cs="黑体"/>
                <w:sz w:val="30"/>
                <w:szCs w:val="30"/>
                <w:vertAlign w:val="baseline"/>
                <w:lang w:eastAsia="zh-CN"/>
              </w:rPr>
              <w:t>泉财农指〔202</w:t>
            </w:r>
            <w:r>
              <w:rPr>
                <w:rFonts w:hint="eastAsia" w:ascii="黑体" w:hAnsi="黑体" w:eastAsia="黑体" w:cs="黑体"/>
                <w:sz w:val="30"/>
                <w:szCs w:val="30"/>
                <w:vertAlign w:val="baseline"/>
                <w:lang w:val="en-US" w:eastAsia="zh-CN"/>
              </w:rPr>
              <w:t>4</w:t>
            </w:r>
            <w:r>
              <w:rPr>
                <w:rFonts w:hint="eastAsia" w:ascii="黑体" w:hAnsi="黑体" w:eastAsia="黑体" w:cs="黑体"/>
                <w:sz w:val="30"/>
                <w:szCs w:val="30"/>
                <w:vertAlign w:val="baseline"/>
                <w:lang w:eastAsia="zh-CN"/>
              </w:rPr>
              <w:t>〕</w:t>
            </w:r>
            <w:r>
              <w:rPr>
                <w:rFonts w:hint="eastAsia" w:ascii="黑体" w:hAnsi="黑体" w:eastAsia="黑体" w:cs="黑体"/>
                <w:sz w:val="30"/>
                <w:szCs w:val="30"/>
                <w:vertAlign w:val="baseline"/>
                <w:lang w:val="en-US" w:eastAsia="zh-CN"/>
              </w:rPr>
              <w:t>100</w:t>
            </w:r>
            <w:r>
              <w:rPr>
                <w:rFonts w:hint="eastAsia" w:ascii="黑体" w:hAnsi="黑体" w:eastAsia="黑体" w:cs="黑体"/>
                <w:sz w:val="30"/>
                <w:szCs w:val="30"/>
                <w:vertAlign w:val="baseline"/>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0"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三班镇</w:t>
            </w:r>
          </w:p>
        </w:tc>
        <w:tc>
          <w:tcPr>
            <w:tcW w:w="2819" w:type="dxa"/>
          </w:tcPr>
          <w:p>
            <w:pPr>
              <w:pStyle w:val="6"/>
              <w:jc w:val="center"/>
              <w:rPr>
                <w:rFonts w:hint="eastAsia" w:ascii="方正小标宋简体" w:hAnsi="方正小标宋简体" w:eastAsia="方正小标宋简体" w:cs="方正小标宋简体"/>
                <w:sz w:val="36"/>
                <w:szCs w:val="36"/>
                <w:vertAlign w:val="baseline"/>
              </w:rPr>
            </w:pPr>
          </w:p>
        </w:tc>
        <w:tc>
          <w:tcPr>
            <w:tcW w:w="3285"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5</w:t>
            </w:r>
          </w:p>
        </w:tc>
        <w:tc>
          <w:tcPr>
            <w:tcW w:w="4105" w:type="dxa"/>
          </w:tcPr>
          <w:p>
            <w:pPr>
              <w:pStyle w:val="6"/>
              <w:jc w:val="center"/>
              <w:rPr>
                <w:rFonts w:hint="eastAsia" w:ascii="方正小标宋简体" w:hAnsi="方正小标宋简体" w:eastAsia="方正小标宋简体" w:cs="方正小标宋简体"/>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0"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龙门滩</w:t>
            </w:r>
            <w:r>
              <w:rPr>
                <w:rFonts w:hint="eastAsia" w:ascii="仿宋_GB2312" w:hAnsi="仿宋_GB2312" w:eastAsia="仿宋_GB2312" w:cs="仿宋_GB2312"/>
                <w:sz w:val="32"/>
                <w:szCs w:val="32"/>
              </w:rPr>
              <w:t>镇</w:t>
            </w:r>
          </w:p>
        </w:tc>
        <w:tc>
          <w:tcPr>
            <w:tcW w:w="2819" w:type="dxa"/>
          </w:tcPr>
          <w:p>
            <w:pPr>
              <w:pStyle w:val="6"/>
              <w:jc w:val="center"/>
              <w:rPr>
                <w:rFonts w:hint="eastAsia" w:ascii="方正小标宋简体" w:hAnsi="方正小标宋简体" w:eastAsia="方正小标宋简体" w:cs="方正小标宋简体"/>
                <w:sz w:val="36"/>
                <w:szCs w:val="36"/>
                <w:vertAlign w:val="baseline"/>
              </w:rPr>
            </w:pPr>
          </w:p>
        </w:tc>
        <w:tc>
          <w:tcPr>
            <w:tcW w:w="3285"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5</w:t>
            </w:r>
          </w:p>
        </w:tc>
        <w:tc>
          <w:tcPr>
            <w:tcW w:w="4105" w:type="dxa"/>
          </w:tcPr>
          <w:p>
            <w:pPr>
              <w:pStyle w:val="6"/>
              <w:jc w:val="center"/>
              <w:rPr>
                <w:rFonts w:hint="eastAsia" w:ascii="方正小标宋简体" w:hAnsi="方正小标宋简体" w:eastAsia="方正小标宋简体" w:cs="方正小标宋简体"/>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0"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国宝</w:t>
            </w:r>
            <w:r>
              <w:rPr>
                <w:rFonts w:hint="eastAsia" w:ascii="仿宋_GB2312" w:hAnsi="仿宋_GB2312" w:eastAsia="仿宋_GB2312" w:cs="仿宋_GB2312"/>
                <w:sz w:val="32"/>
                <w:szCs w:val="32"/>
              </w:rPr>
              <w:t>乡</w:t>
            </w:r>
          </w:p>
        </w:tc>
        <w:tc>
          <w:tcPr>
            <w:tcW w:w="2819" w:type="dxa"/>
          </w:tcPr>
          <w:p>
            <w:pPr>
              <w:pStyle w:val="6"/>
              <w:jc w:val="center"/>
              <w:rPr>
                <w:rFonts w:hint="eastAsia" w:ascii="方正小标宋简体" w:hAnsi="方正小标宋简体" w:eastAsia="方正小标宋简体" w:cs="方正小标宋简体"/>
                <w:sz w:val="36"/>
                <w:szCs w:val="36"/>
                <w:vertAlign w:val="baseline"/>
              </w:rPr>
            </w:pPr>
          </w:p>
        </w:tc>
        <w:tc>
          <w:tcPr>
            <w:tcW w:w="3285"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6.37</w:t>
            </w:r>
          </w:p>
        </w:tc>
        <w:tc>
          <w:tcPr>
            <w:tcW w:w="4105" w:type="dxa"/>
          </w:tcPr>
          <w:p>
            <w:pPr>
              <w:pStyle w:val="6"/>
              <w:jc w:val="center"/>
              <w:rPr>
                <w:rFonts w:hint="eastAsia" w:ascii="方正小标宋简体" w:hAnsi="方正小标宋简体" w:eastAsia="方正小标宋简体" w:cs="方正小标宋简体"/>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0"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汤头</w:t>
            </w:r>
            <w:r>
              <w:rPr>
                <w:rFonts w:hint="eastAsia" w:ascii="仿宋_GB2312" w:hAnsi="仿宋_GB2312" w:eastAsia="仿宋_GB2312" w:cs="仿宋_GB2312"/>
                <w:sz w:val="32"/>
                <w:szCs w:val="32"/>
              </w:rPr>
              <w:t>乡</w:t>
            </w:r>
          </w:p>
        </w:tc>
        <w:tc>
          <w:tcPr>
            <w:tcW w:w="2819" w:type="dxa"/>
          </w:tcPr>
          <w:p>
            <w:pPr>
              <w:pStyle w:val="6"/>
              <w:jc w:val="center"/>
              <w:rPr>
                <w:rFonts w:hint="eastAsia" w:ascii="方正小标宋简体" w:hAnsi="方正小标宋简体" w:eastAsia="方正小标宋简体" w:cs="方正小标宋简体"/>
                <w:sz w:val="36"/>
                <w:szCs w:val="36"/>
                <w:vertAlign w:val="baseline"/>
              </w:rPr>
            </w:pPr>
          </w:p>
        </w:tc>
        <w:tc>
          <w:tcPr>
            <w:tcW w:w="3285"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5</w:t>
            </w:r>
          </w:p>
        </w:tc>
        <w:tc>
          <w:tcPr>
            <w:tcW w:w="4105" w:type="dxa"/>
          </w:tcPr>
          <w:p>
            <w:pPr>
              <w:pStyle w:val="6"/>
              <w:jc w:val="center"/>
              <w:rPr>
                <w:rFonts w:hint="eastAsia" w:ascii="方正小标宋简体" w:hAnsi="方正小标宋简体" w:eastAsia="方正小标宋简体" w:cs="方正小标宋简体"/>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0"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杨梅</w:t>
            </w:r>
            <w:r>
              <w:rPr>
                <w:rFonts w:hint="eastAsia" w:ascii="仿宋_GB2312" w:hAnsi="仿宋_GB2312" w:eastAsia="仿宋_GB2312" w:cs="仿宋_GB2312"/>
                <w:sz w:val="32"/>
                <w:szCs w:val="32"/>
              </w:rPr>
              <w:t>乡</w:t>
            </w:r>
          </w:p>
        </w:tc>
        <w:tc>
          <w:tcPr>
            <w:tcW w:w="2819" w:type="dxa"/>
          </w:tcPr>
          <w:p>
            <w:pPr>
              <w:pStyle w:val="6"/>
              <w:jc w:val="center"/>
              <w:rPr>
                <w:rFonts w:hint="eastAsia" w:ascii="方正小标宋简体" w:hAnsi="方正小标宋简体" w:eastAsia="方正小标宋简体" w:cs="方正小标宋简体"/>
                <w:sz w:val="36"/>
                <w:szCs w:val="36"/>
                <w:vertAlign w:val="baseline"/>
              </w:rPr>
            </w:pPr>
          </w:p>
        </w:tc>
        <w:tc>
          <w:tcPr>
            <w:tcW w:w="3285" w:type="dxa"/>
            <w:shd w:val="clear" w:color="auto" w:fill="auto"/>
            <w:vAlign w:val="center"/>
          </w:tcPr>
          <w:p>
            <w:pPr>
              <w:spacing w:line="3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5</w:t>
            </w:r>
          </w:p>
        </w:tc>
        <w:tc>
          <w:tcPr>
            <w:tcW w:w="4105" w:type="dxa"/>
          </w:tcPr>
          <w:p>
            <w:pPr>
              <w:pStyle w:val="6"/>
              <w:jc w:val="center"/>
              <w:rPr>
                <w:rFonts w:hint="eastAsia" w:ascii="方正小标宋简体" w:hAnsi="方正小标宋简体" w:eastAsia="方正小标宋简体" w:cs="方正小标宋简体"/>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2850" w:type="dxa"/>
            <w:shd w:val="clear" w:color="auto" w:fill="auto"/>
            <w:vAlign w:val="center"/>
          </w:tcPr>
          <w:p>
            <w:pPr>
              <w:spacing w:line="3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德化县农业农村局</w:t>
            </w:r>
          </w:p>
        </w:tc>
        <w:tc>
          <w:tcPr>
            <w:tcW w:w="2819" w:type="dxa"/>
            <w:vAlign w:val="center"/>
          </w:tcPr>
          <w:p>
            <w:pPr>
              <w:spacing w:line="3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18.04</w:t>
            </w:r>
          </w:p>
        </w:tc>
        <w:tc>
          <w:tcPr>
            <w:tcW w:w="3285" w:type="dxa"/>
            <w:vAlign w:val="center"/>
          </w:tcPr>
          <w:p>
            <w:pPr>
              <w:spacing w:line="360" w:lineRule="exact"/>
              <w:jc w:val="center"/>
              <w:rPr>
                <w:rFonts w:hint="eastAsia" w:ascii="仿宋_GB2312" w:hAnsi="仿宋_GB2312" w:eastAsia="仿宋_GB2312" w:cs="仿宋_GB2312"/>
                <w:sz w:val="32"/>
                <w:szCs w:val="32"/>
                <w:lang w:val="en-US" w:eastAsia="zh-CN"/>
              </w:rPr>
            </w:pPr>
          </w:p>
        </w:tc>
        <w:tc>
          <w:tcPr>
            <w:tcW w:w="4105" w:type="dxa"/>
            <w:vAlign w:val="center"/>
          </w:tcPr>
          <w:p>
            <w:pPr>
              <w:spacing w:line="3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-33.46</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sectPr>
          <w:pgSz w:w="16838" w:h="11906" w:orient="landscape"/>
          <w:pgMar w:top="1440" w:right="1803" w:bottom="1440" w:left="1803" w:header="851" w:footer="992" w:gutter="0"/>
          <w:pgNumType w:fmt="decimal"/>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年特色</w:t>
      </w:r>
      <w:r>
        <w:rPr>
          <w:rFonts w:hint="eastAsia" w:ascii="方正小标宋简体" w:hAnsi="方正小标宋简体" w:eastAsia="方正小标宋简体" w:cs="方正小标宋简体"/>
          <w:sz w:val="36"/>
          <w:szCs w:val="36"/>
          <w:lang w:eastAsia="zh-CN"/>
        </w:rPr>
        <w:t>现代</w:t>
      </w:r>
      <w:r>
        <w:rPr>
          <w:rFonts w:hint="eastAsia" w:ascii="方正小标宋简体" w:hAnsi="方正小标宋简体" w:eastAsia="方正小标宋简体" w:cs="方正小标宋简体"/>
          <w:sz w:val="36"/>
          <w:szCs w:val="36"/>
        </w:rPr>
        <w:t>农业发展资金（第</w:t>
      </w:r>
      <w:r>
        <w:rPr>
          <w:rFonts w:hint="eastAsia" w:ascii="方正小标宋简体" w:hAnsi="方正小标宋简体" w:eastAsia="方正小标宋简体" w:cs="方正小标宋简体"/>
          <w:sz w:val="36"/>
          <w:szCs w:val="36"/>
          <w:lang w:eastAsia="zh-CN"/>
        </w:rPr>
        <w:t>六</w:t>
      </w:r>
      <w:r>
        <w:rPr>
          <w:rFonts w:hint="eastAsia" w:ascii="方正小标宋简体" w:hAnsi="方正小标宋简体" w:eastAsia="方正小标宋简体" w:cs="方正小标宋简体"/>
          <w:sz w:val="36"/>
          <w:szCs w:val="36"/>
        </w:rPr>
        <w:t>批）</w:t>
      </w:r>
      <w:r>
        <w:rPr>
          <w:rFonts w:hint="eastAsia" w:ascii="方正小标宋简体" w:hAnsi="方正小标宋简体" w:eastAsia="方正小标宋简体" w:cs="方正小标宋简体"/>
          <w:sz w:val="36"/>
          <w:szCs w:val="36"/>
          <w:lang w:val="en-US" w:eastAsia="zh-CN"/>
        </w:rPr>
        <w:t>绩效目标表</w:t>
      </w:r>
    </w:p>
    <w:tbl>
      <w:tblPr>
        <w:tblStyle w:val="3"/>
        <w:tblW w:w="1017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662"/>
        <w:gridCol w:w="820"/>
        <w:gridCol w:w="1836"/>
        <w:gridCol w:w="2858"/>
        <w:gridCol w:w="759"/>
        <w:gridCol w:w="1022"/>
        <w:gridCol w:w="773"/>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2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项目名称</w:t>
            </w:r>
          </w:p>
        </w:tc>
        <w:tc>
          <w:tcPr>
            <w:tcW w:w="79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z w:val="20"/>
                <w:szCs w:val="20"/>
                <w:u w:val="none"/>
              </w:rPr>
              <w:t>202</w:t>
            </w:r>
            <w:r>
              <w:rPr>
                <w:rFonts w:hint="eastAsia" w:ascii="仿宋_GB2312" w:hAnsi="宋体" w:eastAsia="仿宋_GB2312" w:cs="仿宋_GB2312"/>
                <w:i w:val="0"/>
                <w:iCs w:val="0"/>
                <w:color w:val="000000"/>
                <w:sz w:val="20"/>
                <w:szCs w:val="20"/>
                <w:u w:val="none"/>
                <w:lang w:val="en-US" w:eastAsia="zh-CN"/>
              </w:rPr>
              <w:t>5</w:t>
            </w:r>
            <w:r>
              <w:rPr>
                <w:rFonts w:hint="eastAsia" w:ascii="仿宋_GB2312" w:hAnsi="宋体" w:eastAsia="仿宋_GB2312" w:cs="仿宋_GB2312"/>
                <w:i w:val="0"/>
                <w:iCs w:val="0"/>
                <w:color w:val="000000"/>
                <w:sz w:val="20"/>
                <w:szCs w:val="20"/>
                <w:u w:val="none"/>
              </w:rPr>
              <w:t>年特色</w:t>
            </w:r>
            <w:r>
              <w:rPr>
                <w:rFonts w:hint="eastAsia" w:ascii="仿宋_GB2312" w:hAnsi="宋体" w:eastAsia="仿宋_GB2312" w:cs="仿宋_GB2312"/>
                <w:i w:val="0"/>
                <w:iCs w:val="0"/>
                <w:color w:val="000000"/>
                <w:sz w:val="20"/>
                <w:szCs w:val="20"/>
                <w:u w:val="none"/>
                <w:lang w:eastAsia="zh-CN"/>
              </w:rPr>
              <w:t>现代</w:t>
            </w:r>
            <w:r>
              <w:rPr>
                <w:rFonts w:hint="eastAsia" w:ascii="仿宋_GB2312" w:hAnsi="宋体" w:eastAsia="仿宋_GB2312" w:cs="仿宋_GB2312"/>
                <w:i w:val="0"/>
                <w:iCs w:val="0"/>
                <w:color w:val="000000"/>
                <w:sz w:val="20"/>
                <w:szCs w:val="20"/>
                <w:u w:val="none"/>
              </w:rPr>
              <w:t>农业发展资金（第</w:t>
            </w:r>
            <w:r>
              <w:rPr>
                <w:rFonts w:hint="eastAsia" w:ascii="仿宋_GB2312" w:hAnsi="宋体" w:eastAsia="仿宋_GB2312" w:cs="仿宋_GB2312"/>
                <w:i w:val="0"/>
                <w:iCs w:val="0"/>
                <w:color w:val="000000"/>
                <w:sz w:val="20"/>
                <w:szCs w:val="20"/>
                <w:u w:val="none"/>
                <w:lang w:eastAsia="zh-CN"/>
              </w:rPr>
              <w:t>六</w:t>
            </w:r>
            <w:r>
              <w:rPr>
                <w:rFonts w:hint="eastAsia" w:ascii="仿宋_GB2312" w:hAnsi="宋体" w:eastAsia="仿宋_GB2312" w:cs="仿宋_GB2312"/>
                <w:i w:val="0"/>
                <w:iCs w:val="0"/>
                <w:color w:val="000000"/>
                <w:sz w:val="20"/>
                <w:szCs w:val="20"/>
                <w:u w:val="none"/>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jc w:val="center"/>
        </w:trPr>
        <w:tc>
          <w:tcPr>
            <w:tcW w:w="2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主管部门（单位）名称及部门预算编码</w:t>
            </w:r>
          </w:p>
        </w:tc>
        <w:tc>
          <w:tcPr>
            <w:tcW w:w="46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德化县农业农村局</w:t>
            </w:r>
          </w:p>
        </w:tc>
        <w:tc>
          <w:tcPr>
            <w:tcW w:w="25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补助</w:t>
            </w:r>
          </w:p>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区域</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德化县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 w:hRule="atLeast"/>
          <w:jc w:val="center"/>
        </w:trPr>
        <w:tc>
          <w:tcPr>
            <w:tcW w:w="21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资金情况（万元）</w:t>
            </w:r>
          </w:p>
        </w:tc>
        <w:tc>
          <w:tcPr>
            <w:tcW w:w="46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资金总额：</w:t>
            </w:r>
          </w:p>
        </w:tc>
        <w:tc>
          <w:tcPr>
            <w:tcW w:w="32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 w:hRule="atLeast"/>
          <w:jc w:val="center"/>
        </w:trPr>
        <w:tc>
          <w:tcPr>
            <w:tcW w:w="21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46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其中：财政拨款</w:t>
            </w:r>
          </w:p>
        </w:tc>
        <w:tc>
          <w:tcPr>
            <w:tcW w:w="32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jc w:val="center"/>
        </w:trPr>
        <w:tc>
          <w:tcPr>
            <w:tcW w:w="21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46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其他资金</w:t>
            </w:r>
          </w:p>
        </w:tc>
        <w:tc>
          <w:tcPr>
            <w:tcW w:w="32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总体目标</w:t>
            </w:r>
          </w:p>
        </w:tc>
        <w:tc>
          <w:tcPr>
            <w:tcW w:w="946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新建及改造提升高标准农田项目面积1.15万亩。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jc w:val="center"/>
        </w:trPr>
        <w:tc>
          <w:tcPr>
            <w:tcW w:w="70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一级指标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三级指标</w:t>
            </w: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指标解释</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指标性质</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指标方向</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目标值</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jc w:val="center"/>
        </w:trPr>
        <w:tc>
          <w:tcPr>
            <w:tcW w:w="708"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66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成本指标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高标准农田建设亩均补助标准</w:t>
            </w: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各级财政性资金合计投入标准</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3500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jc w:val="center"/>
        </w:trPr>
        <w:tc>
          <w:tcPr>
            <w:tcW w:w="708" w:type="dxa"/>
            <w:vMerge w:val="continue"/>
            <w:tcBorders>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产出指标</w:t>
            </w:r>
          </w:p>
        </w:tc>
        <w:tc>
          <w:tcPr>
            <w:tcW w:w="82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指标</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新建及改造提升高标准农田项目面积</w:t>
            </w:r>
          </w:p>
        </w:tc>
        <w:tc>
          <w:tcPr>
            <w:tcW w:w="2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新建及改造提升高标准农田项目面积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 w:hRule="atLeast"/>
          <w:jc w:val="center"/>
        </w:trPr>
        <w:tc>
          <w:tcPr>
            <w:tcW w:w="708" w:type="dxa"/>
            <w:vMerge w:val="continue"/>
            <w:tcBorders>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820"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183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高效节水灌</w:t>
            </w:r>
            <w:bookmarkStart w:id="0" w:name="_GoBack"/>
            <w:bookmarkEnd w:id="0"/>
            <w:r>
              <w:rPr>
                <w:rFonts w:hint="eastAsia" w:ascii="仿宋_GB2312" w:hAnsi="宋体" w:eastAsia="仿宋_GB2312" w:cs="仿宋_GB2312"/>
                <w:i w:val="0"/>
                <w:iCs w:val="0"/>
                <w:color w:val="000000"/>
                <w:kern w:val="0"/>
                <w:sz w:val="20"/>
                <w:szCs w:val="20"/>
                <w:u w:val="none"/>
                <w:lang w:val="en-US" w:eastAsia="zh-CN" w:bidi="ar"/>
              </w:rPr>
              <w:t>溉面积</w:t>
            </w:r>
          </w:p>
        </w:tc>
        <w:tc>
          <w:tcPr>
            <w:tcW w:w="28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高效节水灌溉面积</w:t>
            </w:r>
          </w:p>
        </w:tc>
        <w:tc>
          <w:tcPr>
            <w:tcW w:w="75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0.07</w:t>
            </w:r>
          </w:p>
        </w:tc>
        <w:tc>
          <w:tcPr>
            <w:tcW w:w="7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jc w:val="center"/>
        </w:trPr>
        <w:tc>
          <w:tcPr>
            <w:tcW w:w="708"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sz w:val="20"/>
                <w:szCs w:val="20"/>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rPr>
            </w:pPr>
          </w:p>
        </w:tc>
        <w:tc>
          <w:tcPr>
            <w:tcW w:w="82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质量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指标</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项目验收合格率</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竣工验收合格的项目数量比例</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≥95</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 w:hRule="atLeast"/>
          <w:jc w:val="center"/>
        </w:trPr>
        <w:tc>
          <w:tcPr>
            <w:tcW w:w="708" w:type="dxa"/>
            <w:vMerge w:val="continue"/>
            <w:tcBorders>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82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时效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指标</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任务完成及时性</w:t>
            </w:r>
          </w:p>
        </w:tc>
        <w:tc>
          <w:tcPr>
            <w:tcW w:w="2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规定时间完成建设任务</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jc w:val="center"/>
        </w:trPr>
        <w:tc>
          <w:tcPr>
            <w:tcW w:w="708"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sz w:val="20"/>
                <w:szCs w:val="22"/>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sz w:val="20"/>
                <w:szCs w:val="22"/>
              </w:rPr>
            </w:pPr>
          </w:p>
        </w:tc>
        <w:tc>
          <w:tcPr>
            <w:tcW w:w="82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sz w:val="20"/>
                <w:szCs w:val="22"/>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当年项目设计批复率</w:t>
            </w:r>
          </w:p>
        </w:tc>
        <w:tc>
          <w:tcPr>
            <w:tcW w:w="2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当年6月底完成批复的项目数比例</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100</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708"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82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当年项目开工率</w:t>
            </w:r>
          </w:p>
        </w:tc>
        <w:tc>
          <w:tcPr>
            <w:tcW w:w="2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立项当年10月底前开工项目数量比例</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100</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708"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6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82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改造提升项目完工率</w:t>
            </w:r>
          </w:p>
        </w:tc>
        <w:tc>
          <w:tcPr>
            <w:tcW w:w="2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立项当年年底前完工项目数量比例</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90</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1" w:hRule="atLeast"/>
          <w:jc w:val="center"/>
        </w:trPr>
        <w:tc>
          <w:tcPr>
            <w:tcW w:w="708" w:type="dxa"/>
            <w:vMerge w:val="continue"/>
            <w:tcBorders>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效益指标</w:t>
            </w:r>
          </w:p>
        </w:tc>
        <w:tc>
          <w:tcPr>
            <w:tcW w:w="82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sz w:val="20"/>
                <w:szCs w:val="20"/>
                <w:u w:val="none"/>
                <w:lang w:eastAsia="zh-CN"/>
              </w:rPr>
              <w:t>经济效益指标</w:t>
            </w:r>
          </w:p>
        </w:tc>
        <w:tc>
          <w:tcPr>
            <w:tcW w:w="18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sz w:val="20"/>
                <w:szCs w:val="20"/>
                <w:u w:val="none"/>
                <w:lang w:eastAsia="zh-CN"/>
              </w:rPr>
              <w:t>项目区农户收入增长幅度</w:t>
            </w:r>
          </w:p>
        </w:tc>
        <w:tc>
          <w:tcPr>
            <w:tcW w:w="2858"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2"/>
                <w:sz w:val="20"/>
                <w:szCs w:val="20"/>
                <w:u w:val="none"/>
                <w:lang w:val="en-US" w:eastAsia="zh-CN" w:bidi="ar-SA"/>
              </w:rPr>
              <w:t>项目区实施后每个直接受益农户年收入</w:t>
            </w:r>
            <w:r>
              <w:rPr>
                <w:rFonts w:hint="eastAsia" w:ascii="仿宋_GB2312" w:hAnsi="宋体" w:eastAsia="仿宋_GB2312" w:cs="仿宋_GB2312"/>
                <w:i w:val="0"/>
                <w:iCs w:val="0"/>
                <w:color w:val="000000"/>
                <w:sz w:val="20"/>
                <w:szCs w:val="20"/>
                <w:u w:val="none"/>
                <w:lang w:eastAsia="zh-CN"/>
              </w:rPr>
              <w:t>增长幅度</w:t>
            </w:r>
          </w:p>
        </w:tc>
        <w:tc>
          <w:tcPr>
            <w:tcW w:w="759"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定量</w:t>
            </w:r>
          </w:p>
        </w:tc>
        <w:tc>
          <w:tcPr>
            <w:tcW w:w="102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150</w:t>
            </w:r>
          </w:p>
        </w:tc>
        <w:tc>
          <w:tcPr>
            <w:tcW w:w="739"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708" w:type="dxa"/>
            <w:vMerge w:val="continue"/>
            <w:tcBorders>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820"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生态效益指标</w:t>
            </w:r>
          </w:p>
        </w:tc>
        <w:tc>
          <w:tcPr>
            <w:tcW w:w="1836"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耕地质量等级</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项目区实施前后耕地质量等级评价对比提升等级</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正向</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个等级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708"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sz w:val="20"/>
                <w:szCs w:val="22"/>
              </w:rPr>
            </w:pPr>
          </w:p>
        </w:tc>
        <w:tc>
          <w:tcPr>
            <w:tcW w:w="6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sz w:val="20"/>
                <w:szCs w:val="22"/>
              </w:rPr>
            </w:pPr>
          </w:p>
        </w:tc>
        <w:tc>
          <w:tcPr>
            <w:tcW w:w="82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sz w:val="20"/>
                <w:szCs w:val="22"/>
              </w:rPr>
            </w:pPr>
          </w:p>
        </w:tc>
        <w:tc>
          <w:tcPr>
            <w:tcW w:w="1836"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灌溉水资源利用率</w:t>
            </w:r>
          </w:p>
        </w:tc>
        <w:tc>
          <w:tcPr>
            <w:tcW w:w="2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项目区实施后农田灌溉水利用率提高比例</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正向</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8" w:hRule="atLeast"/>
          <w:jc w:val="center"/>
        </w:trPr>
        <w:tc>
          <w:tcPr>
            <w:tcW w:w="708" w:type="dxa"/>
            <w:vMerge w:val="continue"/>
            <w:tcBorders>
              <w:left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0"/>
                <w:szCs w:val="20"/>
                <w:u w:val="none"/>
              </w:rPr>
            </w:pPr>
          </w:p>
        </w:tc>
        <w:tc>
          <w:tcPr>
            <w:tcW w:w="820"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kern w:val="0"/>
                <w:sz w:val="20"/>
                <w:szCs w:val="20"/>
                <w:u w:val="none"/>
                <w:lang w:val="en-US" w:eastAsia="zh-CN" w:bidi="ar"/>
              </w:rPr>
              <w:t>社会效益指标</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kern w:val="0"/>
                <w:sz w:val="20"/>
                <w:szCs w:val="20"/>
                <w:u w:val="none"/>
                <w:lang w:val="en-US" w:eastAsia="zh-CN" w:bidi="ar"/>
              </w:rPr>
              <w:t>粮食综合生产能力</w:t>
            </w:r>
          </w:p>
        </w:tc>
        <w:tc>
          <w:tcPr>
            <w:tcW w:w="2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项目区实施后粮食综合生产能力提升比例或单位面积年粮食或其他农产品产量增加比例</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正向</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708"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sz w:val="20"/>
                <w:szCs w:val="22"/>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p>
        </w:tc>
        <w:tc>
          <w:tcPr>
            <w:tcW w:w="82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田间道路通达度</w:t>
            </w:r>
          </w:p>
        </w:tc>
        <w:tc>
          <w:tcPr>
            <w:tcW w:w="2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提升田间道路通达度</w:t>
            </w:r>
          </w:p>
        </w:tc>
        <w:tc>
          <w:tcPr>
            <w:tcW w:w="7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正向</w:t>
            </w:r>
          </w:p>
        </w:tc>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90</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7" w:hRule="atLeast"/>
          <w:jc w:val="center"/>
        </w:trPr>
        <w:tc>
          <w:tcPr>
            <w:tcW w:w="70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u w:val="none"/>
              </w:rPr>
            </w:pPr>
          </w:p>
        </w:tc>
        <w:tc>
          <w:tcPr>
            <w:tcW w:w="66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满意度指标</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农户满意度指标</w:t>
            </w:r>
          </w:p>
        </w:tc>
        <w:tc>
          <w:tcPr>
            <w:tcW w:w="18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项目区受益群众满意率</w:t>
            </w:r>
          </w:p>
        </w:tc>
        <w:tc>
          <w:tcPr>
            <w:tcW w:w="28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抽样调查项目区受益群众满意率</w:t>
            </w:r>
          </w:p>
        </w:tc>
        <w:tc>
          <w:tcPr>
            <w:tcW w:w="75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正向</w:t>
            </w:r>
          </w:p>
        </w:tc>
        <w:tc>
          <w:tcPr>
            <w:tcW w:w="102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大于等于</w:t>
            </w:r>
          </w:p>
        </w:tc>
        <w:tc>
          <w:tcPr>
            <w:tcW w:w="77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90</w:t>
            </w:r>
          </w:p>
        </w:tc>
        <w:tc>
          <w:tcPr>
            <w:tcW w:w="73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w:t>
            </w:r>
          </w:p>
        </w:tc>
      </w:tr>
    </w:tbl>
    <w:p>
      <w:pPr>
        <w:rPr>
          <w:sz w:val="20"/>
          <w:szCs w:val="22"/>
        </w:rPr>
      </w:pPr>
    </w:p>
    <w:p>
      <w:pPr>
        <w:rPr>
          <w:sz w:val="20"/>
          <w:szCs w:val="22"/>
        </w:rPr>
      </w:pPr>
    </w:p>
    <w:tbl>
      <w:tblPr>
        <w:tblStyle w:val="3"/>
        <w:tblpPr w:leftFromText="180" w:rightFromText="180" w:vertAnchor="text" w:horzAnchor="page" w:tblpX="935" w:tblpY="67"/>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38" w:type="dxa"/>
            <w:tcBorders>
              <w:left w:val="nil"/>
              <w:right w:val="nil"/>
            </w:tcBorders>
          </w:tcPr>
          <w:p>
            <w:pPr>
              <w:spacing w:line="560" w:lineRule="exact"/>
              <w:ind w:firstLine="280" w:firstLineChars="100"/>
              <w:rPr>
                <w:rFonts w:ascii="仿宋_GB2312" w:eastAsia="仿宋_GB2312"/>
                <w:sz w:val="28"/>
                <w:szCs w:val="28"/>
              </w:rPr>
            </w:pPr>
            <w:r>
              <w:rPr>
                <w:rFonts w:hint="eastAsia" w:ascii="仿宋_GB2312" w:eastAsia="仿宋_GB2312"/>
                <w:sz w:val="28"/>
                <w:szCs w:val="28"/>
              </w:rPr>
              <w:t xml:space="preserve">德化县农业农村局办公室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2025年1</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sz w:val="20"/>
          <w:szCs w:val="22"/>
        </w:rPr>
      </w:pPr>
    </w:p>
    <w:sectPr>
      <w:pgSz w:w="11906" w:h="16838"/>
      <w:pgMar w:top="1701" w:right="1440" w:bottom="1701"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-424180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4pt;height:144pt;width:144pt;mso-position-horizontal:outside;mso-position-horizontal-relative:margin;mso-wrap-style:none;z-index:251659264;mso-width-relative:page;mso-height-relative:page;" filled="f" stroked="f" coordsize="21600,21600" o:gfxdata="UEsDBAoAAAAAAIdO4kAAAAAAAAAAAAAAAAAEAAAAZHJzL1BLAwQUAAAACACHTuJA93tWud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5zgVYzoqCL0cesjQD&#10;WVfyf4H6B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3e1a5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05485"/>
    <w:rsid w:val="2584367D"/>
    <w:rsid w:val="28505485"/>
    <w:rsid w:val="2A012DF7"/>
    <w:rsid w:val="3F595EF9"/>
    <w:rsid w:val="43D5397C"/>
    <w:rsid w:val="46232438"/>
    <w:rsid w:val="4E972012"/>
    <w:rsid w:val="60BF0B20"/>
    <w:rsid w:val="7EFE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Default"/>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1238</Words>
  <Characters>1347</Characters>
  <Lines>0</Lines>
  <Paragraphs>0</Paragraphs>
  <TotalTime>4</TotalTime>
  <ScaleCrop>false</ScaleCrop>
  <LinksUpToDate>false</LinksUpToDate>
  <CharactersWithSpaces>1388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2025-12-25T01:18:00Z</dcterms:created>
  <dc:creator>微信用户</dc:creator>
  <cp:lastModifiedBy>lenovo2</cp:lastModifiedBy>
  <cp:lastPrinted>2025-12-30T03:24:00Z</cp:lastPrinted>
  <dcterms:modified xsi:type="dcterms:W3CDTF">2026-01-05T12:29:33Z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23971DBD8DEF4C78BE4D24C81461E4F6_13</vt:lpwstr>
  </property>
  <property fmtid="{D5CDD505-2E9C-101B-9397-08002B2CF9AE}" pid="4" name="KSOTemplateDocerSaveRecord">
    <vt:lpwstr>eyJoZGlkIjoiYzRjNWVhZjNjNmFlZWQ4YWY5YjhlZDA2YjNlNjNlOGIiLCJ1c2VySWQiOiIzODExMzk3MTYifQ==</vt:lpwstr>
  </property>
</Properties>
</file>