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b/>
          <w:sz w:val="36"/>
          <w:szCs w:val="36"/>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b/>
          <w:sz w:val="36"/>
          <w:szCs w:val="36"/>
        </w:rPr>
      </w:pPr>
    </w:p>
    <w:p>
      <w:pPr>
        <w:spacing w:line="500" w:lineRule="exact"/>
        <w:jc w:val="center"/>
        <w:rPr>
          <w:rFonts w:ascii="仿宋_GB2312" w:hAnsi="仿宋" w:eastAsia="仿宋_GB2312"/>
        </w:rPr>
      </w:pPr>
      <w:r>
        <w:rPr>
          <w:rFonts w:hint="eastAsia" w:ascii="仿宋_GB2312" w:hAnsi="仿宋" w:eastAsia="仿宋_GB2312"/>
        </w:rPr>
        <w:t>德城管〔2023〕1号</w:t>
      </w:r>
    </w:p>
    <w:p>
      <w:pPr>
        <w:spacing w:line="500" w:lineRule="exact"/>
        <w:jc w:val="center"/>
        <w:rPr>
          <w:rFonts w:ascii="仿宋_GB2312" w:hAnsi="仿宋" w:eastAsia="仿宋_GB2312"/>
        </w:rPr>
      </w:pPr>
    </w:p>
    <w:p>
      <w:pPr>
        <w:spacing w:line="570" w:lineRule="exact"/>
        <w:jc w:val="center"/>
        <w:rPr>
          <w:rFonts w:ascii="宋体" w:hAnsi="宋体" w:eastAsia="宋体"/>
          <w:b/>
          <w:sz w:val="36"/>
          <w:szCs w:val="36"/>
        </w:rPr>
      </w:pPr>
    </w:p>
    <w:p>
      <w:pPr>
        <w:keepNext w:val="0"/>
        <w:keepLines w:val="0"/>
        <w:pageBreakBefore w:val="0"/>
        <w:widowControl/>
        <w:kinsoku/>
        <w:wordWrap/>
        <w:overflowPunct/>
        <w:topLinePunct w:val="0"/>
        <w:autoSpaceDE/>
        <w:autoSpaceDN/>
        <w:bidi w:val="0"/>
        <w:adjustRightInd/>
        <w:spacing w:line="570" w:lineRule="exact"/>
        <w:jc w:val="center"/>
        <w:textAlignment w:val="auto"/>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德化县城市管理局2022年政府信息公开</w:t>
      </w:r>
    </w:p>
    <w:p>
      <w:pPr>
        <w:keepNext w:val="0"/>
        <w:keepLines w:val="0"/>
        <w:pageBreakBefore w:val="0"/>
        <w:widowControl/>
        <w:kinsoku/>
        <w:wordWrap/>
        <w:overflowPunct/>
        <w:topLinePunct w:val="0"/>
        <w:autoSpaceDE/>
        <w:autoSpaceDN/>
        <w:bidi w:val="0"/>
        <w:adjustRightInd/>
        <w:spacing w:line="570" w:lineRule="exact"/>
        <w:jc w:val="center"/>
        <w:textAlignment w:val="auto"/>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工作年度报告</w:t>
      </w:r>
    </w:p>
    <w:p>
      <w:pPr>
        <w:keepNext w:val="0"/>
        <w:keepLines w:val="0"/>
        <w:pageBreakBefore w:val="0"/>
        <w:widowControl/>
        <w:kinsoku/>
        <w:wordWrap/>
        <w:overflowPunct/>
        <w:topLinePunct w:val="0"/>
        <w:autoSpaceDE/>
        <w:autoSpaceDN/>
        <w:bidi w:val="0"/>
        <w:adjustRightInd/>
        <w:snapToGrid w:val="0"/>
        <w:spacing w:line="570" w:lineRule="exact"/>
        <w:textAlignment w:val="auto"/>
        <w:rPr>
          <w:rFonts w:ascii="黑体" w:hAnsi="黑体" w:eastAsia="黑体" w:cs="黑体"/>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color w:val="000000"/>
          <w:kern w:val="0"/>
        </w:rPr>
      </w:pPr>
      <w:r>
        <w:rPr>
          <w:rFonts w:hint="eastAsia" w:ascii="仿宋_GB2312" w:hAnsi="仿宋" w:eastAsia="仿宋_GB2312" w:cs="宋体"/>
          <w:color w:val="000000"/>
          <w:kern w:val="0"/>
        </w:rPr>
        <w:t>根据</w:t>
      </w:r>
      <w:r>
        <w:rPr>
          <w:rFonts w:hint="eastAsia" w:ascii="仿宋_GB2312" w:hAnsi="宋体" w:eastAsia="仿宋_GB2312" w:cs="宋体"/>
          <w:kern w:val="0"/>
        </w:rPr>
        <w:t>《国务院办公厅关于印发2022年政务公开工作要点的通知》（国办发〔2022〕8号）、</w:t>
      </w:r>
      <w:r>
        <w:rPr>
          <w:rFonts w:ascii="仿宋_GB2312" w:hAnsi="宋体" w:eastAsia="仿宋_GB2312" w:cs="宋体"/>
          <w:kern w:val="0"/>
        </w:rPr>
        <w:t>福建省人民政府办公厅关于印发2022年全省政务公开工作主要任务分解表的通知</w:t>
      </w:r>
      <w:r>
        <w:rPr>
          <w:rFonts w:hint="eastAsia" w:ascii="仿宋_GB2312" w:hAnsi="宋体" w:eastAsia="仿宋_GB2312" w:cs="宋体"/>
          <w:kern w:val="0"/>
        </w:rPr>
        <w:t>》（闽政办函〔2022〕28号）、《泉州市人民政府办公室关于印发2022年全市政务公开工作台账》等文件要求</w:t>
      </w:r>
      <w:r>
        <w:rPr>
          <w:rFonts w:hint="eastAsia" w:ascii="仿宋_GB2312" w:hAnsi="仿宋" w:eastAsia="仿宋_GB2312" w:cs="宋体"/>
          <w:color w:val="000000"/>
          <w:kern w:val="0"/>
        </w:rPr>
        <w:t>，我局编制完成了2022年政府信息公开工作年度报告,由总体情况、主动公开政府信息情况、收到和处理政府信息公开申请情况、因政府信息公开工作被申请行政复议和提起行政诉讼情况、政府信息公开工作存在的主要问题及改进情况、其他需要报告的事项六部分组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color w:val="000000"/>
          <w:kern w:val="0"/>
        </w:rPr>
      </w:pPr>
      <w:r>
        <w:rPr>
          <w:rFonts w:hint="eastAsia" w:ascii="黑体" w:hAnsi="黑体" w:eastAsia="黑体" w:cs="黑体"/>
        </w:rPr>
        <w:t>一、总体情况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rPr>
        <w:t>（一）</w:t>
      </w:r>
      <w:r>
        <w:rPr>
          <w:rFonts w:hint="eastAsia" w:ascii="仿宋_GB2312" w:hAnsi="仿宋" w:eastAsia="仿宋_GB2312" w:cs="宋体"/>
          <w:color w:val="000000"/>
          <w:kern w:val="0"/>
          <w:lang w:val="en-US" w:eastAsia="zh-CN"/>
        </w:rPr>
        <w:t>主动公开情况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rPr>
      </w:pPr>
      <w:r>
        <w:rPr>
          <w:rFonts w:hint="eastAsia" w:ascii="仿宋_GB2312" w:hAnsi="仿宋" w:eastAsia="仿宋_GB2312" w:cs="宋体"/>
          <w:color w:val="000000"/>
          <w:kern w:val="0"/>
          <w:lang w:val="en-US" w:eastAsia="zh-CN"/>
        </w:rPr>
        <w:t>2022年，我局主动</w:t>
      </w:r>
      <w:r>
        <w:rPr>
          <w:rFonts w:hint="eastAsia" w:ascii="仿宋_GB2312" w:hAnsi="仿宋" w:eastAsia="仿宋_GB2312" w:cs="宋体"/>
          <w:color w:val="000000"/>
          <w:kern w:val="0"/>
        </w:rPr>
        <w:t>主动公开政府信息</w:t>
      </w:r>
      <w:r>
        <w:rPr>
          <w:rFonts w:hint="eastAsia" w:ascii="仿宋_GB2312" w:hAnsi="仿宋" w:eastAsia="仿宋_GB2312" w:cs="宋体"/>
          <w:color w:val="000000"/>
          <w:kern w:val="0"/>
          <w:lang w:val="en-US" w:eastAsia="zh-CN"/>
        </w:rPr>
        <w:t>57</w:t>
      </w:r>
      <w:r>
        <w:rPr>
          <w:rFonts w:hint="eastAsia" w:ascii="仿宋_GB2312" w:hAnsi="仿宋" w:eastAsia="仿宋_GB2312" w:cs="宋体"/>
          <w:color w:val="000000"/>
          <w:kern w:val="0"/>
        </w:rPr>
        <w:t>条，其中法定主动公开</w:t>
      </w:r>
      <w:r>
        <w:rPr>
          <w:rFonts w:hint="eastAsia" w:ascii="仿宋_GB2312" w:hAnsi="仿宋" w:eastAsia="仿宋_GB2312" w:cs="宋体"/>
          <w:color w:val="000000"/>
          <w:kern w:val="0"/>
          <w:lang w:val="en-US" w:eastAsia="zh-CN"/>
        </w:rPr>
        <w:t>57</w:t>
      </w:r>
      <w:r>
        <w:rPr>
          <w:rFonts w:hint="eastAsia" w:ascii="仿宋_GB2312" w:hAnsi="仿宋" w:eastAsia="仿宋_GB2312" w:cs="宋体"/>
          <w:color w:val="000000"/>
          <w:kern w:val="0"/>
        </w:rPr>
        <w:t>条，包括规划计划类信息</w:t>
      </w:r>
      <w:r>
        <w:rPr>
          <w:rFonts w:hint="eastAsia" w:ascii="仿宋_GB2312" w:hAnsi="仿宋" w:eastAsia="仿宋_GB2312" w:cs="宋体"/>
          <w:color w:val="000000"/>
          <w:kern w:val="0"/>
          <w:lang w:val="en-US" w:eastAsia="zh-CN"/>
        </w:rPr>
        <w:t>13</w:t>
      </w:r>
      <w:r>
        <w:rPr>
          <w:rFonts w:hint="eastAsia" w:ascii="仿宋_GB2312" w:hAnsi="仿宋" w:eastAsia="仿宋_GB2312" w:cs="宋体"/>
          <w:color w:val="000000"/>
          <w:kern w:val="0"/>
        </w:rPr>
        <w:t>条，安全生产、应急管理类信息</w:t>
      </w:r>
      <w:r>
        <w:rPr>
          <w:rFonts w:hint="eastAsia" w:ascii="仿宋_GB2312" w:hAnsi="仿宋" w:eastAsia="仿宋_GB2312" w:cs="宋体"/>
          <w:color w:val="000000"/>
          <w:kern w:val="0"/>
          <w:lang w:val="en-US" w:eastAsia="zh-CN"/>
        </w:rPr>
        <w:t>4</w:t>
      </w:r>
      <w:r>
        <w:rPr>
          <w:rFonts w:hint="eastAsia" w:ascii="仿宋_GB2312" w:hAnsi="仿宋" w:eastAsia="仿宋_GB2312" w:cs="宋体"/>
          <w:color w:val="000000"/>
          <w:kern w:val="0"/>
        </w:rPr>
        <w:t>条，其他类信息</w:t>
      </w:r>
      <w:r>
        <w:rPr>
          <w:rFonts w:hint="eastAsia" w:ascii="仿宋_GB2312" w:hAnsi="仿宋" w:eastAsia="仿宋_GB2312" w:cs="宋体"/>
          <w:color w:val="000000"/>
          <w:kern w:val="0"/>
          <w:lang w:val="en-US" w:eastAsia="zh-CN"/>
        </w:rPr>
        <w:t>40</w:t>
      </w:r>
      <w:r>
        <w:rPr>
          <w:rFonts w:hint="eastAsia" w:ascii="仿宋_GB2312" w:hAnsi="仿宋" w:eastAsia="仿宋_GB2312" w:cs="宋体"/>
          <w:color w:val="000000"/>
          <w:kern w:val="0"/>
        </w:rPr>
        <w:t>条。</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依申请公开情况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val="en-US" w:eastAsia="zh-CN"/>
        </w:rPr>
      </w:pPr>
      <w:r>
        <w:rPr>
          <w:rFonts w:hint="default" w:ascii="仿宋_GB2312" w:hAnsi="仿宋" w:eastAsia="仿宋_GB2312" w:cs="宋体"/>
          <w:color w:val="000000"/>
          <w:kern w:val="0"/>
          <w:lang w:val="en-US" w:eastAsia="zh-CN"/>
        </w:rPr>
        <w:t>2022</w:t>
      </w:r>
      <w:r>
        <w:rPr>
          <w:rFonts w:hint="eastAsia" w:ascii="仿宋_GB2312" w:hAnsi="仿宋" w:eastAsia="仿宋_GB2312" w:cs="宋体"/>
          <w:color w:val="000000"/>
          <w:kern w:val="0"/>
          <w:lang w:val="en-US" w:eastAsia="zh-CN"/>
        </w:rPr>
        <w:t>年，我局共收到依申请案件数共</w:t>
      </w:r>
      <w:r>
        <w:rPr>
          <w:rFonts w:hint="default" w:ascii="仿宋_GB2312" w:hAnsi="仿宋" w:eastAsia="仿宋_GB2312" w:cs="宋体"/>
          <w:color w:val="000000"/>
          <w:kern w:val="0"/>
          <w:lang w:val="en-US" w:eastAsia="zh-CN"/>
        </w:rPr>
        <w:t>0</w:t>
      </w:r>
      <w:r>
        <w:rPr>
          <w:rFonts w:hint="eastAsia" w:ascii="仿宋_GB2312" w:hAnsi="仿宋" w:eastAsia="仿宋_GB2312" w:cs="宋体"/>
          <w:color w:val="000000"/>
          <w:kern w:val="0"/>
          <w:lang w:val="en-US" w:eastAsia="zh-CN"/>
        </w:rPr>
        <w:t>件，依申请办结数为</w:t>
      </w:r>
      <w:r>
        <w:rPr>
          <w:rFonts w:hint="default" w:ascii="仿宋_GB2312" w:hAnsi="仿宋" w:eastAsia="仿宋_GB2312" w:cs="宋体"/>
          <w:color w:val="000000"/>
          <w:kern w:val="0"/>
          <w:lang w:val="en-US" w:eastAsia="zh-CN"/>
        </w:rPr>
        <w:t>0</w:t>
      </w:r>
      <w:r>
        <w:rPr>
          <w:rFonts w:hint="eastAsia" w:ascii="仿宋_GB2312" w:hAnsi="仿宋" w:eastAsia="仿宋_GB2312" w:cs="宋体"/>
          <w:color w:val="000000"/>
          <w:kern w:val="0"/>
          <w:lang w:val="en-US" w:eastAsia="zh-CN"/>
        </w:rPr>
        <w:t>件。</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政府信息管理情况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rPr>
      </w:pPr>
      <w:r>
        <w:rPr>
          <w:rFonts w:hint="eastAsia" w:ascii="仿宋_GB2312" w:hAnsi="仿宋" w:eastAsia="仿宋_GB2312" w:cs="宋体"/>
          <w:color w:val="000000"/>
          <w:kern w:val="0"/>
        </w:rPr>
        <w:t>为切实加强政府信息公开工作的领导，扎实推进政府信息公开工作，我局根据人事变动及时调整充实了领导机构并设立政府信息公开领导小组办公室，组长由局长兼任，党委副书记为副组长，成员由局属各股室（所）、各单位负责人组成。领导小组下设办公室，主任由局办公室负责人兼任。</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政府信息公开平台建设</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val="en-US" w:eastAsia="zh-CN"/>
        </w:rPr>
      </w:pPr>
      <w:r>
        <w:rPr>
          <w:rFonts w:hint="eastAsia" w:ascii="仿宋_GB2312" w:hAnsi="仿宋" w:eastAsia="仿宋_GB2312" w:cs="宋体"/>
          <w:color w:val="000000"/>
          <w:kern w:val="0"/>
        </w:rPr>
        <w:t>依托县政务公开统一平台，健全完善县</w:t>
      </w:r>
      <w:r>
        <w:rPr>
          <w:rFonts w:hint="eastAsia" w:ascii="仿宋_GB2312" w:hAnsi="仿宋" w:eastAsia="仿宋_GB2312" w:cs="宋体"/>
          <w:color w:val="000000"/>
          <w:kern w:val="0"/>
          <w:lang w:val="en-US" w:eastAsia="zh-CN"/>
        </w:rPr>
        <w:t>城市管理局</w:t>
      </w:r>
      <w:r>
        <w:rPr>
          <w:rFonts w:hint="eastAsia" w:ascii="仿宋_GB2312" w:hAnsi="仿宋" w:eastAsia="仿宋_GB2312" w:cs="宋体"/>
          <w:color w:val="000000"/>
          <w:kern w:val="0"/>
        </w:rPr>
        <w:t>政府信息公开专栏，做好栏目设置，确保法定主动公开内容全部公开到位，及时更新各栏目信息，加快信息更新速度，进一步加大公开力度，对照目录公开事项补充内容。</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 w:eastAsia="仿宋_GB2312" w:cs="宋体"/>
          <w:color w:val="000000"/>
          <w:kern w:val="0"/>
          <w:lang w:val="en-US" w:eastAsia="zh-CN"/>
        </w:rPr>
      </w:pPr>
      <w:r>
        <w:rPr>
          <w:rFonts w:hint="eastAsia" w:ascii="仿宋_GB2312" w:hAnsi="仿宋" w:eastAsia="仿宋_GB2312" w:cs="宋体"/>
          <w:color w:val="000000"/>
          <w:kern w:val="0"/>
          <w:lang w:val="en-US" w:eastAsia="zh-CN"/>
        </w:rPr>
        <w:t>监督保障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rPr>
      </w:pPr>
      <w:r>
        <w:rPr>
          <w:rFonts w:hint="eastAsia" w:ascii="仿宋_GB2312" w:hAnsi="仿宋" w:eastAsia="仿宋_GB2312" w:cs="宋体"/>
          <w:color w:val="000000"/>
          <w:kern w:val="0"/>
        </w:rPr>
        <w:t>我局政务信息公开工作在领导小组的统一领导下,各责任股室和责任人各司其职，各负其责，形成合力，层层抓落实，确保政务信息公开工作全面、深入、扎实、有效的开展。</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color w:val="333333"/>
          <w:sz w:val="27"/>
          <w:szCs w:val="27"/>
        </w:rPr>
      </w:pPr>
      <w:r>
        <w:rPr>
          <w:rFonts w:hint="eastAsia" w:ascii="黑体" w:hAnsi="黑体" w:eastAsia="黑体" w:cs="黑体"/>
          <w:bCs/>
          <w:color w:val="000000"/>
          <w:sz w:val="32"/>
          <w:szCs w:val="32"/>
        </w:rPr>
        <w:t>二、主动公开政府信息情况</w:t>
      </w:r>
    </w:p>
    <w:tbl>
      <w:tblPr>
        <w:tblStyle w:val="7"/>
        <w:tblW w:w="9740" w:type="dxa"/>
        <w:jc w:val="center"/>
        <w:shd w:val="clear" w:color="auto" w:fill="FFFFFF" w:themeFill="background1"/>
        <w:tblLayout w:type="autofit"/>
        <w:tblCellMar>
          <w:top w:w="0" w:type="dxa"/>
          <w:left w:w="0" w:type="dxa"/>
          <w:bottom w:w="0" w:type="dxa"/>
          <w:right w:w="0" w:type="dxa"/>
        </w:tblCellMar>
      </w:tblPr>
      <w:tblGrid>
        <w:gridCol w:w="2435"/>
        <w:gridCol w:w="2435"/>
        <w:gridCol w:w="2435"/>
        <w:gridCol w:w="2435"/>
      </w:tblGrid>
      <w:tr>
        <w:tblPrEx>
          <w:shd w:val="clear" w:color="auto" w:fill="FFFFFF" w:themeFill="background1"/>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第二十条第（一）项</w:t>
            </w:r>
          </w:p>
        </w:tc>
      </w:tr>
      <w:tr>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信息内容</w:t>
            </w:r>
          </w:p>
        </w:tc>
        <w:tc>
          <w:tcPr>
            <w:tcW w:w="243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w:t>
            </w:r>
            <w:r>
              <w:rPr>
                <w:rFonts w:hint="eastAsia" w:ascii="仿宋_GB2312" w:hAnsi="仿宋_GB2312" w:eastAsia="仿宋_GB2312" w:cs="仿宋_GB2312"/>
                <w:kern w:val="0"/>
              </w:rPr>
              <w:t>制发件数</w:t>
            </w:r>
          </w:p>
        </w:tc>
        <w:tc>
          <w:tcPr>
            <w:tcW w:w="243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本年废止件数</w:t>
            </w:r>
          </w:p>
        </w:tc>
        <w:tc>
          <w:tcPr>
            <w:tcW w:w="243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现行有效件</w:t>
            </w:r>
            <w:r>
              <w:rPr>
                <w:rFonts w:hint="eastAsia" w:ascii="仿宋_GB2312" w:hAnsi="仿宋_GB2312" w:eastAsia="仿宋_GB2312" w:cs="仿宋_GB2312"/>
                <w:kern w:val="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规章</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　　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 　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r>
      <w:tr>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行政规范性文件</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 　0</w:t>
            </w:r>
          </w:p>
        </w:tc>
        <w:tc>
          <w:tcPr>
            <w:tcW w:w="243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宋体" w:hAnsi="宋体" w:eastAsia="宋体" w:cs="宋体"/>
                <w:kern w:val="0"/>
              </w:rPr>
              <w:t> </w:t>
            </w:r>
            <w:r>
              <w:rPr>
                <w:rFonts w:hint="eastAsia" w:ascii="仿宋_GB2312" w:hAnsi="仿宋_GB2312" w:eastAsia="仿宋_GB2312" w:cs="仿宋_GB2312"/>
                <w:kern w:val="0"/>
              </w:rPr>
              <w:t>1</w:t>
            </w:r>
          </w:p>
        </w:tc>
      </w:tr>
      <w:tr>
        <w:tblPrEx>
          <w:shd w:val="clear" w:color="auto" w:fill="FFFFFF" w:themeFill="background1"/>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第二十条第（五）项</w:t>
            </w:r>
          </w:p>
        </w:tc>
      </w:tr>
      <w:tr>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信息内容</w:t>
            </w:r>
          </w:p>
        </w:tc>
        <w:tc>
          <w:tcPr>
            <w:tcW w:w="7305"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本年处理决定数量</w:t>
            </w:r>
          </w:p>
        </w:tc>
      </w:tr>
      <w:tr>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行政许可</w:t>
            </w:r>
          </w:p>
        </w:tc>
        <w:tc>
          <w:tcPr>
            <w:tcW w:w="7305"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宋体" w:hAnsi="宋体" w:eastAsia="宋体" w:cs="宋体"/>
                <w:kern w:val="0"/>
              </w:rPr>
              <w:t> </w:t>
            </w:r>
            <w:r>
              <w:rPr>
                <w:rFonts w:hint="eastAsia" w:ascii="仿宋_GB2312" w:hAnsi="仿宋_GB2312" w:eastAsia="仿宋_GB2312" w:cs="仿宋_GB2312"/>
                <w:kern w:val="0"/>
              </w:rPr>
              <w:t>166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本年处理决定数量</w:t>
            </w:r>
          </w:p>
        </w:tc>
      </w:tr>
      <w:tr>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行政处罚</w:t>
            </w:r>
          </w:p>
        </w:tc>
        <w:tc>
          <w:tcPr>
            <w:tcW w:w="7305"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 xml:space="preserve">  247</w:t>
            </w:r>
          </w:p>
        </w:tc>
      </w:tr>
      <w:tr>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行政强制</w:t>
            </w:r>
          </w:p>
        </w:tc>
        <w:tc>
          <w:tcPr>
            <w:tcW w:w="7305"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　0</w:t>
            </w:r>
          </w:p>
        </w:tc>
      </w:tr>
      <w:tr>
        <w:tblPrEx>
          <w:shd w:val="clear" w:color="auto" w:fill="FFFFFF" w:themeFill="background1"/>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第二十条第（八）项</w:t>
            </w:r>
          </w:p>
        </w:tc>
      </w:tr>
      <w:tr>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信息内容</w:t>
            </w:r>
          </w:p>
        </w:tc>
        <w:tc>
          <w:tcPr>
            <w:tcW w:w="7305"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本年收费金额（单位：万元）</w:t>
            </w:r>
          </w:p>
        </w:tc>
      </w:tr>
      <w:tr>
        <w:tblPrEx>
          <w:shd w:val="clear" w:color="auto" w:fill="FFFFFF" w:themeFill="background1"/>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行政事业性收费</w:t>
            </w:r>
          </w:p>
        </w:tc>
        <w:tc>
          <w:tcPr>
            <w:tcW w:w="7305"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bl>
    <w:p>
      <w:pPr>
        <w:pStyle w:val="6"/>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auto"/>
        <w:rPr>
          <w:rFonts w:ascii="黑体" w:hAnsi="黑体" w:eastAsia="黑体" w:cs="黑体"/>
          <w:bCs/>
          <w:color w:val="000000"/>
          <w:sz w:val="32"/>
          <w:szCs w:val="32"/>
        </w:rPr>
      </w:pP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320" w:firstLineChars="100"/>
        <w:jc w:val="both"/>
        <w:textAlignment w:val="auto"/>
        <w:rPr>
          <w:rFonts w:ascii="宋体" w:hAnsi="宋体" w:eastAsia="宋体" w:cs="宋体"/>
          <w:color w:val="333333"/>
          <w:kern w:val="0"/>
          <w:sz w:val="27"/>
          <w:szCs w:val="27"/>
        </w:rPr>
      </w:pPr>
      <w:r>
        <w:rPr>
          <w:rFonts w:hint="eastAsia" w:ascii="黑体" w:hAnsi="黑体" w:eastAsia="黑体" w:cs="黑体"/>
          <w:bCs/>
          <w:color w:val="000000"/>
          <w:sz w:val="32"/>
          <w:szCs w:val="32"/>
        </w:rPr>
        <w:t>三、</w:t>
      </w:r>
      <w:r>
        <w:rPr>
          <w:rFonts w:ascii="黑体" w:hAnsi="黑体" w:eastAsia="黑体" w:cs="黑体"/>
          <w:bCs/>
          <w:color w:val="000000"/>
          <w:sz w:val="32"/>
          <w:szCs w:val="32"/>
        </w:rPr>
        <w:t>收到和处理政府信息公开申请情况</w:t>
      </w:r>
    </w:p>
    <w:tbl>
      <w:tblPr>
        <w:tblStyle w:val="7"/>
        <w:tblW w:w="9748" w:type="dxa"/>
        <w:jc w:val="center"/>
        <w:tblLayout w:type="autofit"/>
        <w:tblCellMar>
          <w:top w:w="0" w:type="dxa"/>
          <w:left w:w="0" w:type="dxa"/>
          <w:bottom w:w="0" w:type="dxa"/>
          <w:right w:w="0" w:type="dxa"/>
        </w:tblCellMar>
      </w:tblPr>
      <w:tblGrid>
        <w:gridCol w:w="781"/>
        <w:gridCol w:w="1074"/>
        <w:gridCol w:w="3112"/>
        <w:gridCol w:w="683"/>
        <w:gridCol w:w="683"/>
        <w:gridCol w:w="683"/>
        <w:gridCol w:w="683"/>
        <w:gridCol w:w="683"/>
        <w:gridCol w:w="683"/>
        <w:gridCol w:w="683"/>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商业</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科研</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其他</w:t>
            </w:r>
          </w:p>
        </w:tc>
        <w:tc>
          <w:tcPr>
            <w:tcW w:w="0" w:type="auto"/>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（二）部分公开（区分处理的，只计这一情形，不计其他情形）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rPr>
            </w:pPr>
            <w:r>
              <w:rPr>
                <w:rFonts w:hint="eastAsia" w:ascii="仿宋_GB2312" w:hAnsi="仿宋_GB2312" w:eastAsia="仿宋_GB2312" w:cs="仿宋_GB2312"/>
                <w:kern w:val="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rPr>
            </w:pPr>
            <w:r>
              <w:rPr>
                <w:rFonts w:hint="eastAsia" w:ascii="仿宋_GB2312" w:hAnsi="仿宋_GB2312" w:eastAsia="仿宋_GB2312" w:cs="仿宋_GB2312"/>
                <w:kern w:val="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ascii="仿宋_GB2312" w:hAnsi="仿宋_GB2312" w:eastAsia="仿宋_GB2312" w:cs="仿宋_GB2312"/>
                <w:kern w:val="0"/>
              </w:rPr>
            </w:pPr>
            <w:r>
              <w:rPr>
                <w:rFonts w:hint="eastAsia" w:ascii="仿宋_GB2312" w:hAnsi="仿宋_GB2312" w:eastAsia="仿宋_GB2312" w:cs="仿宋_GB2312"/>
                <w:kern w:val="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0</w:t>
            </w:r>
          </w:p>
        </w:tc>
      </w:tr>
    </w:tbl>
    <w:p>
      <w:pPr>
        <w:keepNext w:val="0"/>
        <w:keepLines w:val="0"/>
        <w:pageBreakBefore w:val="0"/>
        <w:widowControl/>
        <w:shd w:val="clear" w:color="auto" w:fill="FFFFFF"/>
        <w:kinsoku/>
        <w:wordWrap/>
        <w:overflowPunct/>
        <w:topLinePunct w:val="0"/>
        <w:autoSpaceDE/>
        <w:autoSpaceDN/>
        <w:bidi w:val="0"/>
        <w:adjustRightInd/>
        <w:spacing w:line="560" w:lineRule="exact"/>
        <w:textAlignment w:val="auto"/>
        <w:rPr>
          <w:rFonts w:ascii="宋体" w:hAnsi="宋体" w:eastAsia="宋体" w:cs="宋体"/>
          <w:color w:val="333333"/>
          <w:kern w:val="0"/>
          <w:sz w:val="27"/>
          <w:szCs w:val="27"/>
        </w:rPr>
      </w:pP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宋体" w:hAnsi="宋体" w:eastAsia="宋体" w:cs="宋体"/>
          <w:color w:val="333333"/>
          <w:kern w:val="0"/>
          <w:sz w:val="27"/>
          <w:szCs w:val="27"/>
        </w:rPr>
      </w:pPr>
      <w:r>
        <w:rPr>
          <w:rFonts w:hint="eastAsia" w:ascii="黑体" w:hAnsi="黑体" w:eastAsia="黑体" w:cs="黑体"/>
          <w:bCs/>
          <w:color w:val="000000"/>
          <w:sz w:val="32"/>
          <w:szCs w:val="32"/>
        </w:rPr>
        <w:t>四、因政府信息公开工作被申请行政复议、提起行政诉讼情况</w:t>
      </w:r>
    </w:p>
    <w:tbl>
      <w:tblPr>
        <w:tblStyle w:val="7"/>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其他</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尚未</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其他</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尚未</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结果</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其他</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尚未</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color w:val="000000"/>
                <w:kern w:val="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kern w:val="0"/>
              </w:rPr>
            </w:pPr>
            <w:r>
              <w:rPr>
                <w:rFonts w:hint="eastAsia" w:ascii="仿宋_GB2312" w:hAnsi="仿宋_GB2312" w:eastAsia="仿宋_GB2312" w:cs="仿宋_GB2312"/>
                <w:kern w:val="0"/>
              </w:rPr>
              <w:t> 0</w:t>
            </w:r>
          </w:p>
        </w:tc>
      </w:tr>
    </w:tbl>
    <w:p>
      <w:pPr>
        <w:pStyle w:val="6"/>
        <w:keepNext w:val="0"/>
        <w:keepLines w:val="0"/>
        <w:pageBreakBefore w:val="0"/>
        <w:kinsoku/>
        <w:wordWrap/>
        <w:overflowPunct/>
        <w:topLinePunct w:val="0"/>
        <w:autoSpaceDE/>
        <w:autoSpaceDN/>
        <w:bidi w:val="0"/>
        <w:adjustRightInd/>
        <w:spacing w:before="0" w:beforeAutospacing="0" w:after="0" w:afterAutospacing="0" w:line="560" w:lineRule="exact"/>
        <w:jc w:val="both"/>
        <w:textAlignment w:val="auto"/>
        <w:rPr>
          <w:rFonts w:ascii="仿宋_GB2312" w:hAnsi="仿宋" w:eastAsia="仿宋_GB2312"/>
          <w:color w:val="000000"/>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ascii="仿宋_GB2312" w:hAnsi="黑体" w:eastAsia="仿宋_GB2312" w:cs="宋体"/>
          <w:color w:val="000000"/>
          <w:kern w:val="0"/>
        </w:rPr>
      </w:pPr>
      <w:r>
        <w:rPr>
          <w:rFonts w:hint="eastAsia" w:ascii="黑体" w:hAnsi="黑体" w:eastAsia="黑体" w:cs="黑体"/>
          <w:color w:val="000000"/>
          <w:kern w:val="0"/>
        </w:rPr>
        <w:t>五、政府信息公开存在的问题和改进措施</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宋体" w:hAnsi="宋体" w:eastAsia="宋体" w:cs="宋体"/>
          <w:i w:val="0"/>
          <w:iCs w:val="0"/>
          <w:caps w:val="0"/>
          <w:color w:val="333333"/>
          <w:spacing w:val="0"/>
          <w:sz w:val="24"/>
          <w:szCs w:val="24"/>
          <w:shd w:val="clear" w:fill="FFFFFF"/>
        </w:rPr>
      </w:pPr>
      <w:r>
        <w:rPr>
          <w:rFonts w:hint="eastAsia" w:ascii="仿宋_GB2312" w:hAnsi="仿宋" w:eastAsia="仿宋_GB2312" w:cs="宋体"/>
          <w:color w:val="000000"/>
          <w:kern w:val="0"/>
          <w:lang w:val="en-US" w:eastAsia="zh-CN"/>
        </w:rPr>
        <w:t>今</w:t>
      </w:r>
      <w:r>
        <w:rPr>
          <w:rFonts w:hint="eastAsia" w:ascii="仿宋_GB2312" w:hAnsi="仿宋" w:eastAsia="仿宋_GB2312" w:cs="宋体"/>
          <w:color w:val="000000"/>
          <w:kern w:val="0"/>
        </w:rPr>
        <w:t>年以来，我局全面推进政务公开工作标准化、规范化</w:t>
      </w:r>
      <w:r>
        <w:rPr>
          <w:rFonts w:hint="eastAsia" w:ascii="仿宋_GB2312" w:hAnsi="仿宋" w:eastAsia="仿宋_GB2312" w:cs="宋体"/>
          <w:color w:val="000000"/>
          <w:kern w:val="0"/>
          <w:lang w:val="en-US" w:eastAsia="zh-CN"/>
        </w:rPr>
        <w:t>并</w:t>
      </w:r>
      <w:r>
        <w:rPr>
          <w:rFonts w:hint="eastAsia" w:ascii="仿宋_GB2312" w:hAnsi="仿宋" w:eastAsia="仿宋_GB2312" w:cs="宋体"/>
          <w:color w:val="000000"/>
          <w:kern w:val="0"/>
        </w:rPr>
        <w:t>严格按照上级要求稳步推进信息公开工作</w:t>
      </w:r>
      <w:r>
        <w:rPr>
          <w:rFonts w:hint="eastAsia" w:ascii="仿宋_GB2312" w:hAnsi="仿宋" w:eastAsia="仿宋_GB2312" w:cs="宋体"/>
          <w:color w:val="000000"/>
          <w:kern w:val="0"/>
          <w:lang w:eastAsia="zh-CN"/>
        </w:rPr>
        <w:t>，</w:t>
      </w:r>
      <w:r>
        <w:rPr>
          <w:rFonts w:hint="eastAsia" w:ascii="仿宋_GB2312" w:hAnsi="仿宋" w:eastAsia="仿宋_GB2312" w:cs="宋体"/>
          <w:color w:val="000000"/>
          <w:kern w:val="0"/>
        </w:rPr>
        <w:t>取得了一定的成效，但也存在</w:t>
      </w:r>
      <w:r>
        <w:rPr>
          <w:rFonts w:hint="eastAsia" w:ascii="仿宋_GB2312" w:hAnsi="仿宋" w:eastAsia="仿宋_GB2312" w:cs="宋体"/>
          <w:color w:val="000000"/>
          <w:kern w:val="0"/>
          <w:lang w:val="en-US" w:eastAsia="zh-CN"/>
        </w:rPr>
        <w:t>不足</w:t>
      </w:r>
      <w:r>
        <w:rPr>
          <w:rFonts w:hint="eastAsia" w:ascii="仿宋_GB2312" w:hAnsi="仿宋" w:eastAsia="仿宋_GB2312" w:cs="宋体"/>
          <w:color w:val="000000"/>
          <w:kern w:val="0"/>
        </w:rPr>
        <w:t>。一是工作人员的专业化水平还有待提升；二是政务公开的广度、深度还需进一步拓展</w:t>
      </w:r>
      <w:r>
        <w:rPr>
          <w:rFonts w:hint="eastAsia" w:ascii="仿宋_GB2312" w:hAnsi="仿宋" w:eastAsia="仿宋_GB2312" w:cs="宋体"/>
          <w:color w:val="000000"/>
          <w:kern w:val="0"/>
          <w:lang w:val="en-US" w:eastAsia="zh-CN"/>
        </w:rPr>
        <w:t>延伸</w:t>
      </w:r>
      <w:r>
        <w:rPr>
          <w:rFonts w:hint="eastAsia" w:ascii="仿宋_GB2312" w:hAnsi="仿宋" w:eastAsia="仿宋_GB2312" w:cs="宋体"/>
          <w:color w:val="000000"/>
          <w:kern w:val="0"/>
        </w:rPr>
        <w:t>。下一步主要改进措施：加强业务知识的学习，不断提升政务公开工作人员的专业</w:t>
      </w:r>
      <w:r>
        <w:rPr>
          <w:rFonts w:hint="eastAsia" w:ascii="仿宋_GB2312" w:hAnsi="仿宋" w:eastAsia="仿宋_GB2312" w:cs="宋体"/>
          <w:color w:val="000000"/>
          <w:kern w:val="0"/>
          <w:lang w:val="en-US" w:eastAsia="zh-CN"/>
        </w:rPr>
        <w:t>素养</w:t>
      </w:r>
      <w:r>
        <w:rPr>
          <w:rFonts w:hint="eastAsia" w:ascii="仿宋_GB2312" w:hAnsi="仿宋" w:eastAsia="仿宋_GB2312" w:cs="宋体"/>
          <w:color w:val="000000"/>
          <w:kern w:val="0"/>
        </w:rPr>
        <w:t>，更好适应信息公开工作的需要。</w:t>
      </w:r>
      <w:r>
        <w:rPr>
          <w:rFonts w:hint="eastAsia" w:ascii="仿宋_GB2312" w:hAnsi="仿宋" w:eastAsia="仿宋_GB2312" w:cs="宋体"/>
          <w:color w:val="000000"/>
          <w:kern w:val="0"/>
          <w:lang w:val="en-US" w:eastAsia="zh-CN"/>
        </w:rPr>
        <w:t>同时，</w:t>
      </w:r>
      <w:r>
        <w:rPr>
          <w:rFonts w:hint="eastAsia" w:ascii="仿宋_GB2312" w:hAnsi="仿宋" w:eastAsia="仿宋_GB2312" w:cs="宋体"/>
          <w:color w:val="000000"/>
          <w:kern w:val="0"/>
        </w:rPr>
        <w:t>做好新形势下政府信息公开工作，及时公开人</w:t>
      </w:r>
      <w:bookmarkStart w:id="0" w:name="_GoBack"/>
      <w:bookmarkEnd w:id="0"/>
      <w:r>
        <w:rPr>
          <w:rFonts w:hint="eastAsia" w:ascii="仿宋_GB2312" w:hAnsi="仿宋" w:eastAsia="仿宋_GB2312" w:cs="宋体"/>
          <w:color w:val="000000"/>
          <w:kern w:val="0"/>
        </w:rPr>
        <w:t>民群众关心的重点热点问题，创新信息公开形式，努力从多个层面上实施全方位的公开，让群众了解、监督、支持城管工作。</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textAlignment w:val="auto"/>
        <w:rPr>
          <w:rFonts w:ascii="黑体" w:hAnsi="黑体" w:eastAsia="黑体" w:cs="黑体"/>
          <w:color w:val="000000"/>
          <w:kern w:val="0"/>
        </w:rPr>
      </w:pPr>
      <w:r>
        <w:rPr>
          <w:rFonts w:hint="eastAsia" w:ascii="黑体" w:hAnsi="黑体" w:eastAsia="黑体" w:cs="黑体"/>
          <w:color w:val="000000"/>
          <w:kern w:val="0"/>
        </w:rPr>
        <w:t>需要说明的其他事项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color w:val="000000"/>
          <w:kern w:val="0"/>
          <w:lang w:eastAsia="zh-CN"/>
        </w:rPr>
      </w:pPr>
      <w:r>
        <w:rPr>
          <w:rFonts w:hint="eastAsia" w:ascii="仿宋_GB2312" w:hAnsi="仿宋" w:eastAsia="仿宋_GB2312" w:cs="宋体"/>
          <w:color w:val="000000"/>
          <w:kern w:val="0"/>
        </w:rPr>
        <w:t>我局本年度未存在收取信息处理费情况</w:t>
      </w:r>
      <w:r>
        <w:rPr>
          <w:rFonts w:hint="eastAsia" w:ascii="仿宋_GB2312" w:hAnsi="仿宋" w:eastAsia="仿宋_GB2312" w:cs="宋体"/>
          <w:color w:val="000000"/>
          <w:kern w:val="0"/>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color w:val="000000"/>
          <w:kern w:val="0"/>
        </w:rPr>
      </w:pPr>
      <w:r>
        <w:rPr>
          <w:rFonts w:hint="eastAsia" w:ascii="仿宋_GB2312" w:hAnsi="仿宋" w:eastAsia="仿宋_GB2312" w:cs="宋体"/>
          <w:color w:val="000000"/>
          <w:kern w:val="0"/>
        </w:rPr>
        <w:t>本报告数据的期限从2022年1月1日至12月31日，如对本报告有疑问，请与德化县城市管理局办公室联系，联系电话：23577766；传真：23566655，电子邮箱：cgj23577766@163.com,通讯地址：德化县龙浔镇瓷都大道大洋190号。</w:t>
      </w:r>
    </w:p>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
        </w:rPr>
      </w:pPr>
    </w:p>
    <w:p>
      <w:pPr>
        <w:keepNext w:val="0"/>
        <w:keepLines w:val="0"/>
        <w:pageBreakBefore w:val="0"/>
        <w:kinsoku/>
        <w:wordWrap/>
        <w:overflowPunct/>
        <w:topLinePunct w:val="0"/>
        <w:autoSpaceDE/>
        <w:autoSpaceDN/>
        <w:bidi w:val="0"/>
        <w:adjustRightInd/>
        <w:spacing w:line="560" w:lineRule="exact"/>
        <w:ind w:firstLine="5440" w:firstLineChars="1700"/>
        <w:textAlignment w:val="auto"/>
        <w:rPr>
          <w:rFonts w:ascii="仿宋_GB2312" w:hAnsi="仿宋" w:eastAsia="仿宋_GB2312" w:cs="仿宋"/>
        </w:rPr>
      </w:pPr>
    </w:p>
    <w:p>
      <w:pPr>
        <w:keepNext w:val="0"/>
        <w:keepLines w:val="0"/>
        <w:pageBreakBefore w:val="0"/>
        <w:kinsoku/>
        <w:wordWrap/>
        <w:overflowPunct/>
        <w:topLinePunct w:val="0"/>
        <w:autoSpaceDE/>
        <w:autoSpaceDN/>
        <w:bidi w:val="0"/>
        <w:adjustRightInd/>
        <w:spacing w:line="560" w:lineRule="exact"/>
        <w:ind w:firstLine="5440" w:firstLineChars="1700"/>
        <w:textAlignment w:val="auto"/>
        <w:rPr>
          <w:rFonts w:ascii="仿宋_GB2312" w:hAnsi="仿宋" w:eastAsia="仿宋_GB2312" w:cs="仿宋"/>
        </w:rPr>
      </w:pPr>
    </w:p>
    <w:p>
      <w:pPr>
        <w:keepNext w:val="0"/>
        <w:keepLines w:val="0"/>
        <w:pageBreakBefore w:val="0"/>
        <w:kinsoku/>
        <w:wordWrap/>
        <w:overflowPunct/>
        <w:topLinePunct w:val="0"/>
        <w:autoSpaceDE/>
        <w:autoSpaceDN/>
        <w:bidi w:val="0"/>
        <w:adjustRightInd/>
        <w:spacing w:line="560" w:lineRule="exact"/>
        <w:ind w:firstLine="5760" w:firstLineChars="1800"/>
        <w:textAlignment w:val="auto"/>
        <w:rPr>
          <w:rFonts w:ascii="仿宋_GB2312" w:hAnsi="仿宋" w:eastAsia="仿宋_GB2312" w:cs="仿宋_GB2312"/>
        </w:rPr>
      </w:pPr>
      <w:r>
        <w:rPr>
          <w:rFonts w:hint="eastAsia" w:ascii="仿宋_GB2312" w:hAnsi="仿宋" w:eastAsia="仿宋_GB2312" w:cs="仿宋_GB2312"/>
        </w:rPr>
        <w:t>德化县城市管理局</w:t>
      </w:r>
    </w:p>
    <w:tbl>
      <w:tblPr>
        <w:tblStyle w:val="7"/>
        <w:tblpPr w:leftFromText="180" w:rightFromText="180" w:vertAnchor="text" w:horzAnchor="page" w:tblpX="1526" w:tblpY="2447"/>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tcPr>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
                <w:sz w:val="28"/>
                <w:szCs w:val="28"/>
              </w:rPr>
            </w:pPr>
            <w:r>
              <w:rPr>
                <w:rFonts w:hint="eastAsia" w:ascii="仿宋_GB2312" w:hAnsi="仿宋" w:eastAsia="仿宋_GB2312" w:cs="仿宋"/>
                <w:sz w:val="28"/>
                <w:szCs w:val="28"/>
              </w:rPr>
              <w:t>抄送：本局各股室（所），存档。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tcPr>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
                <w:sz w:val="28"/>
                <w:szCs w:val="28"/>
              </w:rPr>
            </w:pPr>
            <w:r>
              <w:rPr>
                <w:rFonts w:hint="eastAsia" w:ascii="仿宋_GB2312" w:hAnsi="仿宋" w:eastAsia="仿宋_GB2312" w:cs="仿宋"/>
                <w:sz w:val="28"/>
                <w:szCs w:val="28"/>
              </w:rPr>
              <w:t xml:space="preserve">德化县城市管理局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 xml:space="preserve"> 2023年1月</w:t>
            </w:r>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日印发</w:t>
            </w:r>
          </w:p>
        </w:tc>
      </w:tr>
    </w:tbl>
    <w:p>
      <w:pPr>
        <w:keepNext w:val="0"/>
        <w:keepLines w:val="0"/>
        <w:pageBreakBefore w:val="0"/>
        <w:kinsoku/>
        <w:wordWrap/>
        <w:overflowPunct/>
        <w:topLinePunct w:val="0"/>
        <w:autoSpaceDE/>
        <w:autoSpaceDN/>
        <w:bidi w:val="0"/>
        <w:adjustRightInd/>
        <w:spacing w:line="560" w:lineRule="exact"/>
        <w:ind w:firstLine="5760" w:firstLineChars="1800"/>
        <w:textAlignment w:val="auto"/>
        <w:rPr>
          <w:rFonts w:ascii="仿宋_GB2312" w:hAnsi="仿宋" w:eastAsia="仿宋_GB2312" w:cs="仿宋"/>
        </w:rPr>
      </w:pPr>
      <w:r>
        <w:rPr>
          <w:rFonts w:hint="eastAsia" w:ascii="仿宋_GB2312" w:hAnsi="仿宋" w:eastAsia="仿宋_GB2312" w:cs="仿宋"/>
        </w:rPr>
        <w:t xml:space="preserve"> 2023年1月</w:t>
      </w:r>
      <w:r>
        <w:rPr>
          <w:rFonts w:hint="eastAsia" w:ascii="仿宋_GB2312" w:hAnsi="仿宋" w:eastAsia="仿宋_GB2312" w:cs="仿宋"/>
          <w:lang w:val="en-US" w:eastAsia="zh-CN"/>
        </w:rPr>
        <w:t>6</w:t>
      </w:r>
      <w:r>
        <w:rPr>
          <w:rFonts w:hint="eastAsia" w:ascii="仿宋_GB2312" w:hAnsi="仿宋" w:eastAsia="仿宋_GB2312" w:cs="仿宋"/>
        </w:rPr>
        <w:t>日</w:t>
      </w:r>
    </w:p>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cs="仿宋"/>
        </w:rPr>
      </w:pPr>
      <w:r>
        <w:rPr>
          <w:rFonts w:hint="eastAsia" w:ascii="仿宋_GB2312" w:hAnsi="仿宋" w:eastAsia="仿宋_GB2312" w:cs="仿宋"/>
        </w:rPr>
        <w:t>（此件主动公开）</w:t>
      </w:r>
    </w:p>
    <w:p>
      <w:pPr>
        <w:keepNext w:val="0"/>
        <w:keepLines w:val="0"/>
        <w:pageBreakBefore w:val="0"/>
        <w:kinsoku/>
        <w:wordWrap/>
        <w:overflowPunct/>
        <w:topLinePunct w:val="0"/>
        <w:autoSpaceDE/>
        <w:autoSpaceDN/>
        <w:bidi w:val="0"/>
        <w:adjustRightInd/>
        <w:spacing w:line="560" w:lineRule="exact"/>
        <w:ind w:firstLine="5440" w:firstLineChars="1700"/>
        <w:textAlignment w:val="auto"/>
        <w:rPr>
          <w:rFonts w:ascii="仿宋_GB2312" w:hAnsi="仿宋" w:eastAsia="仿宋_GB2312" w:cs="仿宋"/>
        </w:rPr>
      </w:pP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rPr>
      </w:pPr>
    </w:p>
    <w:sectPr>
      <w:headerReference r:id="rId3" w:type="default"/>
      <w:footerReference r:id="rId4" w:type="default"/>
      <w:pgSz w:w="11906" w:h="16838"/>
      <w:pgMar w:top="2155" w:right="1474" w:bottom="141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72AEB"/>
    <w:multiLevelType w:val="singleLevel"/>
    <w:tmpl w:val="8B772AEB"/>
    <w:lvl w:ilvl="0" w:tentative="0">
      <w:start w:val="2"/>
      <w:numFmt w:val="chineseCounting"/>
      <w:suff w:val="nothing"/>
      <w:lvlText w:val="（%1）"/>
      <w:lvlJc w:val="left"/>
      <w:rPr>
        <w:rFonts w:hint="eastAsia"/>
      </w:rPr>
    </w:lvl>
  </w:abstractNum>
  <w:abstractNum w:abstractNumId="1">
    <w:nsid w:val="6DEC6703"/>
    <w:multiLevelType w:val="singleLevel"/>
    <w:tmpl w:val="6DEC670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MjZkN2EwYTY5MDc1ZDQ5NjU4OTg2MjIzNjQ1NzYifQ=="/>
  </w:docVars>
  <w:rsids>
    <w:rsidRoot w:val="00172A27"/>
    <w:rsid w:val="000029E2"/>
    <w:rsid w:val="000056A3"/>
    <w:rsid w:val="00014926"/>
    <w:rsid w:val="00020FF0"/>
    <w:rsid w:val="00030CAC"/>
    <w:rsid w:val="00034B58"/>
    <w:rsid w:val="00050F7E"/>
    <w:rsid w:val="00054951"/>
    <w:rsid w:val="00061225"/>
    <w:rsid w:val="00080062"/>
    <w:rsid w:val="000972D5"/>
    <w:rsid w:val="00097E30"/>
    <w:rsid w:val="000A07A3"/>
    <w:rsid w:val="000A2AE0"/>
    <w:rsid w:val="000A2E4A"/>
    <w:rsid w:val="000C47AD"/>
    <w:rsid w:val="000D7EBB"/>
    <w:rsid w:val="000E2BD9"/>
    <w:rsid w:val="000F41B3"/>
    <w:rsid w:val="000F5615"/>
    <w:rsid w:val="001116AB"/>
    <w:rsid w:val="00114071"/>
    <w:rsid w:val="00122288"/>
    <w:rsid w:val="00136581"/>
    <w:rsid w:val="0015514E"/>
    <w:rsid w:val="00160DBE"/>
    <w:rsid w:val="0016511D"/>
    <w:rsid w:val="00170AE6"/>
    <w:rsid w:val="00172A27"/>
    <w:rsid w:val="001A5FE4"/>
    <w:rsid w:val="001B3DC5"/>
    <w:rsid w:val="001C514C"/>
    <w:rsid w:val="001F0DE8"/>
    <w:rsid w:val="001F45C1"/>
    <w:rsid w:val="002045AC"/>
    <w:rsid w:val="00222554"/>
    <w:rsid w:val="00226E1E"/>
    <w:rsid w:val="0023315D"/>
    <w:rsid w:val="00242EBB"/>
    <w:rsid w:val="002613E1"/>
    <w:rsid w:val="00271AB8"/>
    <w:rsid w:val="0029521F"/>
    <w:rsid w:val="002B19CD"/>
    <w:rsid w:val="002B1B4D"/>
    <w:rsid w:val="002B2BC1"/>
    <w:rsid w:val="002B70F6"/>
    <w:rsid w:val="002B7F16"/>
    <w:rsid w:val="002C1ADF"/>
    <w:rsid w:val="002E1A3B"/>
    <w:rsid w:val="002E36AB"/>
    <w:rsid w:val="002E5237"/>
    <w:rsid w:val="002E565A"/>
    <w:rsid w:val="002F48A0"/>
    <w:rsid w:val="002F5154"/>
    <w:rsid w:val="0030361E"/>
    <w:rsid w:val="0030578C"/>
    <w:rsid w:val="00311D20"/>
    <w:rsid w:val="00336890"/>
    <w:rsid w:val="00352F48"/>
    <w:rsid w:val="0036169D"/>
    <w:rsid w:val="00365B71"/>
    <w:rsid w:val="00380535"/>
    <w:rsid w:val="0039449A"/>
    <w:rsid w:val="00395D60"/>
    <w:rsid w:val="003B4F76"/>
    <w:rsid w:val="003C1316"/>
    <w:rsid w:val="003C3B1B"/>
    <w:rsid w:val="003E4B58"/>
    <w:rsid w:val="003F64D4"/>
    <w:rsid w:val="004048C7"/>
    <w:rsid w:val="00416E5E"/>
    <w:rsid w:val="004E7CCF"/>
    <w:rsid w:val="005004BA"/>
    <w:rsid w:val="00502344"/>
    <w:rsid w:val="005053F5"/>
    <w:rsid w:val="00506621"/>
    <w:rsid w:val="00531E60"/>
    <w:rsid w:val="00560AE6"/>
    <w:rsid w:val="00571FC7"/>
    <w:rsid w:val="005B21A9"/>
    <w:rsid w:val="005B34EC"/>
    <w:rsid w:val="005C0A28"/>
    <w:rsid w:val="005D32A8"/>
    <w:rsid w:val="005E5482"/>
    <w:rsid w:val="005E5AD0"/>
    <w:rsid w:val="005E7990"/>
    <w:rsid w:val="00603936"/>
    <w:rsid w:val="006175C6"/>
    <w:rsid w:val="006205E9"/>
    <w:rsid w:val="006240DB"/>
    <w:rsid w:val="006354D0"/>
    <w:rsid w:val="00646D8E"/>
    <w:rsid w:val="00681F95"/>
    <w:rsid w:val="0068657A"/>
    <w:rsid w:val="00693573"/>
    <w:rsid w:val="006A0CE9"/>
    <w:rsid w:val="006B487D"/>
    <w:rsid w:val="006B5BDD"/>
    <w:rsid w:val="006D5E38"/>
    <w:rsid w:val="006E3A84"/>
    <w:rsid w:val="006F4FCF"/>
    <w:rsid w:val="0070685E"/>
    <w:rsid w:val="00707FD8"/>
    <w:rsid w:val="00711141"/>
    <w:rsid w:val="0071391D"/>
    <w:rsid w:val="0073440C"/>
    <w:rsid w:val="007438A1"/>
    <w:rsid w:val="00752335"/>
    <w:rsid w:val="007674B2"/>
    <w:rsid w:val="00772633"/>
    <w:rsid w:val="0077296D"/>
    <w:rsid w:val="00780D76"/>
    <w:rsid w:val="00781277"/>
    <w:rsid w:val="007D42B7"/>
    <w:rsid w:val="007E0658"/>
    <w:rsid w:val="007F6522"/>
    <w:rsid w:val="00801134"/>
    <w:rsid w:val="00804CC8"/>
    <w:rsid w:val="00805D1E"/>
    <w:rsid w:val="008075F0"/>
    <w:rsid w:val="008157F2"/>
    <w:rsid w:val="00834950"/>
    <w:rsid w:val="008456E5"/>
    <w:rsid w:val="00857FBA"/>
    <w:rsid w:val="00867DCF"/>
    <w:rsid w:val="008777C9"/>
    <w:rsid w:val="0088015D"/>
    <w:rsid w:val="008853B3"/>
    <w:rsid w:val="008932FB"/>
    <w:rsid w:val="008A263B"/>
    <w:rsid w:val="008A3C1F"/>
    <w:rsid w:val="008A7B9D"/>
    <w:rsid w:val="008B5840"/>
    <w:rsid w:val="008C09D2"/>
    <w:rsid w:val="008D7C6E"/>
    <w:rsid w:val="008F75FB"/>
    <w:rsid w:val="00902DF9"/>
    <w:rsid w:val="00913623"/>
    <w:rsid w:val="00920351"/>
    <w:rsid w:val="00944723"/>
    <w:rsid w:val="009508CF"/>
    <w:rsid w:val="009566EC"/>
    <w:rsid w:val="00961B9C"/>
    <w:rsid w:val="00966046"/>
    <w:rsid w:val="00990AE3"/>
    <w:rsid w:val="009A1764"/>
    <w:rsid w:val="009D5829"/>
    <w:rsid w:val="009D71FE"/>
    <w:rsid w:val="009F1D74"/>
    <w:rsid w:val="009F3B8C"/>
    <w:rsid w:val="00A1263F"/>
    <w:rsid w:val="00A143F1"/>
    <w:rsid w:val="00A25C0E"/>
    <w:rsid w:val="00A31890"/>
    <w:rsid w:val="00A400C9"/>
    <w:rsid w:val="00A4027E"/>
    <w:rsid w:val="00A4154F"/>
    <w:rsid w:val="00A56349"/>
    <w:rsid w:val="00A63283"/>
    <w:rsid w:val="00A714BE"/>
    <w:rsid w:val="00A74816"/>
    <w:rsid w:val="00A87263"/>
    <w:rsid w:val="00A977F0"/>
    <w:rsid w:val="00A97D64"/>
    <w:rsid w:val="00AA3364"/>
    <w:rsid w:val="00AA7737"/>
    <w:rsid w:val="00AA7AF0"/>
    <w:rsid w:val="00AB078D"/>
    <w:rsid w:val="00AC3361"/>
    <w:rsid w:val="00AC50BF"/>
    <w:rsid w:val="00AD0FE9"/>
    <w:rsid w:val="00AE44D0"/>
    <w:rsid w:val="00AE7858"/>
    <w:rsid w:val="00B012EF"/>
    <w:rsid w:val="00B03ECD"/>
    <w:rsid w:val="00B047D2"/>
    <w:rsid w:val="00B072DA"/>
    <w:rsid w:val="00B1096A"/>
    <w:rsid w:val="00B15DF2"/>
    <w:rsid w:val="00B26334"/>
    <w:rsid w:val="00B322DD"/>
    <w:rsid w:val="00B33752"/>
    <w:rsid w:val="00B433B0"/>
    <w:rsid w:val="00B5045D"/>
    <w:rsid w:val="00B6708B"/>
    <w:rsid w:val="00B74067"/>
    <w:rsid w:val="00B910C5"/>
    <w:rsid w:val="00BB3101"/>
    <w:rsid w:val="00BC5671"/>
    <w:rsid w:val="00BD27D4"/>
    <w:rsid w:val="00BD3DDF"/>
    <w:rsid w:val="00BD6219"/>
    <w:rsid w:val="00BE1823"/>
    <w:rsid w:val="00C058FD"/>
    <w:rsid w:val="00C315B7"/>
    <w:rsid w:val="00C42BC2"/>
    <w:rsid w:val="00C44AC7"/>
    <w:rsid w:val="00C51782"/>
    <w:rsid w:val="00C611E7"/>
    <w:rsid w:val="00C65A5B"/>
    <w:rsid w:val="00C72D67"/>
    <w:rsid w:val="00C7537C"/>
    <w:rsid w:val="00CA23D4"/>
    <w:rsid w:val="00CB159A"/>
    <w:rsid w:val="00CC4494"/>
    <w:rsid w:val="00CD2930"/>
    <w:rsid w:val="00CE3994"/>
    <w:rsid w:val="00CE3E52"/>
    <w:rsid w:val="00CF014B"/>
    <w:rsid w:val="00CF0DAA"/>
    <w:rsid w:val="00CF437A"/>
    <w:rsid w:val="00CF5708"/>
    <w:rsid w:val="00CF5B9C"/>
    <w:rsid w:val="00D30DED"/>
    <w:rsid w:val="00D31B9A"/>
    <w:rsid w:val="00D341E3"/>
    <w:rsid w:val="00D37CE9"/>
    <w:rsid w:val="00D50D8B"/>
    <w:rsid w:val="00D5696A"/>
    <w:rsid w:val="00D612E5"/>
    <w:rsid w:val="00D75E0E"/>
    <w:rsid w:val="00D7601D"/>
    <w:rsid w:val="00D8560B"/>
    <w:rsid w:val="00D85D51"/>
    <w:rsid w:val="00D85D70"/>
    <w:rsid w:val="00D90851"/>
    <w:rsid w:val="00D92AD9"/>
    <w:rsid w:val="00D92F31"/>
    <w:rsid w:val="00DB1EDA"/>
    <w:rsid w:val="00DB336D"/>
    <w:rsid w:val="00DB526D"/>
    <w:rsid w:val="00DC2643"/>
    <w:rsid w:val="00DC377B"/>
    <w:rsid w:val="00DC7EC5"/>
    <w:rsid w:val="00DE5D8D"/>
    <w:rsid w:val="00DE7C85"/>
    <w:rsid w:val="00E06BBC"/>
    <w:rsid w:val="00E32F09"/>
    <w:rsid w:val="00E54670"/>
    <w:rsid w:val="00E55C8A"/>
    <w:rsid w:val="00E6115C"/>
    <w:rsid w:val="00E676E8"/>
    <w:rsid w:val="00E7494F"/>
    <w:rsid w:val="00EC1AB2"/>
    <w:rsid w:val="00EC73AF"/>
    <w:rsid w:val="00ED5EBE"/>
    <w:rsid w:val="00F000EE"/>
    <w:rsid w:val="00F26AAC"/>
    <w:rsid w:val="00F31EB1"/>
    <w:rsid w:val="00F34C45"/>
    <w:rsid w:val="00F41007"/>
    <w:rsid w:val="00F55E75"/>
    <w:rsid w:val="00F66396"/>
    <w:rsid w:val="00F679C7"/>
    <w:rsid w:val="00F74D4C"/>
    <w:rsid w:val="00FD0884"/>
    <w:rsid w:val="00FE21A0"/>
    <w:rsid w:val="00FE7EA5"/>
    <w:rsid w:val="03014916"/>
    <w:rsid w:val="0F177EEF"/>
    <w:rsid w:val="12B76900"/>
    <w:rsid w:val="249340E5"/>
    <w:rsid w:val="26F04376"/>
    <w:rsid w:val="289238F2"/>
    <w:rsid w:val="39B94416"/>
    <w:rsid w:val="3B620744"/>
    <w:rsid w:val="3CC8134C"/>
    <w:rsid w:val="3D1B525B"/>
    <w:rsid w:val="3D745190"/>
    <w:rsid w:val="3EC66C22"/>
    <w:rsid w:val="4F4A7D20"/>
    <w:rsid w:val="538D7775"/>
    <w:rsid w:val="542225D8"/>
    <w:rsid w:val="667A63A4"/>
    <w:rsid w:val="6D650190"/>
    <w:rsid w:val="73E97B4F"/>
    <w:rsid w:val="78FF5223"/>
    <w:rsid w:val="7C436648"/>
    <w:rsid w:val="7CB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paragraph" w:customStyle="1" w:styleId="13">
    <w:name w:val="Default Paragraph Font Para Char Char Char Char Char Char"/>
    <w:basedOn w:val="1"/>
    <w:qFormat/>
    <w:uiPriority w:val="0"/>
    <w:pPr>
      <w:widowControl/>
      <w:spacing w:after="160" w:line="240" w:lineRule="exact"/>
      <w:jc w:val="left"/>
    </w:pPr>
    <w:rPr>
      <w:rFonts w:ascii="Verdana" w:hAnsi="Verdana" w:eastAsia="宋体"/>
      <w:kern w:val="0"/>
      <w:sz w:val="20"/>
      <w:szCs w:val="20"/>
      <w:lang w:eastAsia="en-US"/>
    </w:rPr>
  </w:style>
  <w:style w:type="character" w:customStyle="1" w:styleId="14">
    <w:name w:val="pass"/>
    <w:basedOn w:val="9"/>
    <w:qFormat/>
    <w:uiPriority w:val="0"/>
    <w:rPr>
      <w:color w:val="D50512"/>
    </w:rPr>
  </w:style>
  <w:style w:type="character" w:customStyle="1" w:styleId="15">
    <w:name w:val="clear2"/>
    <w:basedOn w:val="9"/>
    <w:qFormat/>
    <w:uiPriority w:val="0"/>
    <w:rPr>
      <w:sz w:val="0"/>
      <w:szCs w:val="0"/>
    </w:rPr>
  </w:style>
  <w:style w:type="character" w:customStyle="1" w:styleId="16">
    <w:name w:val="clear"/>
    <w:basedOn w:val="9"/>
    <w:qFormat/>
    <w:uiPriority w:val="0"/>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Pages>
  <Words>1865</Words>
  <Characters>1959</Characters>
  <Lines>17</Lines>
  <Paragraphs>4</Paragraphs>
  <TotalTime>25</TotalTime>
  <ScaleCrop>false</ScaleCrop>
  <LinksUpToDate>false</LinksUpToDate>
  <CharactersWithSpaces>2024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2023-01-09T01:55:00Z</dcterms:created>
  <dc:creator>MC SYSTEM</dc:creator>
  <cp:lastModifiedBy>Administrator</cp:lastModifiedBy>
  <cp:lastPrinted>2023-01-11T03:04:00Z</cp:lastPrinted>
  <dcterms:modified xsi:type="dcterms:W3CDTF">2023-12-26T07:44:21Z</dcterms:modified>
  <dc:title>德市政〔2014〕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0ADB0C8D89E449E5A3F27B32085429CA_13</vt:lpwstr>
  </property>
</Properties>
</file>