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b/>
          <w:sz w:val="36"/>
          <w:szCs w:val="36"/>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b/>
          <w:sz w:val="36"/>
          <w:szCs w:val="36"/>
        </w:rPr>
      </w:pPr>
    </w:p>
    <w:p>
      <w:pPr>
        <w:spacing w:line="500" w:lineRule="exact"/>
        <w:jc w:val="center"/>
        <w:rPr>
          <w:rFonts w:hint="eastAsia" w:ascii="仿宋_GB2312" w:hAnsi="仿宋" w:eastAsia="仿宋_GB2312"/>
        </w:rPr>
      </w:pPr>
      <w:r>
        <w:rPr>
          <w:rFonts w:hint="eastAsia" w:ascii="仿宋_GB2312" w:hAnsi="仿宋" w:eastAsia="仿宋_GB2312"/>
        </w:rPr>
        <w:t>德城管〔202</w:t>
      </w:r>
      <w:r>
        <w:rPr>
          <w:rFonts w:hint="eastAsia" w:ascii="仿宋_GB2312" w:hAnsi="仿宋" w:eastAsia="仿宋_GB2312"/>
          <w:lang w:val="en-US" w:eastAsia="zh-CN"/>
        </w:rPr>
        <w:t>2</w:t>
      </w:r>
      <w:r>
        <w:rPr>
          <w:rFonts w:hint="eastAsia" w:ascii="仿宋_GB2312" w:hAnsi="仿宋" w:eastAsia="仿宋_GB2312"/>
        </w:rPr>
        <w:t>〕1号</w:t>
      </w:r>
    </w:p>
    <w:p>
      <w:pPr>
        <w:spacing w:line="500" w:lineRule="exact"/>
        <w:jc w:val="center"/>
        <w:rPr>
          <w:rFonts w:hint="eastAsia" w:ascii="仿宋_GB2312" w:hAnsi="仿宋" w:eastAsia="仿宋_GB2312"/>
        </w:rPr>
      </w:pPr>
    </w:p>
    <w:p>
      <w:pPr>
        <w:keepNext w:val="0"/>
        <w:keepLines w:val="0"/>
        <w:pageBreakBefore w:val="0"/>
        <w:kinsoku/>
        <w:wordWrap/>
        <w:overflowPunct/>
        <w:topLinePunct w:val="0"/>
        <w:autoSpaceDE/>
        <w:autoSpaceDN/>
        <w:bidi w:val="0"/>
        <w:adjustRightInd/>
        <w:spacing w:line="570" w:lineRule="exact"/>
        <w:jc w:val="center"/>
        <w:textAlignment w:val="auto"/>
        <w:rPr>
          <w:rFonts w:ascii="宋体" w:hAnsi="宋体" w:eastAsia="宋体"/>
          <w:b/>
          <w:sz w:val="36"/>
          <w:szCs w:val="36"/>
        </w:rPr>
      </w:pPr>
    </w:p>
    <w:p>
      <w:pPr>
        <w:keepNext w:val="0"/>
        <w:keepLines w:val="0"/>
        <w:pageBreakBefore w:val="0"/>
        <w:widowControl/>
        <w:kinsoku/>
        <w:wordWrap/>
        <w:overflowPunct/>
        <w:topLinePunct w:val="0"/>
        <w:autoSpaceDE/>
        <w:autoSpaceDN/>
        <w:bidi w:val="0"/>
        <w:adjustRightInd/>
        <w:spacing w:line="570" w:lineRule="exact"/>
        <w:jc w:val="center"/>
        <w:textAlignment w:val="auto"/>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德化县城市管理局202</w:t>
      </w:r>
      <w:r>
        <w:rPr>
          <w:rFonts w:hint="eastAsia" w:ascii="宋体" w:hAnsi="宋体" w:eastAsia="宋体" w:cs="宋体"/>
          <w:b/>
          <w:bCs/>
          <w:color w:val="000000"/>
          <w:kern w:val="0"/>
          <w:sz w:val="44"/>
          <w:szCs w:val="44"/>
          <w:lang w:val="en-US" w:eastAsia="zh-CN"/>
        </w:rPr>
        <w:t>1</w:t>
      </w:r>
      <w:r>
        <w:rPr>
          <w:rFonts w:hint="eastAsia" w:ascii="宋体" w:hAnsi="宋体" w:eastAsia="宋体" w:cs="宋体"/>
          <w:b/>
          <w:bCs/>
          <w:color w:val="000000"/>
          <w:kern w:val="0"/>
          <w:sz w:val="44"/>
          <w:szCs w:val="44"/>
        </w:rPr>
        <w:t>年政府信息公开</w:t>
      </w:r>
    </w:p>
    <w:p>
      <w:pPr>
        <w:keepNext w:val="0"/>
        <w:keepLines w:val="0"/>
        <w:pageBreakBefore w:val="0"/>
        <w:widowControl/>
        <w:kinsoku/>
        <w:wordWrap/>
        <w:overflowPunct/>
        <w:topLinePunct w:val="0"/>
        <w:autoSpaceDE/>
        <w:autoSpaceDN/>
        <w:bidi w:val="0"/>
        <w:adjustRightInd/>
        <w:spacing w:line="570" w:lineRule="exact"/>
        <w:jc w:val="center"/>
        <w:textAlignment w:val="auto"/>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工作年度报告</w:t>
      </w:r>
    </w:p>
    <w:p>
      <w:pPr>
        <w:keepNext w:val="0"/>
        <w:keepLines w:val="0"/>
        <w:pageBreakBefore w:val="0"/>
        <w:kinsoku/>
        <w:wordWrap/>
        <w:overflowPunct/>
        <w:topLinePunct w:val="0"/>
        <w:autoSpaceDE/>
        <w:autoSpaceDN/>
        <w:bidi w:val="0"/>
        <w:adjustRightInd/>
        <w:spacing w:line="570" w:lineRule="exact"/>
        <w:textAlignment w:val="auto"/>
        <w:rPr>
          <w:rFonts w:ascii="仿宋_GB2312" w:hAnsi="仿宋_GB2312" w:eastAsia="仿宋_GB2312" w:cs="仿宋_GB2312"/>
        </w:rPr>
      </w:pP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黑体" w:hAnsi="黑体" w:eastAsia="黑体" w:cs="黑体"/>
        </w:rPr>
      </w:pPr>
      <w:r>
        <w:rPr>
          <w:rFonts w:hint="eastAsia" w:ascii="黑体" w:hAnsi="黑体" w:eastAsia="黑体" w:cs="黑体"/>
        </w:rPr>
        <w:t>一、总体情况</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 w:eastAsia="仿宋_GB2312" w:cs="宋体"/>
          <w:color w:val="000000"/>
          <w:kern w:val="0"/>
        </w:rPr>
      </w:pPr>
      <w:r>
        <w:rPr>
          <w:rFonts w:hint="eastAsia" w:ascii="仿宋_GB2312" w:hAnsi="仿宋" w:eastAsia="仿宋_GB2312" w:cs="宋体"/>
          <w:color w:val="000000"/>
          <w:kern w:val="0"/>
        </w:rPr>
        <w:t>根据《中华人民共和国政府信息公开条例》（以下简称《条例》）、《福建省政府信息公开办法》（以下简称《办法》）和《德化县人民政府办公室关于做好202</w:t>
      </w:r>
      <w:r>
        <w:rPr>
          <w:rFonts w:hint="eastAsia" w:ascii="仿宋_GB2312" w:hAnsi="仿宋" w:eastAsia="仿宋_GB2312" w:cs="宋体"/>
          <w:color w:val="000000"/>
          <w:kern w:val="0"/>
          <w:lang w:val="en-US" w:eastAsia="zh-CN"/>
        </w:rPr>
        <w:t>1</w:t>
      </w:r>
      <w:r>
        <w:rPr>
          <w:rFonts w:hint="eastAsia" w:ascii="仿宋_GB2312" w:hAnsi="仿宋" w:eastAsia="仿宋_GB2312" w:cs="宋体"/>
          <w:color w:val="000000"/>
          <w:kern w:val="0"/>
        </w:rPr>
        <w:t>年度全县政务信息和政府信息公开及政务公开工作的通知》及《德化县人民政府办公室关于印发全面推进基层政务公开标准化规范化工作实施方案的通知》的要求，我局编制完成了202</w:t>
      </w:r>
      <w:r>
        <w:rPr>
          <w:rFonts w:hint="eastAsia" w:ascii="仿宋_GB2312" w:hAnsi="仿宋" w:eastAsia="仿宋_GB2312" w:cs="宋体"/>
          <w:color w:val="000000"/>
          <w:kern w:val="0"/>
          <w:lang w:val="en-US" w:eastAsia="zh-CN"/>
        </w:rPr>
        <w:t>1</w:t>
      </w:r>
      <w:r>
        <w:rPr>
          <w:rFonts w:hint="eastAsia" w:ascii="仿宋_GB2312" w:hAnsi="仿宋" w:eastAsia="仿宋_GB2312" w:cs="宋体"/>
          <w:color w:val="000000"/>
          <w:kern w:val="0"/>
        </w:rPr>
        <w:t>年政府信息公开工作年度报告,由总体情况、主动公开政府信息情况</w:t>
      </w:r>
      <w:r>
        <w:rPr>
          <w:rFonts w:hint="eastAsia" w:ascii="仿宋_GB2312" w:hAnsi="仿宋" w:eastAsia="仿宋_GB2312" w:cs="宋体"/>
          <w:color w:val="000000"/>
          <w:kern w:val="0"/>
          <w:lang w:eastAsia="zh-CN"/>
        </w:rPr>
        <w:t>、收到和处理政府信息公开申请情况、因政府信息公开工作被申请行政复议和提起行政诉讼情况、政府信息公开工作存在的主要问题及改进情况、其他需要报告的事项</w:t>
      </w:r>
      <w:r>
        <w:rPr>
          <w:rFonts w:hint="eastAsia" w:ascii="仿宋_GB2312" w:hAnsi="仿宋" w:eastAsia="仿宋_GB2312" w:cs="宋体"/>
          <w:color w:val="000000"/>
          <w:kern w:val="0"/>
        </w:rPr>
        <w:t>六部分组成。</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仿宋_GB2312" w:hAnsi="仿宋" w:eastAsia="仿宋_GB2312" w:cs="宋体"/>
          <w:color w:val="000000"/>
          <w:kern w:val="0"/>
        </w:rPr>
      </w:pPr>
      <w:r>
        <w:rPr>
          <w:rFonts w:hint="eastAsia" w:ascii="仿宋_GB2312" w:hAnsi="仿宋" w:eastAsia="仿宋_GB2312" w:cs="宋体"/>
          <w:color w:val="000000"/>
          <w:kern w:val="0"/>
        </w:rPr>
        <w:t>（一）为切实加强政府信息公开工作的领导，扎实推进政府信息公开工作，我局根据人事变动及时调整充实了领导机构并设立政府信息公开领导小组办公室，组长由局长兼任，党委副书记为副组长，成员由局属各股室（所）、各单位负责人组成。领导小组下设办公室，主任由局办公室负责人兼任。我局政务信息公开工作在领导小组的统一领导下,各责任股室和责任人各司其职，各负其责，形成合力，层层抓落实，确保政务信息公开工作全面、深入、扎实、有效的开展。</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仿宋_GB2312" w:hAnsi="仿宋" w:eastAsia="仿宋_GB2312" w:cs="宋体"/>
          <w:color w:val="000000"/>
          <w:kern w:val="0"/>
        </w:rPr>
      </w:pPr>
      <w:r>
        <w:rPr>
          <w:rFonts w:hint="eastAsia" w:ascii="仿宋_GB2312" w:hAnsi="仿宋" w:eastAsia="仿宋_GB2312" w:cs="宋体"/>
          <w:color w:val="000000"/>
          <w:kern w:val="0"/>
        </w:rPr>
        <w:t>（</w:t>
      </w:r>
      <w:r>
        <w:rPr>
          <w:rFonts w:hint="eastAsia" w:ascii="仿宋_GB2312" w:hAnsi="仿宋" w:eastAsia="仿宋_GB2312" w:cs="宋体"/>
          <w:color w:val="000000"/>
          <w:kern w:val="0"/>
          <w:lang w:eastAsia="zh-CN"/>
        </w:rPr>
        <w:t>二</w:t>
      </w:r>
      <w:r>
        <w:rPr>
          <w:rFonts w:hint="eastAsia" w:ascii="仿宋_GB2312" w:hAnsi="仿宋" w:eastAsia="仿宋_GB2312" w:cs="宋体"/>
          <w:color w:val="000000"/>
          <w:kern w:val="0"/>
        </w:rPr>
        <w:t>）围绕城市管理工作，加强城市管理各项法律规定，提高城市管理法律意识。</w:t>
      </w:r>
    </w:p>
    <w:p>
      <w:pPr>
        <w:pStyle w:val="6"/>
        <w:keepNext w:val="0"/>
        <w:keepLines w:val="0"/>
        <w:pageBreakBefore w:val="0"/>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）工作经费投入情况：由于我局未配备专职工作人员，工作经费实报实销。</w:t>
      </w:r>
    </w:p>
    <w:p>
      <w:pPr>
        <w:pStyle w:val="6"/>
        <w:keepNext w:val="0"/>
        <w:keepLines w:val="0"/>
        <w:pageBreakBefore w:val="0"/>
        <w:kinsoku/>
        <w:wordWrap/>
        <w:overflowPunct/>
        <w:topLinePunct w:val="0"/>
        <w:autoSpaceDE/>
        <w:autoSpaceDN/>
        <w:bidi w:val="0"/>
        <w:adjustRightInd/>
        <w:spacing w:before="0" w:beforeAutospacing="0" w:after="0" w:afterAutospacing="0" w:line="570" w:lineRule="exact"/>
        <w:ind w:firstLine="640" w:firstLineChars="200"/>
        <w:jc w:val="both"/>
        <w:textAlignment w:val="auto"/>
        <w:rPr>
          <w:rFonts w:hint="eastAsia" w:ascii="宋体" w:hAnsi="宋体" w:eastAsia="宋体" w:cs="宋体"/>
          <w:color w:val="333333"/>
          <w:kern w:val="0"/>
          <w:sz w:val="27"/>
          <w:szCs w:val="27"/>
        </w:rPr>
      </w:pPr>
      <w:r>
        <w:rPr>
          <w:rFonts w:hint="eastAsia" w:ascii="黑体" w:hAnsi="黑体" w:eastAsia="黑体" w:cs="黑体"/>
          <w:bCs/>
          <w:color w:val="000000"/>
          <w:sz w:val="32"/>
          <w:szCs w:val="32"/>
        </w:rPr>
        <w:t>二、主动公开政府信息情况</w:t>
      </w:r>
    </w:p>
    <w:tbl>
      <w:tblPr>
        <w:tblStyle w:val="7"/>
        <w:tblW w:w="9740" w:type="dxa"/>
        <w:jc w:val="center"/>
        <w:shd w:val="clear" w:color="auto" w:fill="FFFFFF" w:themeFill="background1"/>
        <w:tblLayout w:type="autofit"/>
        <w:tblCellMar>
          <w:top w:w="0" w:type="dxa"/>
          <w:left w:w="0" w:type="dxa"/>
          <w:bottom w:w="0" w:type="dxa"/>
          <w:right w:w="0" w:type="dxa"/>
        </w:tblCellMar>
      </w:tblPr>
      <w:tblGrid>
        <w:gridCol w:w="2435"/>
        <w:gridCol w:w="2435"/>
        <w:gridCol w:w="2435"/>
        <w:gridCol w:w="2435"/>
      </w:tblGrid>
      <w:tr>
        <w:tblPrEx>
          <w:shd w:val="clear" w:color="auto" w:fill="FFFFFF" w:themeFill="background1"/>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第二十条第（一）项</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2435"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w:t>
            </w:r>
            <w:r>
              <w:rPr>
                <w:rFonts w:hint="eastAsia" w:ascii="仿宋_GB2312" w:hAnsi="仿宋_GB2312" w:eastAsia="仿宋_GB2312" w:cs="仿宋_GB2312"/>
                <w:kern w:val="0"/>
                <w:sz w:val="32"/>
                <w:szCs w:val="32"/>
              </w:rPr>
              <w:t>制发件数</w:t>
            </w:r>
          </w:p>
        </w:tc>
        <w:tc>
          <w:tcPr>
            <w:tcW w:w="2435"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本年废止件数</w:t>
            </w:r>
          </w:p>
        </w:tc>
        <w:tc>
          <w:tcPr>
            <w:tcW w:w="2435" w:type="dxa"/>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现行有效件</w:t>
            </w:r>
            <w:r>
              <w:rPr>
                <w:rFonts w:hint="eastAsia" w:ascii="仿宋_GB2312" w:hAnsi="仿宋_GB2312" w:eastAsia="仿宋_GB2312" w:cs="仿宋_GB2312"/>
                <w:kern w:val="0"/>
                <w:sz w:val="32"/>
                <w:szCs w:val="32"/>
              </w:rPr>
              <w:t>数</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规章</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行政规范性文件</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c>
          <w:tcPr>
            <w:tcW w:w="2435" w:type="dxa"/>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r>
      <w:tr>
        <w:tblPrEx>
          <w:shd w:val="clear" w:color="auto" w:fill="FFFFFF" w:themeFill="background1"/>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第二十条第（五）项</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本年处理决定数量</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行政许可</w:t>
            </w:r>
          </w:p>
        </w:tc>
        <w:tc>
          <w:tcPr>
            <w:tcW w:w="7305"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r>
      <w:tr>
        <w:tblPrEx>
          <w:shd w:val="clear" w:color="auto" w:fill="FFFFFF" w:themeFill="background1"/>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第二十条第（六）项</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single" w:color="auto" w:sz="8" w:space="0"/>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本年处理决定数量</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行政处罚</w:t>
            </w:r>
          </w:p>
        </w:tc>
        <w:tc>
          <w:tcPr>
            <w:tcW w:w="7305"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322</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行政强制</w:t>
            </w:r>
          </w:p>
        </w:tc>
        <w:tc>
          <w:tcPr>
            <w:tcW w:w="7305" w:type="dxa"/>
            <w:gridSpan w:val="3"/>
            <w:tcBorders>
              <w:top w:val="nil"/>
              <w:left w:val="nil"/>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0</w:t>
            </w:r>
          </w:p>
        </w:tc>
      </w:tr>
      <w:tr>
        <w:tblPrEx>
          <w:shd w:val="clear" w:color="auto" w:fill="FFFFFF" w:themeFill="background1"/>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shd w:val="clear" w:color="auto" w:fill="auto"/>
              </w:rPr>
              <w:t>第二十条第（八）项</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信息内容</w:t>
            </w:r>
          </w:p>
        </w:tc>
        <w:tc>
          <w:tcPr>
            <w:tcW w:w="7305" w:type="dxa"/>
            <w:gridSpan w:val="3"/>
            <w:tcBorders>
              <w:top w:val="nil"/>
              <w:left w:val="nil"/>
              <w:bottom w:val="single" w:color="auto" w:sz="8" w:space="0"/>
              <w:right w:val="single" w:color="000000" w:sz="8" w:space="0"/>
            </w:tcBorders>
            <w:shd w:val="clear" w:color="auto" w:fill="FFFFFF" w:themeFill="background1"/>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本年收费金额（单位：万元）</w:t>
            </w:r>
          </w:p>
        </w:tc>
      </w:tr>
      <w:tr>
        <w:tblPrEx>
          <w:shd w:val="clear" w:color="auto" w:fill="FFFFFF" w:themeFill="background1"/>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行政事业性收费</w:t>
            </w:r>
          </w:p>
        </w:tc>
        <w:tc>
          <w:tcPr>
            <w:tcW w:w="7305" w:type="dxa"/>
            <w:gridSpan w:val="3"/>
            <w:tcBorders>
              <w:top w:val="nil"/>
              <w:left w:val="nil"/>
              <w:bottom w:val="single" w:color="auto" w:sz="8" w:space="0"/>
              <w:right w:val="single" w:color="000000" w:sz="8" w:space="0"/>
            </w:tcBorders>
            <w:shd w:val="clear" w:color="auto" w:fill="FFFFFF" w:themeFill="background1"/>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bl>
    <w:p>
      <w:pPr>
        <w:pStyle w:val="6"/>
        <w:numPr>
          <w:ilvl w:val="0"/>
          <w:numId w:val="0"/>
        </w:numPr>
        <w:spacing w:before="0" w:beforeAutospacing="0" w:after="0" w:afterAutospacing="0" w:line="500" w:lineRule="exact"/>
        <w:jc w:val="both"/>
        <w:rPr>
          <w:rFonts w:hint="default" w:ascii="黑体" w:hAnsi="黑体" w:eastAsia="黑体" w:cs="黑体"/>
          <w:bCs/>
          <w:color w:val="000000"/>
          <w:sz w:val="32"/>
          <w:szCs w:val="32"/>
          <w:lang w:val="en-US" w:eastAsia="zh-CN"/>
        </w:rPr>
      </w:pPr>
    </w:p>
    <w:p>
      <w:pPr>
        <w:pStyle w:val="6"/>
        <w:numPr>
          <w:ilvl w:val="0"/>
          <w:numId w:val="0"/>
        </w:numPr>
        <w:spacing w:before="0" w:beforeAutospacing="0" w:after="0" w:afterAutospacing="0" w:line="500" w:lineRule="exact"/>
        <w:ind w:firstLine="320" w:firstLineChars="100"/>
        <w:jc w:val="both"/>
        <w:rPr>
          <w:rFonts w:hint="default" w:ascii="黑体" w:hAnsi="黑体" w:eastAsia="黑体" w:cs="黑体"/>
          <w:bCs/>
          <w:color w:val="000000"/>
          <w:sz w:val="32"/>
          <w:szCs w:val="32"/>
          <w:lang w:val="en-US" w:eastAsia="zh-CN"/>
        </w:rPr>
      </w:pPr>
      <w:r>
        <w:rPr>
          <w:rFonts w:hint="eastAsia" w:ascii="黑体" w:hAnsi="黑体" w:eastAsia="黑体" w:cs="黑体"/>
          <w:bCs/>
          <w:color w:val="000000"/>
          <w:sz w:val="32"/>
          <w:szCs w:val="32"/>
          <w:lang w:val="en-US" w:eastAsia="zh-CN"/>
        </w:rPr>
        <w:t>三、</w:t>
      </w:r>
      <w:r>
        <w:rPr>
          <w:rFonts w:hint="default" w:ascii="黑体" w:hAnsi="黑体" w:eastAsia="黑体" w:cs="黑体"/>
          <w:bCs/>
          <w:color w:val="000000"/>
          <w:sz w:val="32"/>
          <w:szCs w:val="32"/>
          <w:lang w:val="en-US" w:eastAsia="zh-CN"/>
        </w:rPr>
        <w:t>收到和处理政府信息公开申请情况</w:t>
      </w:r>
    </w:p>
    <w:p>
      <w:pPr>
        <w:widowControl/>
        <w:shd w:val="clear" w:color="auto" w:fill="FFFFFF"/>
        <w:ind w:firstLine="480"/>
        <w:rPr>
          <w:rFonts w:hint="eastAsia" w:ascii="宋体" w:hAnsi="宋体" w:eastAsia="宋体" w:cs="宋体"/>
          <w:color w:val="333333"/>
          <w:kern w:val="0"/>
          <w:sz w:val="27"/>
          <w:szCs w:val="27"/>
        </w:rPr>
      </w:pPr>
    </w:p>
    <w:tbl>
      <w:tblPr>
        <w:tblStyle w:val="7"/>
        <w:tblW w:w="9748" w:type="dxa"/>
        <w:jc w:val="center"/>
        <w:tblLayout w:type="autofit"/>
        <w:tblCellMar>
          <w:top w:w="0" w:type="dxa"/>
          <w:left w:w="0" w:type="dxa"/>
          <w:bottom w:w="0" w:type="dxa"/>
          <w:right w:w="0" w:type="dxa"/>
        </w:tblCellMar>
      </w:tblPr>
      <w:tblGrid>
        <w:gridCol w:w="781"/>
        <w:gridCol w:w="1074"/>
        <w:gridCol w:w="3112"/>
        <w:gridCol w:w="683"/>
        <w:gridCol w:w="683"/>
        <w:gridCol w:w="683"/>
        <w:gridCol w:w="683"/>
        <w:gridCol w:w="683"/>
        <w:gridCol w:w="683"/>
        <w:gridCol w:w="683"/>
      </w:tblGrid>
      <w:tr>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商业</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科研</w:t>
            </w:r>
          </w:p>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仿宋_GB2312" w:hAnsi="仿宋_GB2312" w:eastAsia="仿宋_GB2312" w:cs="仿宋_GB2312"/>
                <w:kern w:val="0"/>
                <w:sz w:val="32"/>
                <w:szCs w:val="32"/>
                <w:lang w:val="en-US"/>
              </w:rPr>
            </w:pPr>
            <w:r>
              <w:rPr>
                <w:rFonts w:hint="default"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（二）部分公开（区分处理的，只计这一情形，不计其他情形）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0</w:t>
            </w:r>
          </w:p>
        </w:tc>
      </w:tr>
    </w:tbl>
    <w:p>
      <w:pPr>
        <w:widowControl/>
        <w:shd w:val="clear" w:color="auto" w:fill="FFFFFF"/>
        <w:jc w:val="center"/>
        <w:rPr>
          <w:rFonts w:hint="eastAsia" w:ascii="宋体" w:hAnsi="宋体" w:eastAsia="宋体" w:cs="宋体"/>
          <w:color w:val="333333"/>
          <w:kern w:val="0"/>
          <w:sz w:val="27"/>
          <w:szCs w:val="27"/>
        </w:rPr>
      </w:pPr>
    </w:p>
    <w:p>
      <w:pPr>
        <w:pStyle w:val="6"/>
        <w:numPr>
          <w:ilvl w:val="0"/>
          <w:numId w:val="0"/>
        </w:numPr>
        <w:spacing w:before="0" w:beforeAutospacing="0" w:after="0" w:afterAutospacing="0" w:line="500" w:lineRule="exact"/>
        <w:ind w:firstLine="640" w:firstLineChars="200"/>
        <w:jc w:val="both"/>
        <w:rPr>
          <w:rFonts w:hint="eastAsia" w:ascii="黑体" w:hAnsi="黑体" w:eastAsia="黑体" w:cs="黑体"/>
          <w:bCs/>
          <w:color w:val="000000"/>
          <w:sz w:val="32"/>
          <w:szCs w:val="32"/>
          <w:u w:val="none"/>
          <w:lang w:val="en-US" w:eastAsia="zh-CN"/>
        </w:rPr>
      </w:pPr>
      <w:r>
        <w:rPr>
          <w:rFonts w:hint="eastAsia" w:ascii="黑体" w:hAnsi="黑体" w:eastAsia="黑体" w:cs="黑体"/>
          <w:bCs/>
          <w:color w:val="000000"/>
          <w:sz w:val="32"/>
          <w:szCs w:val="32"/>
          <w:u w:val="none"/>
          <w:lang w:val="en-US" w:eastAsia="zh-CN"/>
        </w:rPr>
        <w:t>四、因政府信息公开工作被申请行政复议、提起行政诉讼情况。</w:t>
      </w:r>
    </w:p>
    <w:p>
      <w:pPr>
        <w:widowControl/>
        <w:shd w:val="clear" w:color="auto" w:fill="FFFFFF"/>
        <w:jc w:val="center"/>
        <w:rPr>
          <w:rFonts w:hint="eastAsia" w:ascii="宋体" w:hAnsi="宋体" w:eastAsia="宋体" w:cs="宋体"/>
          <w:color w:val="333333"/>
          <w:kern w:val="0"/>
          <w:sz w:val="27"/>
          <w:szCs w:val="27"/>
        </w:rPr>
      </w:pPr>
    </w:p>
    <w:tbl>
      <w:tblPr>
        <w:tblStyle w:val="7"/>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复议后起诉</w:t>
            </w:r>
          </w:p>
        </w:tc>
      </w:tr>
      <w:tr>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hint="eastAsia" w:ascii="仿宋_GB2312" w:hAnsi="仿宋_GB2312" w:eastAsia="仿宋_GB2312" w:cs="仿宋_GB2312"/>
                <w:kern w:val="0"/>
                <w:sz w:val="32"/>
                <w:szCs w:val="32"/>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结果</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其他</w:t>
            </w:r>
            <w:r>
              <w:rPr>
                <w:rFonts w:hint="eastAsia" w:ascii="仿宋_GB2312" w:hAnsi="仿宋_GB2312" w:eastAsia="仿宋_GB2312" w:cs="仿宋_GB2312"/>
                <w:color w:val="000000"/>
                <w:kern w:val="0"/>
                <w:sz w:val="32"/>
                <w:szCs w:val="32"/>
              </w:rPr>
              <w:br w:type="textWrapping"/>
            </w:r>
            <w:r>
              <w:rPr>
                <w:rFonts w:hint="eastAsia" w:ascii="仿宋_GB2312" w:hAnsi="仿宋_GB2312" w:eastAsia="仿宋_GB2312" w:cs="仿宋_GB2312"/>
                <w:color w:val="000000"/>
                <w:kern w:val="0"/>
                <w:sz w:val="32"/>
                <w:szCs w:val="32"/>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尚未</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r>
              <w:rPr>
                <w:rFonts w:hint="eastAsia" w:ascii="仿宋_GB2312" w:hAnsi="仿宋_GB2312" w:eastAsia="仿宋_GB2312" w:cs="仿宋_GB2312"/>
                <w:kern w:val="0"/>
                <w:sz w:val="32"/>
                <w:szCs w:val="32"/>
                <w:lang w:val="en-US" w:eastAsia="zh-CN"/>
              </w:rPr>
              <w:t>0</w:t>
            </w:r>
          </w:p>
        </w:tc>
      </w:tr>
    </w:tbl>
    <w:p>
      <w:pPr>
        <w:pStyle w:val="6"/>
        <w:spacing w:before="0" w:beforeAutospacing="0" w:after="0" w:afterAutospacing="0" w:line="500" w:lineRule="exact"/>
        <w:ind w:firstLine="640"/>
        <w:jc w:val="both"/>
        <w:rPr>
          <w:rFonts w:hint="default" w:ascii="仿宋_GB2312" w:hAnsi="仿宋" w:eastAsia="仿宋_GB2312" w:cs="宋体"/>
          <w:color w:val="00000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val="0"/>
        <w:spacing w:line="570" w:lineRule="exact"/>
        <w:ind w:firstLine="640"/>
        <w:textAlignment w:val="auto"/>
        <w:rPr>
          <w:rFonts w:ascii="仿宋_GB2312" w:hAnsi="黑体" w:eastAsia="仿宋_GB2312" w:cs="宋体"/>
          <w:color w:val="000000"/>
          <w:kern w:val="0"/>
        </w:rPr>
      </w:pPr>
      <w:r>
        <w:rPr>
          <w:rFonts w:hint="eastAsia" w:ascii="黑体" w:hAnsi="黑体" w:eastAsia="黑体" w:cs="黑体"/>
          <w:color w:val="000000"/>
          <w:kern w:val="0"/>
        </w:rPr>
        <w:t>五、政府信息公开存在的问题和改进措施</w:t>
      </w:r>
    </w:p>
    <w:p>
      <w:pPr>
        <w:keepNext w:val="0"/>
        <w:keepLines w:val="0"/>
        <w:pageBreakBefore w:val="0"/>
        <w:widowControl/>
        <w:kinsoku/>
        <w:wordWrap/>
        <w:overflowPunct/>
        <w:topLinePunct w:val="0"/>
        <w:autoSpaceDE/>
        <w:autoSpaceDN/>
        <w:bidi w:val="0"/>
        <w:adjustRightInd/>
        <w:snapToGrid w:val="0"/>
        <w:spacing w:line="570" w:lineRule="exact"/>
        <w:ind w:firstLine="640"/>
        <w:textAlignment w:val="auto"/>
        <w:rPr>
          <w:rFonts w:hint="eastAsia" w:ascii="楷体_GB2312" w:hAnsi="楷体_GB2312" w:eastAsia="楷体_GB2312" w:cs="楷体_GB2312"/>
          <w:b/>
          <w:color w:val="000000"/>
          <w:kern w:val="0"/>
        </w:rPr>
      </w:pPr>
      <w:r>
        <w:rPr>
          <w:rFonts w:hint="eastAsia" w:ascii="楷体_GB2312" w:hAnsi="楷体_GB2312" w:eastAsia="楷体_GB2312" w:cs="楷体_GB2312"/>
          <w:b/>
          <w:color w:val="000000"/>
          <w:kern w:val="0"/>
        </w:rPr>
        <w:t>（一）存在的主要问题</w:t>
      </w:r>
    </w:p>
    <w:p>
      <w:pPr>
        <w:keepNext w:val="0"/>
        <w:keepLines w:val="0"/>
        <w:pageBreakBefore w:val="0"/>
        <w:widowControl/>
        <w:kinsoku/>
        <w:wordWrap/>
        <w:overflowPunct/>
        <w:topLinePunct w:val="0"/>
        <w:autoSpaceDE/>
        <w:autoSpaceDN/>
        <w:bidi w:val="0"/>
        <w:adjustRightInd/>
        <w:snapToGrid w:val="0"/>
        <w:spacing w:line="570" w:lineRule="exact"/>
        <w:ind w:firstLine="640"/>
        <w:textAlignment w:val="auto"/>
        <w:rPr>
          <w:rFonts w:hint="eastAsia" w:ascii="仿宋_GB2312" w:hAnsi="仿宋" w:eastAsia="仿宋_GB2312" w:cs="宋体"/>
          <w:color w:val="000000"/>
          <w:kern w:val="0"/>
          <w:lang w:eastAsia="zh-CN"/>
        </w:rPr>
      </w:pPr>
      <w:r>
        <w:rPr>
          <w:rFonts w:hint="eastAsia" w:ascii="仿宋_GB2312" w:hAnsi="仿宋" w:eastAsia="仿宋_GB2312" w:cs="宋体"/>
          <w:color w:val="000000"/>
          <w:kern w:val="0"/>
          <w:lang w:eastAsia="zh-CN"/>
        </w:rPr>
        <w:t>对政府信息公开工作人员的培训力度还不够，专业知识还有待提高。</w:t>
      </w:r>
    </w:p>
    <w:p>
      <w:pPr>
        <w:keepNext w:val="0"/>
        <w:keepLines w:val="0"/>
        <w:pageBreakBefore w:val="0"/>
        <w:widowControl/>
        <w:kinsoku/>
        <w:wordWrap/>
        <w:overflowPunct/>
        <w:topLinePunct w:val="0"/>
        <w:autoSpaceDE/>
        <w:autoSpaceDN/>
        <w:bidi w:val="0"/>
        <w:adjustRightInd/>
        <w:snapToGrid w:val="0"/>
        <w:spacing w:line="570" w:lineRule="exact"/>
        <w:ind w:firstLine="640"/>
        <w:textAlignment w:val="auto"/>
        <w:rPr>
          <w:rFonts w:hint="eastAsia" w:ascii="楷体_GB2312" w:hAnsi="楷体_GB2312" w:eastAsia="楷体_GB2312" w:cs="楷体_GB2312"/>
          <w:b/>
          <w:color w:val="000000"/>
          <w:kern w:val="0"/>
        </w:rPr>
      </w:pPr>
      <w:r>
        <w:rPr>
          <w:rFonts w:hint="eastAsia" w:ascii="楷体_GB2312" w:hAnsi="楷体_GB2312" w:eastAsia="楷体_GB2312" w:cs="楷体_GB2312"/>
          <w:b/>
          <w:color w:val="000000"/>
          <w:kern w:val="0"/>
        </w:rPr>
        <w:t>（二）改进措施</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 w:eastAsia="仿宋_GB2312" w:cs="宋体"/>
          <w:color w:val="000000"/>
          <w:kern w:val="0"/>
          <w:lang w:eastAsia="zh-CN"/>
        </w:rPr>
      </w:pPr>
      <w:r>
        <w:rPr>
          <w:rFonts w:hint="eastAsia" w:ascii="仿宋_GB2312" w:hAnsi="仿宋" w:eastAsia="仿宋_GB2312" w:cs="宋体"/>
          <w:color w:val="000000"/>
          <w:kern w:val="0"/>
        </w:rPr>
        <w:t>一是</w:t>
      </w:r>
      <w:r>
        <w:rPr>
          <w:rFonts w:hint="eastAsia" w:ascii="仿宋_GB2312" w:hAnsi="仿宋" w:eastAsia="仿宋_GB2312" w:cs="宋体"/>
          <w:color w:val="000000"/>
          <w:kern w:val="0"/>
          <w:lang w:eastAsia="zh-CN"/>
        </w:rPr>
        <w:t>认真落实修订后的《中华人民共和国政府信息公开条例》和省、市、县有关文件精神，认真执行政府信息公开相关规定和要求。及时公开政府信息，努力把政府信息公开工作做得更好。</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仿宋_GB2312" w:hAnsi="仿宋" w:eastAsia="仿宋_GB2312" w:cs="宋体"/>
          <w:color w:val="000000"/>
          <w:kern w:val="0"/>
        </w:rPr>
      </w:pPr>
      <w:r>
        <w:rPr>
          <w:rFonts w:hint="eastAsia" w:ascii="仿宋_GB2312" w:hAnsi="仿宋" w:eastAsia="仿宋_GB2312" w:cs="宋体"/>
          <w:color w:val="000000"/>
          <w:kern w:val="0"/>
        </w:rPr>
        <w:t>二是</w:t>
      </w:r>
      <w:r>
        <w:rPr>
          <w:rFonts w:hint="eastAsia" w:ascii="仿宋_GB2312" w:hAnsi="仿宋" w:eastAsia="仿宋_GB2312" w:cs="宋体"/>
          <w:color w:val="000000"/>
          <w:kern w:val="0"/>
          <w:lang w:eastAsia="zh-CN"/>
        </w:rPr>
        <w:t>加强业务知识的学习，不断提升政务公开工作人员的专业知识水平，更好适应信息公开工作的需要。</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hint="eastAsia" w:ascii="仿宋_GB2312" w:hAnsi="仿宋" w:eastAsia="仿宋_GB2312" w:cs="宋体"/>
          <w:color w:val="000000"/>
          <w:kern w:val="0"/>
          <w:lang w:eastAsia="zh-CN"/>
        </w:rPr>
      </w:pPr>
      <w:r>
        <w:rPr>
          <w:rFonts w:hint="eastAsia" w:ascii="仿宋_GB2312" w:hAnsi="仿宋" w:eastAsia="仿宋_GB2312" w:cs="宋体"/>
          <w:color w:val="000000"/>
          <w:kern w:val="0"/>
        </w:rPr>
        <w:t>三是</w:t>
      </w:r>
      <w:r>
        <w:rPr>
          <w:rFonts w:hint="eastAsia" w:ascii="仿宋_GB2312" w:hAnsi="仿宋" w:eastAsia="仿宋_GB2312" w:cs="宋体"/>
          <w:color w:val="000000"/>
          <w:kern w:val="0"/>
          <w:lang w:eastAsia="zh-CN"/>
        </w:rPr>
        <w:t>做好新形势下政府信息公开工作，及时公开人民群众关心的重点热点问题，创新信息公开形式，努力从多个层面上实施全方位的公开，让群众了解、监督、支持城管工作。</w:t>
      </w:r>
    </w:p>
    <w:p>
      <w:pPr>
        <w:keepNext w:val="0"/>
        <w:keepLines w:val="0"/>
        <w:pageBreakBefore w:val="0"/>
        <w:widowControl/>
        <w:numPr>
          <w:ilvl w:val="0"/>
          <w:numId w:val="1"/>
        </w:numPr>
        <w:kinsoku/>
        <w:wordWrap/>
        <w:overflowPunct/>
        <w:topLinePunct w:val="0"/>
        <w:autoSpaceDE/>
        <w:autoSpaceDN/>
        <w:bidi w:val="0"/>
        <w:adjustRightInd/>
        <w:snapToGrid w:val="0"/>
        <w:spacing w:line="570" w:lineRule="exact"/>
        <w:ind w:firstLine="640"/>
        <w:textAlignment w:val="auto"/>
        <w:rPr>
          <w:rFonts w:hint="eastAsia" w:ascii="黑体" w:hAnsi="黑体" w:eastAsia="黑体" w:cs="黑体"/>
          <w:color w:val="000000"/>
          <w:kern w:val="0"/>
        </w:rPr>
      </w:pPr>
      <w:r>
        <w:rPr>
          <w:rFonts w:hint="eastAsia" w:ascii="黑体" w:hAnsi="黑体" w:eastAsia="黑体" w:cs="黑体"/>
          <w:color w:val="000000"/>
          <w:kern w:val="0"/>
        </w:rPr>
        <w:t>需要说明的其他事项</w:t>
      </w:r>
    </w:p>
    <w:p>
      <w:pPr>
        <w:keepNext w:val="0"/>
        <w:keepLines w:val="0"/>
        <w:pageBreakBefore w:val="0"/>
        <w:widowControl/>
        <w:kinsoku/>
        <w:wordWrap/>
        <w:overflowPunct/>
        <w:topLinePunct w:val="0"/>
        <w:autoSpaceDE/>
        <w:autoSpaceDN/>
        <w:bidi w:val="0"/>
        <w:adjustRightInd/>
        <w:snapToGrid w:val="0"/>
        <w:spacing w:line="570" w:lineRule="exact"/>
        <w:ind w:firstLine="640" w:firstLineChars="200"/>
        <w:textAlignment w:val="auto"/>
        <w:rPr>
          <w:rFonts w:ascii="仿宋_GB2312" w:hAnsi="仿宋" w:eastAsia="仿宋_GB2312" w:cs="宋体"/>
          <w:color w:val="000000"/>
          <w:kern w:val="0"/>
        </w:rPr>
      </w:pPr>
      <w:r>
        <w:rPr>
          <w:rFonts w:hint="eastAsia" w:ascii="仿宋_GB2312" w:hAnsi="仿宋" w:eastAsia="仿宋_GB2312" w:cs="宋体"/>
          <w:color w:val="000000"/>
          <w:kern w:val="0"/>
        </w:rPr>
        <w:t>本报告数据的期限从202</w:t>
      </w:r>
      <w:r>
        <w:rPr>
          <w:rFonts w:hint="eastAsia" w:ascii="仿宋_GB2312" w:hAnsi="仿宋" w:eastAsia="仿宋_GB2312" w:cs="宋体"/>
          <w:color w:val="000000"/>
          <w:kern w:val="0"/>
          <w:lang w:val="en-US" w:eastAsia="zh-CN"/>
        </w:rPr>
        <w:t>1</w:t>
      </w:r>
      <w:r>
        <w:rPr>
          <w:rFonts w:hint="eastAsia" w:ascii="仿宋_GB2312" w:hAnsi="仿宋" w:eastAsia="仿宋_GB2312" w:cs="宋体"/>
          <w:color w:val="000000"/>
          <w:kern w:val="0"/>
        </w:rPr>
        <w:t>年1月1日至12月31日，如对本报告有疑问，请与德化县城市管理局办公室联系，联系电话：23577766；传真：23566655，电子邮箱：c</w:t>
      </w:r>
      <w:r>
        <w:rPr>
          <w:rFonts w:hint="eastAsia" w:ascii="仿宋_GB2312" w:hAnsi="仿宋" w:eastAsia="仿宋_GB2312" w:cs="宋体"/>
          <w:color w:val="000000"/>
          <w:kern w:val="0"/>
          <w:lang w:val="en-US" w:eastAsia="zh-CN"/>
        </w:rPr>
        <w:t>gj23577766</w:t>
      </w:r>
      <w:r>
        <w:rPr>
          <w:rFonts w:hint="eastAsia" w:ascii="仿宋_GB2312" w:hAnsi="仿宋" w:eastAsia="仿宋_GB2312" w:cs="宋体"/>
          <w:color w:val="000000"/>
          <w:kern w:val="0"/>
        </w:rPr>
        <w:t>@</w:t>
      </w:r>
      <w:r>
        <w:rPr>
          <w:rFonts w:hint="eastAsia" w:ascii="仿宋_GB2312" w:hAnsi="仿宋" w:eastAsia="仿宋_GB2312" w:cs="宋体"/>
          <w:color w:val="000000"/>
          <w:kern w:val="0"/>
          <w:lang w:val="en-US" w:eastAsia="zh-CN"/>
        </w:rPr>
        <w:t>163.com</w:t>
      </w:r>
      <w:r>
        <w:rPr>
          <w:rFonts w:hint="eastAsia" w:ascii="仿宋_GB2312" w:hAnsi="仿宋" w:eastAsia="仿宋_GB2312" w:cs="宋体"/>
          <w:color w:val="000000"/>
          <w:kern w:val="0"/>
        </w:rPr>
        <w:t>,通讯地址：德化县龙浔镇瓷都大道大洋190号。</w:t>
      </w:r>
    </w:p>
    <w:p>
      <w:pPr>
        <w:spacing w:line="500" w:lineRule="exact"/>
        <w:rPr>
          <w:rFonts w:ascii="仿宋_GB2312" w:hAnsi="仿宋" w:eastAsia="仿宋_GB2312" w:cs="仿宋"/>
        </w:rPr>
      </w:pPr>
    </w:p>
    <w:p>
      <w:pPr>
        <w:spacing w:line="500" w:lineRule="exact"/>
        <w:ind w:firstLine="5440" w:firstLineChars="1700"/>
        <w:rPr>
          <w:rFonts w:ascii="仿宋_GB2312" w:hAnsi="仿宋" w:eastAsia="仿宋_GB2312" w:cs="仿宋"/>
        </w:rPr>
      </w:pPr>
    </w:p>
    <w:p>
      <w:pPr>
        <w:spacing w:line="500" w:lineRule="exact"/>
        <w:ind w:firstLine="5440" w:firstLineChars="1700"/>
        <w:rPr>
          <w:rFonts w:ascii="仿宋_GB2312" w:hAnsi="仿宋" w:eastAsia="仿宋_GB2312" w:cs="仿宋"/>
        </w:rPr>
      </w:pPr>
    </w:p>
    <w:p>
      <w:pPr>
        <w:spacing w:line="500" w:lineRule="exact"/>
        <w:ind w:firstLine="5760" w:firstLineChars="1800"/>
        <w:rPr>
          <w:rFonts w:ascii="仿宋_GB2312" w:hAnsi="仿宋" w:eastAsia="仿宋_GB2312" w:cs="仿宋_GB2312"/>
        </w:rPr>
      </w:pPr>
      <w:r>
        <w:rPr>
          <w:rFonts w:hint="eastAsia" w:ascii="仿宋_GB2312" w:hAnsi="仿宋" w:eastAsia="仿宋_GB2312" w:cs="仿宋_GB2312"/>
        </w:rPr>
        <w:t>德化县城市管理局</w:t>
      </w:r>
    </w:p>
    <w:tbl>
      <w:tblPr>
        <w:tblStyle w:val="7"/>
        <w:tblpPr w:leftFromText="180" w:rightFromText="180" w:vertAnchor="text" w:horzAnchor="page" w:tblpX="1526" w:tblpY="2447"/>
        <w:tblOverlap w:val="never"/>
        <w:tblW w:w="905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059" w:type="dxa"/>
          </w:tcPr>
          <w:p>
            <w:pPr>
              <w:spacing w:line="500" w:lineRule="exact"/>
              <w:rPr>
                <w:rFonts w:ascii="仿宋_GB2312" w:hAnsi="仿宋" w:eastAsia="仿宋_GB2312" w:cs="仿宋"/>
                <w:sz w:val="28"/>
                <w:szCs w:val="28"/>
              </w:rPr>
            </w:pPr>
            <w:r>
              <w:rPr>
                <w:rFonts w:hint="eastAsia" w:ascii="仿宋_GB2312" w:hAnsi="仿宋" w:eastAsia="仿宋_GB2312" w:cs="仿宋"/>
                <w:sz w:val="28"/>
                <w:szCs w:val="28"/>
              </w:rPr>
              <w:t>抄送：本局各股室（所），存档。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059" w:type="dxa"/>
          </w:tcPr>
          <w:p>
            <w:pPr>
              <w:spacing w:line="500" w:lineRule="exact"/>
              <w:rPr>
                <w:rFonts w:ascii="仿宋_GB2312" w:hAnsi="仿宋" w:eastAsia="仿宋_GB2312" w:cs="仿宋"/>
                <w:sz w:val="28"/>
                <w:szCs w:val="28"/>
              </w:rPr>
            </w:pPr>
            <w:r>
              <w:rPr>
                <w:rFonts w:hint="eastAsia" w:ascii="仿宋_GB2312" w:hAnsi="仿宋" w:eastAsia="仿宋_GB2312" w:cs="仿宋"/>
                <w:sz w:val="28"/>
                <w:szCs w:val="28"/>
              </w:rPr>
              <w:t xml:space="preserve">德化县城市管理局               </w:t>
            </w:r>
            <w:r>
              <w:rPr>
                <w:rFonts w:hint="eastAsia" w:ascii="仿宋_GB2312" w:hAnsi="仿宋" w:eastAsia="仿宋_GB2312" w:cs="仿宋"/>
                <w:sz w:val="28"/>
                <w:szCs w:val="28"/>
                <w:lang w:val="en-US" w:eastAsia="zh-CN"/>
              </w:rPr>
              <w:t xml:space="preserve">            </w:t>
            </w:r>
            <w:r>
              <w:rPr>
                <w:rFonts w:hint="eastAsia" w:ascii="仿宋_GB2312" w:hAnsi="仿宋" w:eastAsia="仿宋_GB2312" w:cs="仿宋"/>
                <w:sz w:val="28"/>
                <w:szCs w:val="28"/>
              </w:rPr>
              <w:t xml:space="preserve"> 202</w:t>
            </w:r>
            <w:r>
              <w:rPr>
                <w:rFonts w:hint="eastAsia" w:ascii="仿宋_GB2312" w:hAnsi="仿宋" w:eastAsia="仿宋_GB2312" w:cs="仿宋"/>
                <w:sz w:val="28"/>
                <w:szCs w:val="28"/>
                <w:lang w:val="en-US" w:eastAsia="zh-CN"/>
              </w:rPr>
              <w:t>2</w:t>
            </w:r>
            <w:r>
              <w:rPr>
                <w:rFonts w:hint="eastAsia" w:ascii="仿宋_GB2312" w:hAnsi="仿宋" w:eastAsia="仿宋_GB2312" w:cs="仿宋"/>
                <w:sz w:val="28"/>
                <w:szCs w:val="28"/>
              </w:rPr>
              <w:t>年1月</w:t>
            </w:r>
            <w:r>
              <w:rPr>
                <w:rFonts w:hint="eastAsia" w:ascii="仿宋_GB2312" w:hAnsi="仿宋" w:eastAsia="仿宋_GB2312" w:cs="仿宋"/>
                <w:sz w:val="28"/>
                <w:szCs w:val="28"/>
                <w:lang w:val="en-US" w:eastAsia="zh-CN"/>
              </w:rPr>
              <w:t>6</w:t>
            </w:r>
            <w:r>
              <w:rPr>
                <w:rFonts w:hint="eastAsia" w:ascii="仿宋_GB2312" w:hAnsi="仿宋" w:eastAsia="仿宋_GB2312" w:cs="仿宋"/>
                <w:sz w:val="28"/>
                <w:szCs w:val="28"/>
              </w:rPr>
              <w:t>日印发</w:t>
            </w:r>
          </w:p>
        </w:tc>
      </w:tr>
    </w:tbl>
    <w:p>
      <w:pPr>
        <w:spacing w:line="500" w:lineRule="exact"/>
        <w:ind w:firstLine="5760" w:firstLineChars="1800"/>
        <w:rPr>
          <w:rFonts w:ascii="仿宋_GB2312" w:hAnsi="仿宋" w:eastAsia="仿宋_GB2312" w:cs="仿宋"/>
        </w:rPr>
      </w:pPr>
      <w:r>
        <w:rPr>
          <w:rFonts w:hint="eastAsia" w:ascii="仿宋_GB2312" w:hAnsi="仿宋" w:eastAsia="仿宋_GB2312" w:cs="仿宋"/>
          <w:lang w:val="en-US" w:eastAsia="zh-CN"/>
        </w:rPr>
        <w:t xml:space="preserve"> 2</w:t>
      </w:r>
      <w:r>
        <w:rPr>
          <w:rFonts w:hint="eastAsia" w:ascii="仿宋_GB2312" w:hAnsi="仿宋" w:eastAsia="仿宋_GB2312" w:cs="仿宋"/>
        </w:rPr>
        <w:t>02</w:t>
      </w:r>
      <w:r>
        <w:rPr>
          <w:rFonts w:hint="eastAsia" w:ascii="仿宋_GB2312" w:hAnsi="仿宋" w:eastAsia="仿宋_GB2312" w:cs="仿宋"/>
          <w:lang w:val="en-US" w:eastAsia="zh-CN"/>
        </w:rPr>
        <w:t>2</w:t>
      </w:r>
      <w:r>
        <w:rPr>
          <w:rFonts w:hint="eastAsia" w:ascii="仿宋_GB2312" w:hAnsi="仿宋" w:eastAsia="仿宋_GB2312" w:cs="仿宋"/>
        </w:rPr>
        <w:t>年1月</w:t>
      </w:r>
      <w:r>
        <w:rPr>
          <w:rFonts w:hint="eastAsia" w:ascii="仿宋_GB2312" w:hAnsi="仿宋" w:eastAsia="仿宋_GB2312" w:cs="仿宋"/>
          <w:lang w:val="en-US" w:eastAsia="zh-CN"/>
        </w:rPr>
        <w:t>6</w:t>
      </w:r>
      <w:r>
        <w:rPr>
          <w:rFonts w:hint="eastAsia" w:ascii="仿宋_GB2312" w:hAnsi="仿宋" w:eastAsia="仿宋_GB2312" w:cs="仿宋"/>
        </w:rPr>
        <w:t>日</w:t>
      </w:r>
    </w:p>
    <w:p>
      <w:pPr>
        <w:spacing w:line="500" w:lineRule="exact"/>
        <w:rPr>
          <w:rFonts w:hint="eastAsia" w:ascii="仿宋_GB2312" w:hAnsi="仿宋" w:eastAsia="仿宋_GB2312" w:cs="仿宋"/>
          <w:lang w:eastAsia="zh-CN"/>
        </w:rPr>
      </w:pPr>
      <w:r>
        <w:rPr>
          <w:rFonts w:hint="eastAsia" w:ascii="仿宋_GB2312" w:hAnsi="仿宋" w:eastAsia="仿宋_GB2312" w:cs="仿宋"/>
          <w:lang w:eastAsia="zh-CN"/>
        </w:rPr>
        <w:t>（此件主动公开</w:t>
      </w:r>
      <w:bookmarkStart w:id="0" w:name="_GoBack"/>
      <w:bookmarkEnd w:id="0"/>
      <w:r>
        <w:rPr>
          <w:rFonts w:hint="eastAsia" w:ascii="仿宋_GB2312" w:hAnsi="仿宋" w:eastAsia="仿宋_GB2312" w:cs="仿宋"/>
          <w:lang w:eastAsia="zh-CN"/>
        </w:rPr>
        <w:t>）</w:t>
      </w:r>
    </w:p>
    <w:p>
      <w:pPr>
        <w:spacing w:line="500" w:lineRule="exact"/>
        <w:ind w:firstLine="5440" w:firstLineChars="1700"/>
        <w:rPr>
          <w:rFonts w:ascii="仿宋_GB2312" w:hAnsi="仿宋" w:eastAsia="仿宋_GB2312" w:cs="仿宋"/>
        </w:rPr>
      </w:pPr>
    </w:p>
    <w:p>
      <w:pPr>
        <w:spacing w:line="500" w:lineRule="exact"/>
        <w:rPr>
          <w:rFonts w:ascii="仿宋_GB2312" w:hAnsi="仿宋" w:eastAsia="仿宋_GB2312" w:cs="仿宋"/>
        </w:rPr>
      </w:pPr>
    </w:p>
    <w:p>
      <w:pPr>
        <w:rPr>
          <w:rFonts w:hint="eastAsia" w:ascii="仿宋_GB2312" w:eastAsia="仿宋_GB2312"/>
          <w:lang w:eastAsia="zh-CN"/>
        </w:rPr>
      </w:pPr>
    </w:p>
    <w:sectPr>
      <w:headerReference r:id="rId3" w:type="default"/>
      <w:footerReference r:id="rId4" w:type="default"/>
      <w:pgSz w:w="11906" w:h="16838"/>
      <w:pgMar w:top="2155" w:right="1474" w:bottom="1418"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- 3 -</w:t>
                </w:r>
                <w:r>
                  <w:rPr>
                    <w:rFonts w:hint="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EC6703"/>
    <w:multiLevelType w:val="singleLevel"/>
    <w:tmpl w:val="6DEC670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9E2"/>
    <w:rsid w:val="000056A3"/>
    <w:rsid w:val="00014926"/>
    <w:rsid w:val="00020FF0"/>
    <w:rsid w:val="00030CAC"/>
    <w:rsid w:val="00034B58"/>
    <w:rsid w:val="00050F7E"/>
    <w:rsid w:val="00054951"/>
    <w:rsid w:val="00061225"/>
    <w:rsid w:val="00080062"/>
    <w:rsid w:val="00097E30"/>
    <w:rsid w:val="000A07A3"/>
    <w:rsid w:val="000A2AE0"/>
    <w:rsid w:val="000A2E4A"/>
    <w:rsid w:val="000C47AD"/>
    <w:rsid w:val="000D7EBB"/>
    <w:rsid w:val="000E2BD9"/>
    <w:rsid w:val="000F41B3"/>
    <w:rsid w:val="001116AB"/>
    <w:rsid w:val="00114071"/>
    <w:rsid w:val="00122288"/>
    <w:rsid w:val="00136581"/>
    <w:rsid w:val="00160DBE"/>
    <w:rsid w:val="0016511D"/>
    <w:rsid w:val="00170AE6"/>
    <w:rsid w:val="00172A27"/>
    <w:rsid w:val="001A5FE4"/>
    <w:rsid w:val="001C514C"/>
    <w:rsid w:val="001F0DE8"/>
    <w:rsid w:val="001F45C1"/>
    <w:rsid w:val="002045AC"/>
    <w:rsid w:val="00222554"/>
    <w:rsid w:val="00226E1E"/>
    <w:rsid w:val="0023315D"/>
    <w:rsid w:val="00242EBB"/>
    <w:rsid w:val="00271AB8"/>
    <w:rsid w:val="0029521F"/>
    <w:rsid w:val="002B19CD"/>
    <w:rsid w:val="002B1B4D"/>
    <w:rsid w:val="002B2BC1"/>
    <w:rsid w:val="002B70F6"/>
    <w:rsid w:val="002B7F16"/>
    <w:rsid w:val="002C1ADF"/>
    <w:rsid w:val="002E1A3B"/>
    <w:rsid w:val="002E36AB"/>
    <w:rsid w:val="002E5237"/>
    <w:rsid w:val="002E565A"/>
    <w:rsid w:val="002F5154"/>
    <w:rsid w:val="0030361E"/>
    <w:rsid w:val="0030578C"/>
    <w:rsid w:val="00311D20"/>
    <w:rsid w:val="00336890"/>
    <w:rsid w:val="00352F48"/>
    <w:rsid w:val="0036169D"/>
    <w:rsid w:val="00365B71"/>
    <w:rsid w:val="00380535"/>
    <w:rsid w:val="0039449A"/>
    <w:rsid w:val="00395D60"/>
    <w:rsid w:val="003B4F76"/>
    <w:rsid w:val="003C1316"/>
    <w:rsid w:val="003C3B1B"/>
    <w:rsid w:val="003E4B58"/>
    <w:rsid w:val="003F64D4"/>
    <w:rsid w:val="004048C7"/>
    <w:rsid w:val="00416E5E"/>
    <w:rsid w:val="004E7CCF"/>
    <w:rsid w:val="005004BA"/>
    <w:rsid w:val="00502344"/>
    <w:rsid w:val="005053F5"/>
    <w:rsid w:val="00506621"/>
    <w:rsid w:val="00531E60"/>
    <w:rsid w:val="00560AE6"/>
    <w:rsid w:val="00571FC7"/>
    <w:rsid w:val="005B21A9"/>
    <w:rsid w:val="005B34EC"/>
    <w:rsid w:val="005C0A28"/>
    <w:rsid w:val="005D32A8"/>
    <w:rsid w:val="005E5482"/>
    <w:rsid w:val="005E5AD0"/>
    <w:rsid w:val="005E7990"/>
    <w:rsid w:val="00603936"/>
    <w:rsid w:val="006175C6"/>
    <w:rsid w:val="006205E9"/>
    <w:rsid w:val="006240DB"/>
    <w:rsid w:val="00646D8E"/>
    <w:rsid w:val="00681F95"/>
    <w:rsid w:val="0068657A"/>
    <w:rsid w:val="00693573"/>
    <w:rsid w:val="006A0CE9"/>
    <w:rsid w:val="006B487D"/>
    <w:rsid w:val="006B5BDD"/>
    <w:rsid w:val="006D5E38"/>
    <w:rsid w:val="006E3A84"/>
    <w:rsid w:val="006F4FCF"/>
    <w:rsid w:val="0070685E"/>
    <w:rsid w:val="00707FD8"/>
    <w:rsid w:val="00711141"/>
    <w:rsid w:val="0071391D"/>
    <w:rsid w:val="0073440C"/>
    <w:rsid w:val="007438A1"/>
    <w:rsid w:val="00752335"/>
    <w:rsid w:val="00772633"/>
    <w:rsid w:val="0077296D"/>
    <w:rsid w:val="00780D76"/>
    <w:rsid w:val="00781277"/>
    <w:rsid w:val="007D42B7"/>
    <w:rsid w:val="007E0658"/>
    <w:rsid w:val="007F6522"/>
    <w:rsid w:val="00801134"/>
    <w:rsid w:val="00804CC8"/>
    <w:rsid w:val="00805D1E"/>
    <w:rsid w:val="008075F0"/>
    <w:rsid w:val="008157F2"/>
    <w:rsid w:val="00834950"/>
    <w:rsid w:val="008456E5"/>
    <w:rsid w:val="00857FBA"/>
    <w:rsid w:val="00867DCF"/>
    <w:rsid w:val="008777C9"/>
    <w:rsid w:val="0088015D"/>
    <w:rsid w:val="008853B3"/>
    <w:rsid w:val="008932FB"/>
    <w:rsid w:val="008A263B"/>
    <w:rsid w:val="008A3C1F"/>
    <w:rsid w:val="008A7B9D"/>
    <w:rsid w:val="008B5840"/>
    <w:rsid w:val="008D7C6E"/>
    <w:rsid w:val="008F75FB"/>
    <w:rsid w:val="00902DF9"/>
    <w:rsid w:val="00913623"/>
    <w:rsid w:val="00920351"/>
    <w:rsid w:val="00944723"/>
    <w:rsid w:val="009508CF"/>
    <w:rsid w:val="009566EC"/>
    <w:rsid w:val="00961B9C"/>
    <w:rsid w:val="00966046"/>
    <w:rsid w:val="00990AE3"/>
    <w:rsid w:val="009A1764"/>
    <w:rsid w:val="009D5829"/>
    <w:rsid w:val="009D71FE"/>
    <w:rsid w:val="009F1D74"/>
    <w:rsid w:val="009F3B8C"/>
    <w:rsid w:val="00A1263F"/>
    <w:rsid w:val="00A143F1"/>
    <w:rsid w:val="00A25C0E"/>
    <w:rsid w:val="00A31890"/>
    <w:rsid w:val="00A400C9"/>
    <w:rsid w:val="00A4027E"/>
    <w:rsid w:val="00A4154F"/>
    <w:rsid w:val="00A56349"/>
    <w:rsid w:val="00A714BE"/>
    <w:rsid w:val="00A74816"/>
    <w:rsid w:val="00A87263"/>
    <w:rsid w:val="00A977F0"/>
    <w:rsid w:val="00A97D64"/>
    <w:rsid w:val="00AA3364"/>
    <w:rsid w:val="00AA7737"/>
    <w:rsid w:val="00AA7AF0"/>
    <w:rsid w:val="00AB078D"/>
    <w:rsid w:val="00AC3361"/>
    <w:rsid w:val="00AC50BF"/>
    <w:rsid w:val="00AD0FE9"/>
    <w:rsid w:val="00AE44D0"/>
    <w:rsid w:val="00AE7858"/>
    <w:rsid w:val="00B012EF"/>
    <w:rsid w:val="00B03ECD"/>
    <w:rsid w:val="00B047D2"/>
    <w:rsid w:val="00B072DA"/>
    <w:rsid w:val="00B1096A"/>
    <w:rsid w:val="00B15DF2"/>
    <w:rsid w:val="00B26334"/>
    <w:rsid w:val="00B33752"/>
    <w:rsid w:val="00B433B0"/>
    <w:rsid w:val="00B5045D"/>
    <w:rsid w:val="00B6708B"/>
    <w:rsid w:val="00B74067"/>
    <w:rsid w:val="00B910C5"/>
    <w:rsid w:val="00BB3101"/>
    <w:rsid w:val="00BC5671"/>
    <w:rsid w:val="00BD27D4"/>
    <w:rsid w:val="00BD3DDF"/>
    <w:rsid w:val="00BD6219"/>
    <w:rsid w:val="00C058FD"/>
    <w:rsid w:val="00C315B7"/>
    <w:rsid w:val="00C42BC2"/>
    <w:rsid w:val="00C44AC7"/>
    <w:rsid w:val="00C51782"/>
    <w:rsid w:val="00C611E7"/>
    <w:rsid w:val="00C65A5B"/>
    <w:rsid w:val="00C72D67"/>
    <w:rsid w:val="00C7537C"/>
    <w:rsid w:val="00CA23D4"/>
    <w:rsid w:val="00CB159A"/>
    <w:rsid w:val="00CC4494"/>
    <w:rsid w:val="00CD2930"/>
    <w:rsid w:val="00CE3994"/>
    <w:rsid w:val="00CE3E52"/>
    <w:rsid w:val="00CF014B"/>
    <w:rsid w:val="00CF0DAA"/>
    <w:rsid w:val="00CF437A"/>
    <w:rsid w:val="00CF5708"/>
    <w:rsid w:val="00CF5B9C"/>
    <w:rsid w:val="00D30DED"/>
    <w:rsid w:val="00D31B9A"/>
    <w:rsid w:val="00D341E3"/>
    <w:rsid w:val="00D37CE9"/>
    <w:rsid w:val="00D50D8B"/>
    <w:rsid w:val="00D5696A"/>
    <w:rsid w:val="00D612E5"/>
    <w:rsid w:val="00D75E0E"/>
    <w:rsid w:val="00D7601D"/>
    <w:rsid w:val="00D8560B"/>
    <w:rsid w:val="00D85D51"/>
    <w:rsid w:val="00D85D70"/>
    <w:rsid w:val="00D90851"/>
    <w:rsid w:val="00D92AD9"/>
    <w:rsid w:val="00D92F31"/>
    <w:rsid w:val="00DB1EDA"/>
    <w:rsid w:val="00DB336D"/>
    <w:rsid w:val="00DB526D"/>
    <w:rsid w:val="00DC2643"/>
    <w:rsid w:val="00DC377B"/>
    <w:rsid w:val="00DC7EC5"/>
    <w:rsid w:val="00DE5D8D"/>
    <w:rsid w:val="00DE7C85"/>
    <w:rsid w:val="00E06BBC"/>
    <w:rsid w:val="00E32F09"/>
    <w:rsid w:val="00E54670"/>
    <w:rsid w:val="00E55C8A"/>
    <w:rsid w:val="00E6115C"/>
    <w:rsid w:val="00E676E8"/>
    <w:rsid w:val="00E7494F"/>
    <w:rsid w:val="00EC1AB2"/>
    <w:rsid w:val="00EC73AF"/>
    <w:rsid w:val="00ED5EBE"/>
    <w:rsid w:val="00F000EE"/>
    <w:rsid w:val="00F26AAC"/>
    <w:rsid w:val="00F31EB1"/>
    <w:rsid w:val="00F41007"/>
    <w:rsid w:val="00F55E75"/>
    <w:rsid w:val="00F66396"/>
    <w:rsid w:val="00F679C7"/>
    <w:rsid w:val="00F74D4C"/>
    <w:rsid w:val="00FD0884"/>
    <w:rsid w:val="00FE21A0"/>
    <w:rsid w:val="00FE7EA5"/>
    <w:rsid w:val="03014916"/>
    <w:rsid w:val="0F177EEF"/>
    <w:rsid w:val="249340E5"/>
    <w:rsid w:val="26F04376"/>
    <w:rsid w:val="3B620744"/>
    <w:rsid w:val="3CC8134C"/>
    <w:rsid w:val="3EC66C22"/>
    <w:rsid w:val="4F4A7D20"/>
    <w:rsid w:val="538D7775"/>
    <w:rsid w:val="542225D8"/>
    <w:rsid w:val="667A63A4"/>
    <w:rsid w:val="6D650190"/>
    <w:rsid w:val="73E97B4F"/>
    <w:rsid w:val="78FF5223"/>
    <w:rsid w:val="7C436648"/>
    <w:rsid w:val="7CB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qFormat/>
    <w:uiPriority w:val="0"/>
    <w:rPr>
      <w:b/>
      <w:bCs/>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paragraph" w:customStyle="1" w:styleId="13">
    <w:name w:val="Default Paragraph Font Para Char Char Char Char Char Char"/>
    <w:basedOn w:val="1"/>
    <w:qFormat/>
    <w:uiPriority w:val="0"/>
    <w:pPr>
      <w:widowControl/>
      <w:spacing w:after="160" w:line="240" w:lineRule="exact"/>
      <w:jc w:val="left"/>
    </w:pPr>
    <w:rPr>
      <w:rFonts w:ascii="Verdana" w:hAnsi="Verdana" w:eastAsia="宋体"/>
      <w:kern w:val="0"/>
      <w:sz w:val="20"/>
      <w:szCs w:val="20"/>
      <w:lang w:eastAsia="en-US"/>
    </w:rPr>
  </w:style>
  <w:style w:type="character" w:customStyle="1" w:styleId="14">
    <w:name w:val="pass"/>
    <w:basedOn w:val="9"/>
    <w:qFormat/>
    <w:uiPriority w:val="0"/>
    <w:rPr>
      <w:color w:val="D50512"/>
    </w:rPr>
  </w:style>
  <w:style w:type="character" w:customStyle="1" w:styleId="15">
    <w:name w:val="clear2"/>
    <w:basedOn w:val="9"/>
    <w:qFormat/>
    <w:uiPriority w:val="0"/>
    <w:rPr>
      <w:sz w:val="0"/>
      <w:szCs w:val="0"/>
    </w:rPr>
  </w:style>
  <w:style w:type="character" w:customStyle="1" w:styleId="16">
    <w:name w:val="clear"/>
    <w:basedOn w:val="9"/>
    <w:qFormat/>
    <w:uiPriority w:val="0"/>
    <w:rPr>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468</Words>
  <Characters>2672</Characters>
  <Lines>22</Lines>
  <Paragraphs>6</Paragraphs>
  <TotalTime>5</TotalTime>
  <ScaleCrop>false</ScaleCrop>
  <LinksUpToDate>false</LinksUpToDate>
  <CharactersWithSpaces>3134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2021-01-07T08:19:00Z</dcterms:created>
  <dc:creator>MC SYSTEM</dc:creator>
  <cp:lastModifiedBy>微信</cp:lastModifiedBy>
  <cp:lastPrinted>2022-01-07T00:44:51Z</cp:lastPrinted>
  <dcterms:modified xsi:type="dcterms:W3CDTF">2022-01-07T00:45:10Z</dcterms:modified>
  <dc:title>德市政〔2014〕  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1C07031C4DEE494F809F7AEBC3992338</vt:lpwstr>
  </property>
</Properties>
</file>