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10F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BC06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2593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82904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8C4A3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1632F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9F80953">
      <w:pPr>
        <w:spacing w:line="580" w:lineRule="exact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德城管执法〔202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</w:t>
      </w:r>
    </w:p>
    <w:p w14:paraId="381D3897">
      <w:pPr>
        <w:jc w:val="both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5F448AC">
      <w:pPr>
        <w:jc w:val="both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63D14D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98"/>
          <w:kern w:val="0"/>
          <w:sz w:val="44"/>
          <w:szCs w:val="44"/>
          <w:shd w:val="clear" w:fill="FFFFFF"/>
          <w:lang w:val="en-US" w:eastAsia="zh-CN" w:bidi="ar"/>
        </w:rPr>
        <w:t>关于印发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98"/>
          <w:kern w:val="0"/>
          <w:sz w:val="44"/>
          <w:szCs w:val="44"/>
          <w:shd w:val="clear" w:fill="FFFFFF"/>
          <w:lang w:val="en-US" w:eastAsia="zh-CN" w:bidi="ar"/>
        </w:rPr>
        <w:t>德化县城市管理和综合执法局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98"/>
          <w:kern w:val="0"/>
          <w:sz w:val="44"/>
          <w:szCs w:val="44"/>
          <w:shd w:val="clear" w:fill="FFFFFF"/>
          <w:lang w:val="en-US" w:eastAsia="zh-CN" w:bidi="ar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99"/>
          <w:kern w:val="0"/>
          <w:sz w:val="44"/>
          <w:szCs w:val="44"/>
          <w:shd w:val="clear" w:fill="FFFFFF"/>
          <w:lang w:val="en-US" w:eastAsia="zh-CN" w:bidi="ar"/>
        </w:rPr>
        <w:t>工程造价咨询及招标代理单位名单的通知</w:t>
      </w:r>
    </w:p>
    <w:p w14:paraId="090C751E">
      <w:pPr>
        <w:widowControl/>
        <w:shd w:val="clear" w:color="auto" w:fill="FFFFFF"/>
        <w:spacing w:line="560" w:lineRule="exact"/>
        <w:jc w:val="center"/>
        <w:rPr>
          <w:rFonts w:ascii="仿宋" w:hAnsi="仿宋" w:eastAsia="仿宋" w:cs="宋体"/>
          <w:b/>
          <w:bCs/>
          <w:color w:val="555555"/>
          <w:kern w:val="36"/>
          <w:sz w:val="44"/>
          <w:szCs w:val="44"/>
        </w:rPr>
      </w:pPr>
    </w:p>
    <w:p w14:paraId="4375909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局各股室（队、所）、系统各单位、各项目办：</w:t>
      </w:r>
    </w:p>
    <w:p w14:paraId="7C9EA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32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日在德化县政府网发布《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德化县城市管理和综合执法局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关于征集2026年度工程造价咨询及招标代理单位的公告》，共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家企业报名。经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相关科室审核并报局领导办公会研究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同意圣弘建设股份有限公司等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进入名单，服务期限至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2026年12月31日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。原则上，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需造价咨询或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招标代理服务的，须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随机抽取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名单中选取服务单位（承接造价咨询服务的企业须在泉州市住建局最新公布的AAA企业名单内）。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现将《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德化县城市管理和综合执法局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2026年工程造价咨询及招标代理单位名单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》印发给你们，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请遵照执行。</w:t>
      </w:r>
    </w:p>
    <w:p w14:paraId="75A02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5934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2DC3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57E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C50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德化县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城市管理和综合执法局</w:t>
      </w:r>
    </w:p>
    <w:p w14:paraId="1F3F3E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10F6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 w14:paraId="156EBD75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80E2D47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6013F7F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ECA4F3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2F259BD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376FDD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4B8653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BDB7AB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42AF131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1245EE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CD8A33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E8052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德化县城市管理和综合执法局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2026年</w:t>
      </w:r>
    </w:p>
    <w:p w14:paraId="16AFF8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工程造价咨询及招标代理单位名单</w:t>
      </w:r>
    </w:p>
    <w:p w14:paraId="436DB6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tbl>
      <w:tblPr>
        <w:tblStyle w:val="13"/>
        <w:tblW w:w="85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59"/>
      </w:tblGrid>
      <w:tr w14:paraId="016A1F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384" w:type="dxa"/>
            <w:vAlign w:val="center"/>
          </w:tcPr>
          <w:p w14:paraId="5EA185F3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159" w:type="dxa"/>
            <w:vAlign w:val="center"/>
          </w:tcPr>
          <w:p w14:paraId="6DCF9057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>企业名称</w:t>
            </w:r>
          </w:p>
        </w:tc>
      </w:tr>
      <w:tr w14:paraId="192783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252094CE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159" w:type="dxa"/>
            <w:vAlign w:val="center"/>
          </w:tcPr>
          <w:p w14:paraId="3FD09229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圣弘建设股份有限公司</w:t>
            </w:r>
          </w:p>
        </w:tc>
      </w:tr>
      <w:tr w14:paraId="4E1E81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54B2A90D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159" w:type="dxa"/>
            <w:vAlign w:val="center"/>
          </w:tcPr>
          <w:p w14:paraId="5B9F9B94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厦门天亚工程项目管理有限公司</w:t>
            </w:r>
          </w:p>
        </w:tc>
      </w:tr>
      <w:tr w14:paraId="02804E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3B0C5F4F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159" w:type="dxa"/>
            <w:vAlign w:val="center"/>
          </w:tcPr>
          <w:p w14:paraId="02CD3BEF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厦门中达利工程管理有限公司</w:t>
            </w:r>
          </w:p>
        </w:tc>
      </w:tr>
      <w:tr w14:paraId="6F12D5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002A2C55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7159" w:type="dxa"/>
            <w:vAlign w:val="center"/>
          </w:tcPr>
          <w:p w14:paraId="54CB2494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泉州联审工程造价咨询有限公司</w:t>
            </w:r>
          </w:p>
        </w:tc>
      </w:tr>
      <w:tr w14:paraId="2F54D6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3961A397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159" w:type="dxa"/>
            <w:vAlign w:val="center"/>
          </w:tcPr>
          <w:p w14:paraId="3408315F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福建鑫盛项目管理咨询有限公司</w:t>
            </w:r>
          </w:p>
        </w:tc>
      </w:tr>
      <w:tr w14:paraId="2FA8A5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3DCA53FC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7159" w:type="dxa"/>
            <w:vAlign w:val="center"/>
          </w:tcPr>
          <w:p w14:paraId="612AA825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福建诚信招标咨询集团有限公司</w:t>
            </w:r>
          </w:p>
        </w:tc>
      </w:tr>
      <w:tr w14:paraId="30F1D1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3ED9F291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7159" w:type="dxa"/>
            <w:vAlign w:val="center"/>
          </w:tcPr>
          <w:p w14:paraId="28A57379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泉州市联弘项目管理有限公司</w:t>
            </w:r>
          </w:p>
        </w:tc>
      </w:tr>
      <w:tr w14:paraId="6DD91D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6C4FFC61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7159" w:type="dxa"/>
            <w:vAlign w:val="center"/>
          </w:tcPr>
          <w:p w14:paraId="5E6BC32D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福州市安永工程监理有限公司</w:t>
            </w:r>
          </w:p>
        </w:tc>
      </w:tr>
      <w:tr w14:paraId="27E1B3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614F3919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7159" w:type="dxa"/>
            <w:vAlign w:val="center"/>
          </w:tcPr>
          <w:p w14:paraId="748E8B38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福建瑞晟建设工程造价咨询有限公司</w:t>
            </w:r>
          </w:p>
        </w:tc>
      </w:tr>
      <w:tr w14:paraId="4F8F07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18491D8E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159" w:type="dxa"/>
            <w:vAlign w:val="center"/>
          </w:tcPr>
          <w:p w14:paraId="5F49CF01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泉州诚杰信建设工程管理有限公司</w:t>
            </w:r>
          </w:p>
        </w:tc>
      </w:tr>
      <w:tr w14:paraId="0A8334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1CB169BF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7159" w:type="dxa"/>
            <w:vAlign w:val="center"/>
          </w:tcPr>
          <w:p w14:paraId="3EABAC0C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福建金垄工程项目管理有限公司</w:t>
            </w:r>
          </w:p>
        </w:tc>
      </w:tr>
      <w:tr w14:paraId="115E13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12F08587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159" w:type="dxa"/>
            <w:vAlign w:val="center"/>
          </w:tcPr>
          <w:p w14:paraId="36E0A38C">
            <w:pPr>
              <w:widowControl/>
              <w:spacing w:line="5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福建环闽工程造价咨询有限公司</w:t>
            </w:r>
          </w:p>
        </w:tc>
      </w:tr>
      <w:tr w14:paraId="71466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3E05A29D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159" w:type="dxa"/>
            <w:vAlign w:val="center"/>
          </w:tcPr>
          <w:p w14:paraId="10B705F1">
            <w:pPr>
              <w:widowControl/>
              <w:spacing w:line="5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驿涛工程集团有限公司</w:t>
            </w:r>
          </w:p>
        </w:tc>
      </w:tr>
      <w:tr w14:paraId="6271DA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0876E9DD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159" w:type="dxa"/>
            <w:vAlign w:val="center"/>
          </w:tcPr>
          <w:p w14:paraId="76FDBF13">
            <w:pPr>
              <w:widowControl/>
              <w:spacing w:line="5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福建晶奇工程项目管理有限公司</w:t>
            </w:r>
          </w:p>
        </w:tc>
      </w:tr>
      <w:tr w14:paraId="694671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621A213A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159" w:type="dxa"/>
            <w:vAlign w:val="center"/>
          </w:tcPr>
          <w:p w14:paraId="66C7DFA8">
            <w:pPr>
              <w:widowControl/>
              <w:spacing w:line="5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福建省仟羽工程咨询有限公司</w:t>
            </w:r>
          </w:p>
        </w:tc>
      </w:tr>
      <w:tr w14:paraId="4DD294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15C7D49C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159" w:type="dxa"/>
            <w:vAlign w:val="center"/>
          </w:tcPr>
          <w:p w14:paraId="0D1F55A5">
            <w:pPr>
              <w:widowControl/>
              <w:spacing w:line="5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福建德和工程项目管理有限公司</w:t>
            </w:r>
          </w:p>
        </w:tc>
      </w:tr>
      <w:tr w14:paraId="67D826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3B5BF7A5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159" w:type="dxa"/>
            <w:vAlign w:val="center"/>
          </w:tcPr>
          <w:p w14:paraId="44A40757">
            <w:pPr>
              <w:widowControl/>
              <w:spacing w:line="5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福建省建审工程项目管理咨询有限公司</w:t>
            </w:r>
          </w:p>
        </w:tc>
      </w:tr>
      <w:tr w14:paraId="17A0E9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vAlign w:val="center"/>
          </w:tcPr>
          <w:p w14:paraId="183BB117">
            <w:pPr>
              <w:widowControl/>
              <w:spacing w:line="50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159" w:type="dxa"/>
            <w:vAlign w:val="center"/>
          </w:tcPr>
          <w:p w14:paraId="61124010">
            <w:pPr>
              <w:widowControl/>
              <w:spacing w:line="5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福建省招标采购集团（泉州招标咨询中心有限公司）</w:t>
            </w:r>
          </w:p>
        </w:tc>
      </w:tr>
    </w:tbl>
    <w:p w14:paraId="6542D4FF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B545F5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172C29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59091D3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0F5D896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AED3A1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BAE54EF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267001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606105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BEF768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E749D06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B140DE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DD87075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83C61D6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pPr w:leftFromText="180" w:rightFromText="180" w:vertAnchor="text" w:horzAnchor="page" w:tblpX="1555" w:tblpY="1818"/>
        <w:tblOverlap w:val="never"/>
        <w:tblW w:w="905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9"/>
      </w:tblGrid>
      <w:tr w14:paraId="46183E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059" w:type="dxa"/>
            <w:noWrap/>
          </w:tcPr>
          <w:p w14:paraId="3FC4AFA5">
            <w:pPr>
              <w:spacing w:line="57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本局纪委，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存档。</w:t>
            </w:r>
          </w:p>
        </w:tc>
      </w:tr>
      <w:tr w14:paraId="468B8D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059" w:type="dxa"/>
            <w:noWrap/>
          </w:tcPr>
          <w:p w14:paraId="7DC21D09">
            <w:pPr>
              <w:spacing w:line="57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德化县城市管理和综合执法局       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日印发</w:t>
            </w:r>
          </w:p>
        </w:tc>
      </w:tr>
    </w:tbl>
    <w:p w14:paraId="37B28AC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E06C58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5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36239FA">
      <w:pPr>
        <w:pStyle w:val="6"/>
        <w:spacing w:before="125" w:line="2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4F5D5">
    <w:pPr>
      <w:spacing w:before="1" w:line="173" w:lineRule="auto"/>
      <w:ind w:right="280"/>
      <w:jc w:val="right"/>
      <w:rPr>
        <w:rFonts w:ascii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941FB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941FB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51DB">
    <w:pPr>
      <w:pStyle w:val="8"/>
      <w:ind w:firstLine="280" w:firstLineChars="100"/>
      <w:rPr>
        <w:rFonts w:ascii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7E137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67E137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oNotHyphenateCaps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ulTrailSpace/>
    <w:doNotExpandShiftReturn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E6"/>
    <w:rsid w:val="000208E6"/>
    <w:rsid w:val="000735A7"/>
    <w:rsid w:val="00103178"/>
    <w:rsid w:val="001E29EE"/>
    <w:rsid w:val="003D7A0B"/>
    <w:rsid w:val="00470584"/>
    <w:rsid w:val="005010CA"/>
    <w:rsid w:val="005A7D23"/>
    <w:rsid w:val="005E1781"/>
    <w:rsid w:val="006513E9"/>
    <w:rsid w:val="006D66A6"/>
    <w:rsid w:val="007634AC"/>
    <w:rsid w:val="00875690"/>
    <w:rsid w:val="008F26AE"/>
    <w:rsid w:val="00917C52"/>
    <w:rsid w:val="00975E07"/>
    <w:rsid w:val="00BD6F22"/>
    <w:rsid w:val="00C3646F"/>
    <w:rsid w:val="00FD01D6"/>
    <w:rsid w:val="073D3682"/>
    <w:rsid w:val="07F52985"/>
    <w:rsid w:val="09BB76AA"/>
    <w:rsid w:val="0D224918"/>
    <w:rsid w:val="10DB1C9F"/>
    <w:rsid w:val="13F86BC7"/>
    <w:rsid w:val="14324A62"/>
    <w:rsid w:val="151237B6"/>
    <w:rsid w:val="1656DE3A"/>
    <w:rsid w:val="1AE08732"/>
    <w:rsid w:val="214E73A7"/>
    <w:rsid w:val="22A939AB"/>
    <w:rsid w:val="22E640C5"/>
    <w:rsid w:val="25633CE3"/>
    <w:rsid w:val="26927AED"/>
    <w:rsid w:val="2A21400D"/>
    <w:rsid w:val="3A57BF8B"/>
    <w:rsid w:val="3B774D6B"/>
    <w:rsid w:val="3BBDB8CA"/>
    <w:rsid w:val="3F150D8C"/>
    <w:rsid w:val="3FD9DC19"/>
    <w:rsid w:val="3FFB9B28"/>
    <w:rsid w:val="426601FF"/>
    <w:rsid w:val="444121A4"/>
    <w:rsid w:val="44D828FE"/>
    <w:rsid w:val="463367F7"/>
    <w:rsid w:val="495F4514"/>
    <w:rsid w:val="518B4840"/>
    <w:rsid w:val="57BE941B"/>
    <w:rsid w:val="57FFF7E8"/>
    <w:rsid w:val="5DBD576C"/>
    <w:rsid w:val="5DF52F6F"/>
    <w:rsid w:val="5EF7EC4B"/>
    <w:rsid w:val="63584A2D"/>
    <w:rsid w:val="65873C70"/>
    <w:rsid w:val="6B7FEC68"/>
    <w:rsid w:val="6E6BDEFB"/>
    <w:rsid w:val="6FDF55C5"/>
    <w:rsid w:val="6FFEDCD8"/>
    <w:rsid w:val="73CB432C"/>
    <w:rsid w:val="75BFCD3B"/>
    <w:rsid w:val="75EF9322"/>
    <w:rsid w:val="76771792"/>
    <w:rsid w:val="77E7F936"/>
    <w:rsid w:val="7A01152D"/>
    <w:rsid w:val="7CD7A21E"/>
    <w:rsid w:val="7EEF39EA"/>
    <w:rsid w:val="7F7717BE"/>
    <w:rsid w:val="7FC45064"/>
    <w:rsid w:val="7FD38293"/>
    <w:rsid w:val="7FF2F43D"/>
    <w:rsid w:val="7FF767D7"/>
    <w:rsid w:val="7FFF423F"/>
    <w:rsid w:val="97D7CE88"/>
    <w:rsid w:val="A8DFFA66"/>
    <w:rsid w:val="B6BB9BF8"/>
    <w:rsid w:val="B6BE6EDE"/>
    <w:rsid w:val="B6FB8209"/>
    <w:rsid w:val="B7F9A41E"/>
    <w:rsid w:val="BDFF61F5"/>
    <w:rsid w:val="BFF77A5F"/>
    <w:rsid w:val="CCFF47EB"/>
    <w:rsid w:val="CF5FAF90"/>
    <w:rsid w:val="CFFF8F26"/>
    <w:rsid w:val="D6C7598B"/>
    <w:rsid w:val="D7EB1ED3"/>
    <w:rsid w:val="DBCCACC9"/>
    <w:rsid w:val="DCFE97D8"/>
    <w:rsid w:val="DEE7F47E"/>
    <w:rsid w:val="DF5FD453"/>
    <w:rsid w:val="DFDB71E2"/>
    <w:rsid w:val="DFFFFA92"/>
    <w:rsid w:val="EA7B7C5C"/>
    <w:rsid w:val="EB5FD3AC"/>
    <w:rsid w:val="EEEB8965"/>
    <w:rsid w:val="EF3FB24A"/>
    <w:rsid w:val="F0FF5973"/>
    <w:rsid w:val="F69DE29D"/>
    <w:rsid w:val="F70DEF9B"/>
    <w:rsid w:val="F717A040"/>
    <w:rsid w:val="F9B34BF3"/>
    <w:rsid w:val="FA5D675A"/>
    <w:rsid w:val="FBA2A307"/>
    <w:rsid w:val="FBFE2222"/>
    <w:rsid w:val="FBFF26DD"/>
    <w:rsid w:val="FCBFE0F2"/>
    <w:rsid w:val="FDD7A4A0"/>
    <w:rsid w:val="FEFB4A08"/>
    <w:rsid w:val="FEFFB51D"/>
    <w:rsid w:val="FF6D85F6"/>
    <w:rsid w:val="FF7FB1FF"/>
    <w:rsid w:val="FF9D69F8"/>
    <w:rsid w:val="FF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9"/>
    <w:pPr>
      <w:spacing w:beforeAutospacing="1" w:afterAutospacing="1"/>
      <w:outlineLvl w:val="0"/>
    </w:pPr>
    <w:rPr>
      <w:rFonts w:ascii="宋体" w:hAnsi="宋体" w:cs="宋体"/>
      <w:b/>
      <w:bCs/>
      <w:kern w:val="44"/>
      <w:sz w:val="48"/>
      <w:szCs w:val="48"/>
      <w:lang w:eastAsia="zh-CN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"/>
    <w:basedOn w:val="1"/>
    <w:link w:val="18"/>
    <w:semiHidden/>
    <w:qFormat/>
    <w:uiPriority w:val="99"/>
    <w:rPr>
      <w:rFonts w:ascii="仿宋" w:hAnsi="仿宋" w:eastAsia="仿宋" w:cs="仿宋"/>
      <w:sz w:val="31"/>
      <w:szCs w:val="31"/>
    </w:rPr>
  </w:style>
  <w:style w:type="paragraph" w:styleId="7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</w:pPr>
    <w:rPr>
      <w:sz w:val="24"/>
      <w:szCs w:val="24"/>
      <w:lang w:eastAsia="zh-CN"/>
    </w:rPr>
  </w:style>
  <w:style w:type="paragraph" w:styleId="11">
    <w:name w:val="Body Text First Indent 2"/>
    <w:basedOn w:val="7"/>
    <w:next w:val="1"/>
    <w:unhideWhenUsed/>
    <w:qFormat/>
    <w:uiPriority w:val="99"/>
    <w:pPr>
      <w:spacing w:after="0"/>
      <w:ind w:left="0" w:leftChars="0" w:firstLine="420" w:firstLineChars="200"/>
    </w:pPr>
    <w:rPr>
      <w:kern w:val="0"/>
    </w:rPr>
  </w:style>
  <w:style w:type="table" w:styleId="13">
    <w:name w:val="Table Grid"/>
    <w:basedOn w:val="12"/>
    <w:qFormat/>
    <w:uiPriority w:val="99"/>
    <w:pPr>
      <w:kinsoku w:val="0"/>
      <w:autoSpaceDE w:val="0"/>
      <w:autoSpaceDN w:val="0"/>
      <w:adjustRightInd w:val="0"/>
      <w:snapToGrid w:val="0"/>
      <w:textAlignment w:val="baseline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99"/>
    <w:rPr>
      <w:b/>
      <w:bCs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Heading 1 Char"/>
    <w:basedOn w:val="14"/>
    <w:link w:val="2"/>
    <w:qFormat/>
    <w:locked/>
    <w:uiPriority w:val="99"/>
    <w:rPr>
      <w:rFonts w:ascii="Arial" w:hAnsi="Arial" w:cs="Arial"/>
      <w:b/>
      <w:bCs/>
      <w:color w:val="000000"/>
      <w:kern w:val="44"/>
      <w:sz w:val="44"/>
      <w:szCs w:val="44"/>
      <w:lang w:eastAsia="en-US"/>
    </w:rPr>
  </w:style>
  <w:style w:type="character" w:customStyle="1" w:styleId="18">
    <w:name w:val="Body Text Char"/>
    <w:basedOn w:val="14"/>
    <w:link w:val="6"/>
    <w:semiHidden/>
    <w:qFormat/>
    <w:locked/>
    <w:uiPriority w:val="99"/>
    <w:rPr>
      <w:rFonts w:ascii="Arial" w:hAnsi="Arial" w:cs="Arial"/>
      <w:color w:val="000000"/>
      <w:kern w:val="0"/>
      <w:sz w:val="21"/>
      <w:szCs w:val="21"/>
      <w:lang w:eastAsia="en-US"/>
    </w:rPr>
  </w:style>
  <w:style w:type="character" w:customStyle="1" w:styleId="19">
    <w:name w:val="Footer Char"/>
    <w:basedOn w:val="14"/>
    <w:link w:val="8"/>
    <w:semiHidden/>
    <w:qFormat/>
    <w:locked/>
    <w:uiPriority w:val="99"/>
    <w:rPr>
      <w:rFonts w:ascii="Arial" w:hAnsi="Arial" w:cs="Arial"/>
      <w:color w:val="000000"/>
      <w:kern w:val="0"/>
      <w:sz w:val="18"/>
      <w:szCs w:val="18"/>
      <w:lang w:eastAsia="en-US"/>
    </w:rPr>
  </w:style>
  <w:style w:type="character" w:customStyle="1" w:styleId="20">
    <w:name w:val="Header Char"/>
    <w:basedOn w:val="14"/>
    <w:link w:val="9"/>
    <w:semiHidden/>
    <w:qFormat/>
    <w:locked/>
    <w:uiPriority w:val="99"/>
    <w:rPr>
      <w:rFonts w:ascii="Arial" w:hAnsi="Arial" w:cs="Arial"/>
      <w:color w:val="000000"/>
      <w:kern w:val="0"/>
      <w:sz w:val="18"/>
      <w:szCs w:val="18"/>
      <w:lang w:eastAsia="en-US"/>
    </w:rPr>
  </w:style>
  <w:style w:type="table" w:customStyle="1" w:styleId="21">
    <w:name w:val="Table Normal1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font71"/>
    <w:basedOn w:val="1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3">
    <w:name w:val="font01"/>
    <w:basedOn w:val="14"/>
    <w:qFormat/>
    <w:uiPriority w:val="0"/>
    <w:rPr>
      <w:rFonts w:ascii="Arial" w:hAnsi="Arial" w:cs="Arial"/>
      <w:color w:val="000000"/>
      <w:sz w:val="6"/>
      <w:szCs w:val="6"/>
      <w:u w:val="none"/>
    </w:rPr>
  </w:style>
  <w:style w:type="character" w:customStyle="1" w:styleId="24">
    <w:name w:val="font21"/>
    <w:basedOn w:val="14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  <w:style w:type="character" w:customStyle="1" w:styleId="25">
    <w:name w:val="font31"/>
    <w:basedOn w:val="14"/>
    <w:qFormat/>
    <w:uiPriority w:val="0"/>
    <w:rPr>
      <w:rFonts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4</Pages>
  <Words>1241</Words>
  <Characters>1319</Characters>
  <Lines>0</Lines>
  <Paragraphs>0</Paragraphs>
  <TotalTime>6</TotalTime>
  <ScaleCrop>false</ScaleCrop>
  <LinksUpToDate>false</LinksUpToDate>
  <CharactersWithSpaces>1319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2023-11-23T12:45:00Z</dcterms:created>
  <dc:creator>fjjsxxzx</dc:creator>
  <cp:lastModifiedBy>要你好看</cp:lastModifiedBy>
  <cp:lastPrinted>2026-01-09T01:33:38Z</cp:lastPrinted>
  <dcterms:modified xsi:type="dcterms:W3CDTF">2026-01-13T01:49:02Z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KSOProductBuildVer">
    <vt:lpwstr>2052-12.1.0.24034</vt:lpwstr>
  </property>
  <property fmtid="{D5CDD505-2E9C-101B-9397-08002B2CF9AE}" pid="4" name="ICV">
    <vt:lpwstr>51FC3EB9325E45CA82A5745E995828FD_13</vt:lpwstr>
  </property>
  <property fmtid="{D5CDD505-2E9C-101B-9397-08002B2CF9AE}" pid="5" name="KSOTemplateDocerSaveRecord">
    <vt:lpwstr>eyJoZGlkIjoiOGM5NTZjYTQwMTZlYjRkM2I3YWM2YjZhZjA1NjY1ODEiLCJ1c2VySWQiOiIzOTQyNzU4NzEifQ==</vt:lpwstr>
  </property>
</Properties>
</file>