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3764">
      <w:pPr>
        <w:keepNext w:val="0"/>
        <w:keepLines w:val="0"/>
        <w:pageBreakBefore w:val="0"/>
        <w:widowControl/>
        <w:kinsoku/>
        <w:wordWrap/>
        <w:overflowPunct/>
        <w:topLinePunct w:val="0"/>
        <w:bidi w:val="0"/>
        <w:adjustRightInd w:val="0"/>
        <w:snapToGrid w:val="0"/>
        <w:spacing w:line="570" w:lineRule="exact"/>
        <w:jc w:val="both"/>
        <w:rPr>
          <w:rFonts w:hint="eastAsia" w:ascii="Times New Roman" w:hAnsi="Times New Roman" w:cs="Times New Roman"/>
          <w:lang w:val="en-US" w:eastAsia="zh-CN"/>
        </w:rPr>
      </w:pPr>
    </w:p>
    <w:p w14:paraId="5D725F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732723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0ADBD7C2">
      <w:pPr>
        <w:pStyle w:val="2"/>
      </w:pPr>
    </w:p>
    <w:p w14:paraId="5634737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eastAsia="仿宋_GB2312"/>
          <w:sz w:val="32"/>
          <w:szCs w:val="32"/>
        </w:rPr>
      </w:pPr>
    </w:p>
    <w:p w14:paraId="2160FFB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cs="黑体"/>
          <w:sz w:val="32"/>
          <w:szCs w:val="32"/>
        </w:rPr>
      </w:pPr>
    </w:p>
    <w:p w14:paraId="32DA1200">
      <w:pPr>
        <w:spacing w:line="570" w:lineRule="exact"/>
        <w:jc w:val="center"/>
        <w:rPr>
          <w:rFonts w:hint="default" w:ascii="仿宋_GB2312" w:eastAsia="仿宋_GB2312"/>
          <w:sz w:val="32"/>
          <w:szCs w:val="32"/>
          <w:lang w:val="en-US"/>
        </w:rPr>
      </w:pPr>
      <w:r>
        <w:rPr>
          <w:rFonts w:hint="eastAsia" w:ascii="仿宋_GB2312" w:eastAsia="仿宋_GB2312"/>
          <w:sz w:val="32"/>
          <w:szCs w:val="32"/>
        </w:rPr>
        <w:t>德城管</w:t>
      </w:r>
      <w:r>
        <w:rPr>
          <w:rFonts w:hint="eastAsia" w:ascii="仿宋_GB2312" w:eastAsia="仿宋_GB2312"/>
          <w:sz w:val="32"/>
          <w:szCs w:val="32"/>
          <w:lang w:val="en-US" w:eastAsia="zh-CN"/>
        </w:rPr>
        <w:t>执法函</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93</w:t>
      </w:r>
      <w:bookmarkStart w:id="0" w:name="_GoBack"/>
      <w:bookmarkEnd w:id="0"/>
      <w:r>
        <w:rPr>
          <w:rFonts w:hint="eastAsia" w:ascii="仿宋_GB2312" w:eastAsia="仿宋_GB2312"/>
          <w:sz w:val="32"/>
          <w:szCs w:val="32"/>
          <w:lang w:val="en-US" w:eastAsia="zh-CN"/>
        </w:rPr>
        <w:t>号</w:t>
      </w:r>
    </w:p>
    <w:p w14:paraId="054E05DC">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hint="default" w:ascii="仿宋_GB2312" w:hAnsi="仿宋" w:eastAsia="仿宋_GB2312"/>
          <w:sz w:val="32"/>
          <w:szCs w:val="32"/>
          <w:lang w:val="en-US"/>
        </w:rPr>
      </w:pPr>
      <w:r>
        <w:rPr>
          <w:rFonts w:hint="eastAsia"/>
          <w:lang w:val="en-US" w:eastAsia="zh-CN"/>
        </w:rPr>
        <w:t xml:space="preserve">                                                   </w:t>
      </w:r>
      <w:r>
        <w:rPr>
          <w:rFonts w:hint="eastAsia" w:ascii="仿宋_GB2312" w:hAnsi="仿宋_GB2312" w:eastAsia="仿宋_GB2312" w:cs="仿宋_GB2312"/>
          <w:sz w:val="32"/>
          <w:szCs w:val="32"/>
        </w:rPr>
        <w:t>答复类型:</w:t>
      </w:r>
      <w:r>
        <w:rPr>
          <w:rFonts w:hint="eastAsia" w:ascii="仿宋_GB2312" w:hAnsi="仿宋_GB2312" w:eastAsia="仿宋_GB2312" w:cs="仿宋_GB2312"/>
          <w:sz w:val="32"/>
          <w:szCs w:val="32"/>
          <w:lang w:val="en-US" w:eastAsia="zh-CN"/>
        </w:rPr>
        <w:t>A</w:t>
      </w:r>
    </w:p>
    <w:p w14:paraId="7F34D4A6">
      <w:pPr>
        <w:keepNext w:val="0"/>
        <w:keepLines w:val="0"/>
        <w:pageBreakBefore w:val="0"/>
        <w:wordWrap/>
        <w:overflowPunct/>
        <w:topLinePunct w:val="0"/>
        <w:bidi w:val="0"/>
        <w:spacing w:line="600" w:lineRule="exact"/>
        <w:jc w:val="both"/>
        <w:rPr>
          <w:rFonts w:hint="eastAsia" w:ascii="宋体" w:hAnsi="宋体"/>
          <w:b/>
          <w:bCs/>
          <w:sz w:val="44"/>
          <w:szCs w:val="44"/>
        </w:rPr>
      </w:pPr>
    </w:p>
    <w:p w14:paraId="621E125C">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关于县政协十一届</w:t>
      </w:r>
      <w:r>
        <w:rPr>
          <w:rFonts w:hint="eastAsia" w:ascii="方正小标宋简体" w:hAnsi="宋体" w:eastAsia="方正小标宋简体"/>
          <w:sz w:val="44"/>
          <w:szCs w:val="44"/>
          <w:lang w:eastAsia="zh-CN"/>
        </w:rPr>
        <w:t>四</w:t>
      </w:r>
      <w:r>
        <w:rPr>
          <w:rFonts w:hint="eastAsia" w:ascii="方正小标宋简体" w:hAnsi="宋体" w:eastAsia="方正小标宋简体"/>
          <w:sz w:val="44"/>
          <w:szCs w:val="44"/>
        </w:rPr>
        <w:t>次会议第2</w:t>
      </w:r>
      <w:r>
        <w:rPr>
          <w:rFonts w:hint="eastAsia" w:ascii="方正小标宋简体" w:hAnsi="宋体" w:eastAsia="方正小标宋简体"/>
          <w:sz w:val="44"/>
          <w:szCs w:val="44"/>
          <w:lang w:val="en-US" w:eastAsia="zh-CN"/>
        </w:rPr>
        <w:t>5073</w:t>
      </w:r>
      <w:r>
        <w:rPr>
          <w:rFonts w:hint="eastAsia" w:ascii="方正小标宋简体" w:hAnsi="宋体" w:eastAsia="方正小标宋简体"/>
          <w:sz w:val="44"/>
          <w:szCs w:val="44"/>
        </w:rPr>
        <w:t>号</w:t>
      </w:r>
    </w:p>
    <w:p w14:paraId="66CCE42A">
      <w:pPr>
        <w:spacing w:line="560" w:lineRule="exact"/>
        <w:jc w:val="center"/>
        <w:rPr>
          <w:rFonts w:ascii="宋体" w:hAnsi="宋体"/>
          <w:b/>
          <w:sz w:val="39"/>
          <w:szCs w:val="39"/>
        </w:rPr>
      </w:pPr>
      <w:r>
        <w:rPr>
          <w:rFonts w:hint="eastAsia" w:ascii="方正小标宋简体" w:eastAsia="方正小标宋简体" w:cs="宋体"/>
          <w:color w:val="000000" w:themeColor="text1"/>
          <w:spacing w:val="-11"/>
          <w:kern w:val="0"/>
          <w:sz w:val="44"/>
          <w:szCs w:val="44"/>
          <w:lang w:val="zh-CN"/>
          <w14:textFill>
            <w14:solidFill>
              <w14:schemeClr w14:val="tx1"/>
            </w14:solidFill>
          </w14:textFill>
        </w:rPr>
        <w:t>提案</w:t>
      </w:r>
      <w:r>
        <w:rPr>
          <w:rFonts w:hint="eastAsia" w:ascii="方正小标宋简体" w:eastAsia="方正小标宋简体" w:cs="宋体"/>
          <w:color w:val="000000" w:themeColor="text1"/>
          <w:spacing w:val="-11"/>
          <w:kern w:val="0"/>
          <w:sz w:val="44"/>
          <w:szCs w:val="44"/>
          <w:lang w:val="en-US" w:eastAsia="zh-CN"/>
          <w14:textFill>
            <w14:solidFill>
              <w14:schemeClr w14:val="tx1"/>
            </w14:solidFill>
          </w14:textFill>
        </w:rPr>
        <w:t>办理情况答复的函</w:t>
      </w:r>
    </w:p>
    <w:p w14:paraId="4A9EAA33">
      <w:pPr>
        <w:spacing w:line="460" w:lineRule="exact"/>
        <w:jc w:val="center"/>
        <w:rPr>
          <w:rFonts w:ascii="宋体" w:hAnsi="宋体"/>
          <w:b/>
          <w:sz w:val="39"/>
          <w:szCs w:val="39"/>
        </w:rPr>
      </w:pPr>
    </w:p>
    <w:p w14:paraId="7BFB3206">
      <w:pPr>
        <w:keepNext w:val="0"/>
        <w:keepLines w:val="0"/>
        <w:pageBreakBefore w:val="0"/>
        <w:widowControl w:val="0"/>
        <w:kinsoku/>
        <w:wordWrap/>
        <w:overflowPunct/>
        <w:topLinePunct w:val="0"/>
        <w:autoSpaceDE/>
        <w:autoSpaceDN/>
        <w:bidi w:val="0"/>
        <w:adjustRightInd/>
        <w:snapToGrid/>
        <w:spacing w:line="55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郑声威委员</w:t>
      </w:r>
      <w:r>
        <w:rPr>
          <w:rFonts w:hint="eastAsia" w:ascii="仿宋_GB2312" w:hAnsi="Times New Roman" w:eastAsia="仿宋_GB2312" w:cs="Times New Roman"/>
          <w:sz w:val="32"/>
          <w:szCs w:val="32"/>
        </w:rPr>
        <w:t>：</w:t>
      </w:r>
    </w:p>
    <w:p w14:paraId="19480382">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您</w:t>
      </w:r>
      <w:r>
        <w:rPr>
          <w:rFonts w:hint="eastAsia" w:ascii="仿宋_GB2312" w:hAnsi="Times New Roman" w:eastAsia="仿宋_GB2312" w:cs="Times New Roman"/>
          <w:sz w:val="32"/>
          <w:szCs w:val="32"/>
        </w:rPr>
        <w:t>提出的《关于</w:t>
      </w:r>
      <w:r>
        <w:rPr>
          <w:rFonts w:hint="eastAsia" w:ascii="仿宋_GB2312" w:hAnsi="Times New Roman" w:eastAsia="仿宋_GB2312" w:cs="Times New Roman"/>
          <w:sz w:val="32"/>
          <w:szCs w:val="32"/>
          <w:lang w:eastAsia="zh-CN"/>
        </w:rPr>
        <w:t>加强共享单车管理</w:t>
      </w:r>
      <w:r>
        <w:rPr>
          <w:rFonts w:hint="eastAsia" w:ascii="仿宋_GB2312" w:hAnsi="Times New Roman" w:eastAsia="仿宋_GB2312" w:cs="Times New Roman"/>
          <w:sz w:val="32"/>
          <w:szCs w:val="32"/>
        </w:rPr>
        <w:t>的建议》收悉，现将办理情况答复如下：</w:t>
      </w:r>
    </w:p>
    <w:p w14:paraId="162E7E5E">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lang w:eastAsia="zh-CN"/>
        </w:rPr>
        <w:t>您的建议很好！</w:t>
      </w:r>
      <w:r>
        <w:rPr>
          <w:rFonts w:hint="eastAsia" w:ascii="Times New Roman" w:hAnsi="仿宋_GB2312" w:eastAsia="仿宋_GB2312" w:cs="Times New Roman"/>
          <w:sz w:val="32"/>
          <w:szCs w:val="32"/>
        </w:rPr>
        <w:t>“小淘出行”共享电单车项目是我县为民办实事的项目，是公共交通的有益补充，为广大市民群众提供便捷优惠的出行新方式。您的建议对提升</w:t>
      </w:r>
      <w:r>
        <w:rPr>
          <w:rFonts w:hint="eastAsia" w:ascii="Times New Roman" w:hAnsi="仿宋_GB2312" w:eastAsia="仿宋_GB2312" w:cs="Times New Roman"/>
          <w:sz w:val="32"/>
          <w:szCs w:val="32"/>
          <w:lang w:eastAsia="zh-CN"/>
        </w:rPr>
        <w:t>我县</w:t>
      </w:r>
      <w:r>
        <w:rPr>
          <w:rFonts w:hint="eastAsia" w:ascii="Times New Roman" w:hAnsi="仿宋_GB2312" w:eastAsia="仿宋_GB2312" w:cs="Times New Roman"/>
          <w:sz w:val="32"/>
          <w:szCs w:val="32"/>
        </w:rPr>
        <w:t>共享电单车的管理服务水平有着很大的积极作用。为此，我们着重做好以下工作：</w:t>
      </w:r>
    </w:p>
    <w:p w14:paraId="4E803A00">
      <w:pPr>
        <w:keepNext w:val="0"/>
        <w:keepLines w:val="0"/>
        <w:pageBreakBefore w:val="0"/>
        <w:wordWrap/>
        <w:overflowPunct/>
        <w:topLinePunct w:val="0"/>
        <w:bidi w:val="0"/>
        <w:spacing w:line="550" w:lineRule="exact"/>
        <w:ind w:firstLine="640" w:firstLineChars="200"/>
        <w:rPr>
          <w:rFonts w:hint="eastAsia" w:ascii="仿宋_GB2312" w:eastAsia="仿宋_GB2312" w:hAnsiTheme="minorEastAsia"/>
          <w:sz w:val="32"/>
          <w:szCs w:val="32"/>
          <w:lang w:eastAsia="zh-CN"/>
        </w:rPr>
      </w:pPr>
      <w:r>
        <w:rPr>
          <w:rFonts w:hint="eastAsia" w:ascii="黑体" w:hAnsi="黑体" w:eastAsia="黑体" w:cs="黑体"/>
          <w:b w:val="0"/>
          <w:bCs w:val="0"/>
          <w:sz w:val="32"/>
          <w:szCs w:val="32"/>
          <w:lang w:eastAsia="zh-CN"/>
        </w:rPr>
        <w:t>一、开展宣传引导工作。</w:t>
      </w:r>
      <w:r>
        <w:rPr>
          <w:rFonts w:hint="eastAsia" w:ascii="仿宋_GB2312" w:eastAsia="仿宋_GB2312" w:hAnsiTheme="minorEastAsia"/>
          <w:b/>
          <w:bCs/>
          <w:sz w:val="32"/>
          <w:szCs w:val="32"/>
          <w:lang w:eastAsia="zh-CN"/>
        </w:rPr>
        <w:t>一是</w:t>
      </w:r>
      <w:r>
        <w:rPr>
          <w:rFonts w:hint="eastAsia" w:ascii="仿宋_GB2312" w:eastAsia="仿宋_GB2312" w:hAnsiTheme="minorEastAsia"/>
          <w:b w:val="0"/>
          <w:bCs w:val="0"/>
          <w:sz w:val="32"/>
          <w:szCs w:val="32"/>
          <w:lang w:eastAsia="zh-CN"/>
        </w:rPr>
        <w:t>加强文明骑行宣传。广泛</w:t>
      </w:r>
      <w:r>
        <w:rPr>
          <w:rFonts w:hint="eastAsia" w:ascii="仿宋_GB2312" w:eastAsia="仿宋_GB2312" w:hAnsiTheme="minorEastAsia"/>
          <w:sz w:val="32"/>
          <w:szCs w:val="32"/>
          <w:lang w:eastAsia="zh-CN"/>
        </w:rPr>
        <w:t>发动社区网格员、创城志愿者等加强文明骑行的宣传力度，对租用人员不按规范使用和骑行共享电单车行为进行宣传教育；同时</w:t>
      </w:r>
      <w:r>
        <w:rPr>
          <w:rFonts w:hint="eastAsia" w:ascii="仿宋_GB2312" w:hAnsi="Times New Roman" w:eastAsia="仿宋_GB2312" w:cs="Times New Roman"/>
          <w:sz w:val="32"/>
          <w:szCs w:val="32"/>
          <w:lang w:eastAsia="zh-CN"/>
        </w:rPr>
        <w:t>通过网络媒体、</w:t>
      </w:r>
      <w:r>
        <w:rPr>
          <w:rFonts w:hint="eastAsia" w:ascii="仿宋_GB2312" w:hAnsi="Times New Roman" w:eastAsia="仿宋_GB2312" w:cs="Times New Roman"/>
          <w:sz w:val="32"/>
          <w:szCs w:val="32"/>
          <w:lang w:val="en-US" w:eastAsia="zh-CN"/>
        </w:rPr>
        <w:t>APP小程序</w:t>
      </w:r>
      <w:r>
        <w:rPr>
          <w:rFonts w:hint="eastAsia" w:ascii="仿宋_GB2312" w:hAnsi="Times New Roman" w:eastAsia="仿宋_GB2312" w:cs="Times New Roman"/>
          <w:sz w:val="32"/>
          <w:szCs w:val="32"/>
          <w:lang w:eastAsia="zh-CN"/>
        </w:rPr>
        <w:t>等多种渠道，广泛宣传共享电单车规范停放的重要性以及相关管理规定，提高市民的文明出行意识和规则意识</w:t>
      </w:r>
      <w:r>
        <w:rPr>
          <w:rFonts w:hint="eastAsia" w:ascii="仿宋_GB2312" w:eastAsia="仿宋_GB2312" w:hAnsiTheme="minorEastAsia"/>
          <w:sz w:val="32"/>
          <w:szCs w:val="32"/>
          <w:lang w:eastAsia="zh-CN"/>
        </w:rPr>
        <w:t>。</w:t>
      </w:r>
      <w:r>
        <w:rPr>
          <w:rFonts w:hint="eastAsia" w:ascii="仿宋_GB2312" w:eastAsia="仿宋_GB2312" w:hAnsiTheme="minorEastAsia"/>
          <w:b/>
          <w:bCs/>
          <w:sz w:val="32"/>
          <w:szCs w:val="32"/>
          <w:lang w:eastAsia="zh-CN"/>
        </w:rPr>
        <w:t>二是</w:t>
      </w:r>
      <w:r>
        <w:rPr>
          <w:rFonts w:hint="eastAsia" w:ascii="仿宋_GB2312" w:eastAsia="仿宋_GB2312" w:hAnsiTheme="minorEastAsia"/>
          <w:sz w:val="32"/>
          <w:szCs w:val="32"/>
          <w:lang w:eastAsia="zh-CN"/>
        </w:rPr>
        <w:t>引导合法合规骑行。配合交警部门结合校园</w:t>
      </w:r>
      <w:r>
        <w:rPr>
          <w:rFonts w:hint="eastAsia" w:ascii="仿宋_GB2312" w:eastAsia="仿宋_GB2312"/>
          <w:sz w:val="32"/>
          <w:szCs w:val="32"/>
        </w:rPr>
        <w:t>交通安全宣传活动，</w:t>
      </w:r>
      <w:r>
        <w:rPr>
          <w:rFonts w:hint="eastAsia" w:ascii="仿宋_GB2312" w:eastAsia="仿宋_GB2312"/>
          <w:sz w:val="32"/>
          <w:szCs w:val="32"/>
          <w:lang w:eastAsia="zh-CN"/>
        </w:rPr>
        <w:t>加大</w:t>
      </w:r>
      <w:r>
        <w:rPr>
          <w:rFonts w:hint="eastAsia" w:ascii="仿宋_GB2312" w:eastAsia="仿宋_GB2312"/>
          <w:sz w:val="32"/>
          <w:szCs w:val="32"/>
        </w:rPr>
        <w:t>共享</w:t>
      </w:r>
      <w:r>
        <w:rPr>
          <w:rFonts w:hint="eastAsia" w:ascii="仿宋_GB2312" w:eastAsia="仿宋_GB2312"/>
          <w:sz w:val="32"/>
          <w:szCs w:val="32"/>
          <w:lang w:eastAsia="zh-CN"/>
        </w:rPr>
        <w:t>电</w:t>
      </w:r>
      <w:r>
        <w:rPr>
          <w:rFonts w:hint="eastAsia" w:ascii="仿宋_GB2312" w:eastAsia="仿宋_GB2312"/>
          <w:sz w:val="32"/>
          <w:szCs w:val="32"/>
        </w:rPr>
        <w:t>单车交通安全宣传，禁止未满16周岁学生骑</w:t>
      </w:r>
      <w:r>
        <w:rPr>
          <w:rFonts w:hint="eastAsia" w:ascii="仿宋_GB2312" w:eastAsia="仿宋_GB2312"/>
          <w:sz w:val="32"/>
          <w:szCs w:val="32"/>
          <w:lang w:eastAsia="zh-CN"/>
        </w:rPr>
        <w:t>共享</w:t>
      </w:r>
      <w:r>
        <w:rPr>
          <w:rFonts w:hint="eastAsia" w:ascii="仿宋_GB2312" w:eastAsia="仿宋_GB2312"/>
          <w:sz w:val="32"/>
          <w:szCs w:val="32"/>
        </w:rPr>
        <w:t>电</w:t>
      </w:r>
      <w:r>
        <w:rPr>
          <w:rFonts w:hint="eastAsia" w:ascii="仿宋_GB2312" w:eastAsia="仿宋_GB2312"/>
          <w:sz w:val="32"/>
          <w:szCs w:val="32"/>
          <w:lang w:eastAsia="zh-CN"/>
        </w:rPr>
        <w:t>单</w:t>
      </w:r>
      <w:r>
        <w:rPr>
          <w:rFonts w:hint="eastAsia" w:ascii="仿宋_GB2312" w:eastAsia="仿宋_GB2312"/>
          <w:sz w:val="32"/>
          <w:szCs w:val="32"/>
        </w:rPr>
        <w:t>车</w:t>
      </w:r>
      <w:r>
        <w:rPr>
          <w:rFonts w:hint="eastAsia" w:ascii="仿宋_GB2312" w:eastAsia="仿宋_GB2312"/>
          <w:sz w:val="32"/>
          <w:szCs w:val="32"/>
          <w:lang w:eastAsia="zh-CN"/>
        </w:rPr>
        <w:t>，并通过一些</w:t>
      </w:r>
      <w:r>
        <w:rPr>
          <w:rFonts w:ascii="仿宋_GB2312" w:eastAsia="仿宋_GB2312"/>
          <w:sz w:val="32"/>
          <w:szCs w:val="32"/>
        </w:rPr>
        <w:t>典型交通违法案例</w:t>
      </w:r>
      <w:r>
        <w:rPr>
          <w:rFonts w:hint="eastAsia" w:ascii="仿宋_GB2312" w:eastAsia="仿宋_GB2312"/>
          <w:sz w:val="32"/>
          <w:szCs w:val="32"/>
          <w:lang w:eastAsia="zh-CN"/>
        </w:rPr>
        <w:t>进行</w:t>
      </w:r>
      <w:r>
        <w:rPr>
          <w:rFonts w:ascii="仿宋_GB2312" w:eastAsia="仿宋_GB2312"/>
          <w:sz w:val="32"/>
          <w:szCs w:val="32"/>
        </w:rPr>
        <w:t>警示</w:t>
      </w:r>
      <w:r>
        <w:rPr>
          <w:rFonts w:hint="eastAsia" w:ascii="仿宋_GB2312" w:eastAsia="仿宋_GB2312"/>
          <w:sz w:val="32"/>
          <w:szCs w:val="32"/>
          <w:lang w:eastAsia="zh-CN"/>
        </w:rPr>
        <w:t>教育</w:t>
      </w:r>
      <w:r>
        <w:rPr>
          <w:rFonts w:ascii="仿宋_GB2312" w:eastAsia="仿宋_GB2312"/>
          <w:sz w:val="32"/>
          <w:szCs w:val="32"/>
        </w:rPr>
        <w:t>，鼓励民众积极举报</w:t>
      </w:r>
      <w:r>
        <w:rPr>
          <w:rFonts w:hint="eastAsia" w:ascii="仿宋_GB2312" w:eastAsia="仿宋_GB2312"/>
          <w:sz w:val="32"/>
          <w:szCs w:val="32"/>
        </w:rPr>
        <w:t>共享</w:t>
      </w:r>
      <w:r>
        <w:rPr>
          <w:rFonts w:hint="eastAsia" w:ascii="仿宋_GB2312" w:eastAsia="仿宋_GB2312"/>
          <w:sz w:val="32"/>
          <w:szCs w:val="32"/>
          <w:lang w:eastAsia="zh-CN"/>
        </w:rPr>
        <w:t>电</w:t>
      </w:r>
      <w:r>
        <w:rPr>
          <w:rFonts w:hint="eastAsia" w:ascii="仿宋_GB2312" w:eastAsia="仿宋_GB2312"/>
          <w:sz w:val="32"/>
          <w:szCs w:val="32"/>
        </w:rPr>
        <w:t>单车</w:t>
      </w:r>
      <w:r>
        <w:rPr>
          <w:rFonts w:ascii="仿宋_GB2312" w:eastAsia="仿宋_GB2312"/>
          <w:sz w:val="32"/>
          <w:szCs w:val="32"/>
        </w:rPr>
        <w:t>的交通违法行</w:t>
      </w:r>
      <w:r>
        <w:rPr>
          <w:rFonts w:hint="eastAsia" w:ascii="仿宋_GB2312" w:eastAsia="仿宋_GB2312"/>
          <w:sz w:val="32"/>
          <w:szCs w:val="32"/>
        </w:rPr>
        <w:t>为</w:t>
      </w:r>
      <w:r>
        <w:rPr>
          <w:rFonts w:hint="eastAsia" w:ascii="仿宋_GB2312" w:eastAsia="仿宋_GB2312"/>
          <w:sz w:val="32"/>
          <w:szCs w:val="32"/>
          <w:lang w:eastAsia="zh-CN"/>
        </w:rPr>
        <w:t>，对发现</w:t>
      </w:r>
      <w:r>
        <w:rPr>
          <w:rFonts w:hint="eastAsia" w:ascii="仿宋_GB2312" w:eastAsia="仿宋_GB2312"/>
          <w:sz w:val="32"/>
          <w:szCs w:val="32"/>
        </w:rPr>
        <w:t>闯红灯</w:t>
      </w:r>
      <w:r>
        <w:rPr>
          <w:rFonts w:hint="eastAsia" w:ascii="仿宋_GB2312" w:eastAsia="仿宋_GB2312"/>
          <w:sz w:val="32"/>
          <w:szCs w:val="32"/>
          <w:lang w:eastAsia="zh-CN"/>
        </w:rPr>
        <w:t>、冒用家长或他人账号、故意停放在机动车道</w:t>
      </w:r>
      <w:r>
        <w:rPr>
          <w:rFonts w:hint="eastAsia" w:ascii="仿宋_GB2312" w:eastAsia="仿宋_GB2312"/>
          <w:sz w:val="32"/>
          <w:szCs w:val="32"/>
        </w:rPr>
        <w:t>等交通违法行为</w:t>
      </w:r>
      <w:r>
        <w:rPr>
          <w:rFonts w:hint="eastAsia" w:ascii="仿宋_GB2312" w:eastAsia="仿宋_GB2312"/>
          <w:sz w:val="32"/>
          <w:szCs w:val="32"/>
          <w:lang w:eastAsia="zh-CN"/>
        </w:rPr>
        <w:t>纳入</w:t>
      </w:r>
      <w:r>
        <w:rPr>
          <w:rFonts w:hint="eastAsia" w:ascii="仿宋_GB2312" w:eastAsia="仿宋_GB2312"/>
          <w:color w:val="000000"/>
          <w:kern w:val="0"/>
          <w:sz w:val="32"/>
          <w:szCs w:val="32"/>
          <w:lang w:eastAsia="zh-CN"/>
        </w:rPr>
        <w:t>黑名单限制使用共享电单车</w:t>
      </w:r>
      <w:r>
        <w:rPr>
          <w:rFonts w:hint="eastAsia" w:ascii="仿宋_GB2312" w:eastAsia="仿宋_GB2312"/>
          <w:color w:val="000000"/>
          <w:kern w:val="0"/>
          <w:sz w:val="32"/>
          <w:szCs w:val="32"/>
        </w:rPr>
        <w:t>。</w:t>
      </w:r>
      <w:r>
        <w:rPr>
          <w:rFonts w:hint="eastAsia" w:ascii="仿宋_GB2312" w:hAnsi="宋体" w:eastAsia="仿宋_GB2312"/>
          <w:color w:val="000000"/>
          <w:sz w:val="32"/>
          <w:szCs w:val="32"/>
        </w:rPr>
        <w:t>今年以来，</w:t>
      </w:r>
      <w:r>
        <w:rPr>
          <w:rFonts w:hint="eastAsia" w:ascii="仿宋_GB2312" w:eastAsia="仿宋_GB2312"/>
          <w:color w:val="000000"/>
          <w:sz w:val="32"/>
          <w:szCs w:val="32"/>
        </w:rPr>
        <w:t>共开展</w:t>
      </w:r>
      <w:r>
        <w:rPr>
          <w:rFonts w:hint="eastAsia" w:ascii="仿宋_GB2312" w:eastAsia="仿宋_GB2312"/>
          <w:color w:val="000000"/>
          <w:sz w:val="32"/>
          <w:szCs w:val="32"/>
          <w:lang w:eastAsia="zh-CN"/>
        </w:rPr>
        <w:t>涉及共享电单车</w:t>
      </w:r>
      <w:r>
        <w:rPr>
          <w:rFonts w:hint="eastAsia" w:ascii="仿宋_GB2312" w:eastAsia="仿宋_GB2312"/>
          <w:color w:val="000000"/>
          <w:sz w:val="32"/>
          <w:szCs w:val="32"/>
        </w:rPr>
        <w:t>交通安全宣传25场次。</w:t>
      </w:r>
    </w:p>
    <w:p w14:paraId="67BA58BF">
      <w:pPr>
        <w:keepNext w:val="0"/>
        <w:keepLines w:val="0"/>
        <w:pageBreakBefore w:val="0"/>
        <w:wordWrap/>
        <w:overflowPunct/>
        <w:topLinePunct w:val="0"/>
        <w:bidi w:val="0"/>
        <w:spacing w:line="550" w:lineRule="exact"/>
        <w:rPr>
          <w:rFonts w:hint="eastAsia" w:ascii="仿宋_GB2312" w:eastAsia="仿宋_GB2312"/>
          <w:sz w:val="32"/>
          <w:szCs w:val="32"/>
          <w:lang w:eastAsia="zh-CN"/>
        </w:rPr>
      </w:pPr>
      <w:r>
        <w:rPr>
          <w:rFonts w:hint="eastAsia" w:ascii="仿宋_GB2312" w:eastAsia="仿宋_GB2312"/>
          <w:b/>
          <w:bCs/>
          <w:color w:val="000000"/>
          <w:sz w:val="32"/>
          <w:szCs w:val="32"/>
          <w:lang w:eastAsia="zh-CN"/>
        </w:rPr>
        <w:t>　　</w:t>
      </w:r>
      <w:r>
        <w:rPr>
          <w:rFonts w:hint="eastAsia" w:ascii="黑体" w:hAnsi="黑体" w:eastAsia="黑体" w:cs="黑体"/>
          <w:b w:val="0"/>
          <w:bCs w:val="0"/>
          <w:color w:val="000000"/>
          <w:sz w:val="32"/>
          <w:szCs w:val="32"/>
          <w:lang w:eastAsia="zh-CN"/>
        </w:rPr>
        <w:t>二、加大执法监管力度。</w:t>
      </w:r>
      <w:r>
        <w:rPr>
          <w:rFonts w:hint="eastAsia" w:ascii="仿宋_GB2312" w:eastAsia="仿宋_GB2312"/>
          <w:b/>
          <w:bCs/>
          <w:color w:val="000000"/>
          <w:sz w:val="32"/>
          <w:szCs w:val="32"/>
          <w:lang w:eastAsia="zh-CN"/>
        </w:rPr>
        <w:t>一是</w:t>
      </w:r>
      <w:r>
        <w:rPr>
          <w:rFonts w:hint="eastAsia" w:ascii="仿宋_GB2312" w:eastAsia="仿宋_GB2312"/>
          <w:b w:val="0"/>
          <w:bCs w:val="0"/>
          <w:color w:val="000000"/>
          <w:sz w:val="32"/>
          <w:szCs w:val="32"/>
          <w:lang w:eastAsia="zh-CN"/>
        </w:rPr>
        <w:t>加大查违力度。</w:t>
      </w:r>
      <w:r>
        <w:rPr>
          <w:rFonts w:hint="eastAsia" w:ascii="仿宋_GB2312" w:eastAsia="仿宋_GB2312"/>
          <w:color w:val="000000"/>
          <w:sz w:val="32"/>
          <w:szCs w:val="32"/>
          <w:lang w:eastAsia="zh-CN"/>
        </w:rPr>
        <w:t>我局执法大队成立共享电单车违停整治小组，加强与公安交警等部门的协作，建立协同护安机制，增加对乱停车的联合执法检查频率，查处</w:t>
      </w:r>
      <w:r>
        <w:rPr>
          <w:rFonts w:hint="eastAsia" w:ascii="仿宋_GB2312" w:hAnsi="仿宋_GB2312" w:eastAsia="仿宋_GB2312" w:cs="仿宋_GB2312"/>
          <w:sz w:val="32"/>
          <w:szCs w:val="32"/>
        </w:rPr>
        <w:t>乱停乱放车</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闯红灯、逆行、违法载人等违法骑行行为</w:t>
      </w:r>
      <w:r>
        <w:rPr>
          <w:rFonts w:hint="eastAsia" w:ascii="仿宋_GB2312" w:hAnsi="仿宋_GB2312" w:eastAsia="仿宋_GB2312" w:cs="仿宋_GB2312"/>
          <w:sz w:val="32"/>
          <w:szCs w:val="32"/>
          <w:lang w:eastAsia="zh-CN"/>
        </w:rPr>
        <w:t>。</w:t>
      </w:r>
      <w:r>
        <w:rPr>
          <w:rFonts w:hint="eastAsia" w:ascii="仿宋_GB2312" w:eastAsia="仿宋_GB2312"/>
          <w:b/>
          <w:bCs/>
          <w:color w:val="000000"/>
          <w:sz w:val="32"/>
          <w:szCs w:val="32"/>
          <w:lang w:eastAsia="zh-CN"/>
        </w:rPr>
        <w:t>二是</w:t>
      </w:r>
      <w:r>
        <w:rPr>
          <w:rFonts w:hint="eastAsia" w:ascii="仿宋_GB2312" w:eastAsia="仿宋_GB2312"/>
          <w:b w:val="0"/>
          <w:bCs w:val="0"/>
          <w:color w:val="000000"/>
          <w:sz w:val="32"/>
          <w:szCs w:val="32"/>
          <w:lang w:eastAsia="zh-CN"/>
        </w:rPr>
        <w:t>加大调度力度。加强对停车点位的巡查，及时</w:t>
      </w:r>
      <w:r>
        <w:rPr>
          <w:rFonts w:hint="eastAsia" w:ascii="仿宋_GB2312" w:eastAsia="仿宋_GB2312"/>
          <w:color w:val="000000"/>
          <w:sz w:val="32"/>
          <w:szCs w:val="32"/>
          <w:lang w:eastAsia="zh-CN"/>
        </w:rPr>
        <w:t>通知并督促运营企业调度满桩车辆和规整无序停放车辆。</w:t>
      </w:r>
      <w:r>
        <w:rPr>
          <w:rFonts w:hint="eastAsia" w:ascii="仿宋_GB2312" w:eastAsia="仿宋_GB2312"/>
          <w:b/>
          <w:bCs/>
          <w:color w:val="000000"/>
          <w:sz w:val="32"/>
          <w:szCs w:val="32"/>
          <w:lang w:eastAsia="zh-CN"/>
        </w:rPr>
        <w:t>三是</w:t>
      </w:r>
      <w:r>
        <w:rPr>
          <w:rFonts w:hint="eastAsia" w:ascii="仿宋_GB2312" w:eastAsia="仿宋_GB2312"/>
          <w:color w:val="000000"/>
          <w:sz w:val="32"/>
          <w:szCs w:val="32"/>
          <w:lang w:eastAsia="zh-CN"/>
        </w:rPr>
        <w:t>违规“黑名单”惩戒。对故意损坏车辆、故意弃车、违停等影响通行行为，纳入“黑名单”进行惩戒，</w:t>
      </w:r>
      <w:r>
        <w:rPr>
          <w:rFonts w:hint="eastAsia" w:ascii="仿宋_GB2312" w:hAnsi="仿宋_GB2312" w:eastAsia="仿宋_GB2312" w:cs="仿宋_GB2312"/>
          <w:sz w:val="32"/>
          <w:szCs w:val="32"/>
        </w:rPr>
        <w:t>限制违规骑行者的使用次数</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lang w:eastAsia="zh-CN"/>
        </w:rPr>
        <w:t>今年来，运营企业共规范摆放共享电单车2000多辆次，调度清运40000多辆次；县城管执法局通知运营企业及时清理无序停放共享电单车75次，依法处罚运营企业未及时清理无序停放共享电单车案件2起；县公安局交警部门</w:t>
      </w:r>
      <w:r>
        <w:rPr>
          <w:rFonts w:hint="eastAsia" w:ascii="仿宋_GB2312" w:eastAsia="仿宋_GB2312"/>
          <w:sz w:val="32"/>
          <w:szCs w:val="32"/>
        </w:rPr>
        <w:t>共清理违规停放的共享</w:t>
      </w:r>
      <w:r>
        <w:rPr>
          <w:rFonts w:hint="eastAsia" w:ascii="仿宋_GB2312" w:eastAsia="仿宋_GB2312"/>
          <w:sz w:val="32"/>
          <w:szCs w:val="32"/>
          <w:lang w:eastAsia="zh-CN"/>
        </w:rPr>
        <w:t>电</w:t>
      </w:r>
      <w:r>
        <w:rPr>
          <w:rFonts w:hint="eastAsia" w:ascii="仿宋_GB2312" w:eastAsia="仿宋_GB2312"/>
          <w:sz w:val="32"/>
          <w:szCs w:val="32"/>
        </w:rPr>
        <w:t>单车86辆次</w:t>
      </w:r>
      <w:r>
        <w:rPr>
          <w:rFonts w:hint="eastAsia" w:ascii="仿宋_GB2312" w:eastAsia="仿宋_GB2312"/>
          <w:sz w:val="32"/>
          <w:szCs w:val="32"/>
          <w:lang w:eastAsia="zh-CN"/>
        </w:rPr>
        <w:t>，</w:t>
      </w:r>
      <w:r>
        <w:rPr>
          <w:rFonts w:hint="eastAsia" w:ascii="仿宋_GB2312" w:eastAsia="仿宋_GB2312"/>
          <w:color w:val="000000"/>
          <w:sz w:val="32"/>
          <w:szCs w:val="32"/>
          <w:lang w:eastAsia="zh-CN"/>
        </w:rPr>
        <w:t>查处涉及共享电单车的交通违法行为165起，有效规范了共享电单车的骑行秩序；运营企业</w:t>
      </w:r>
      <w:r>
        <w:rPr>
          <w:rFonts w:hint="eastAsia" w:ascii="仿宋_GB2312" w:hAnsi="仿宋_GB2312" w:eastAsia="仿宋_GB2312" w:cs="仿宋_GB2312"/>
          <w:b w:val="0"/>
          <w:bCs w:val="0"/>
          <w:sz w:val="32"/>
          <w:szCs w:val="32"/>
          <w:lang w:eastAsia="zh-CN"/>
        </w:rPr>
        <w:t>对故意乱停乱放的</w:t>
      </w:r>
      <w:r>
        <w:rPr>
          <w:rFonts w:hint="eastAsia" w:ascii="仿宋_GB2312" w:hAnsi="仿宋_GB2312" w:eastAsia="仿宋_GB2312" w:cs="仿宋_GB2312"/>
          <w:b w:val="0"/>
          <w:bCs w:val="0"/>
          <w:sz w:val="32"/>
          <w:szCs w:val="32"/>
          <w:lang w:val="en-US" w:eastAsia="zh-CN"/>
        </w:rPr>
        <w:t>21名用户</w:t>
      </w:r>
      <w:r>
        <w:rPr>
          <w:rFonts w:hint="eastAsia" w:ascii="仿宋_GB2312" w:hAnsi="仿宋_GB2312" w:eastAsia="仿宋_GB2312" w:cs="仿宋_GB2312"/>
          <w:b w:val="0"/>
          <w:bCs w:val="0"/>
          <w:sz w:val="32"/>
          <w:szCs w:val="32"/>
          <w:lang w:eastAsia="zh-CN"/>
        </w:rPr>
        <w:t>视违停程度将其纳入限制骑行名单1至3个月</w:t>
      </w:r>
      <w:r>
        <w:rPr>
          <w:rFonts w:hint="eastAsia" w:ascii="仿宋_GB2312" w:eastAsia="仿宋_GB2312"/>
          <w:color w:val="000000"/>
          <w:sz w:val="32"/>
          <w:szCs w:val="32"/>
          <w:lang w:eastAsia="zh-CN"/>
        </w:rPr>
        <w:t>。</w:t>
      </w:r>
      <w:r>
        <w:rPr>
          <w:rFonts w:hint="eastAsia" w:ascii="仿宋_GB2312" w:eastAsia="仿宋_GB2312"/>
          <w:sz w:val="32"/>
          <w:szCs w:val="32"/>
          <w:lang w:eastAsia="zh-CN"/>
        </w:rPr>
        <w:t>通过阶段性的整治，共享电单车无序停放，影响市容市貌的现象得到明显改观。</w:t>
      </w:r>
    </w:p>
    <w:p w14:paraId="733D71B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olor w:val="000000"/>
          <w:sz w:val="32"/>
          <w:szCs w:val="32"/>
          <w:lang w:eastAsia="zh-CN"/>
        </w:rPr>
      </w:pPr>
      <w:r>
        <w:rPr>
          <w:rFonts w:hint="eastAsia" w:ascii="黑体" w:hAnsi="黑体" w:eastAsia="黑体" w:cs="黑体"/>
          <w:b w:val="0"/>
          <w:bCs w:val="0"/>
          <w:sz w:val="32"/>
          <w:szCs w:val="32"/>
          <w:lang w:val="en-US" w:eastAsia="zh-CN"/>
        </w:rPr>
        <w:t>三、提升智慧监管水平。</w:t>
      </w:r>
      <w:r>
        <w:rPr>
          <w:rFonts w:hint="eastAsia" w:ascii="仿宋_GB2312" w:hAnsi="仿宋_GB2312" w:eastAsia="仿宋_GB2312" w:cs="仿宋_GB2312"/>
          <w:b w:val="0"/>
          <w:bCs w:val="0"/>
          <w:sz w:val="32"/>
          <w:szCs w:val="32"/>
          <w:lang w:val="en-US" w:eastAsia="zh-CN"/>
        </w:rPr>
        <w:t>督促</w:t>
      </w:r>
      <w:r>
        <w:rPr>
          <w:rFonts w:hint="eastAsia" w:ascii="仿宋_GB2312" w:hAnsi="仿宋_GB2312" w:eastAsia="仿宋_GB2312" w:cs="仿宋_GB2312"/>
          <w:b w:val="0"/>
          <w:bCs w:val="0"/>
          <w:color w:val="auto"/>
          <w:sz w:val="32"/>
          <w:szCs w:val="32"/>
          <w:lang w:val="en-US" w:eastAsia="zh-CN"/>
        </w:rPr>
        <w:t>企业建立和完善共享电单车管理网络平台，线下、线上管理协调统一。通过</w:t>
      </w:r>
      <w:r>
        <w:rPr>
          <w:rFonts w:hint="eastAsia" w:ascii="仿宋_GB2312" w:hAnsi="仿宋_GB2312" w:eastAsia="仿宋_GB2312" w:cs="仿宋_GB2312"/>
          <w:b w:val="0"/>
          <w:bCs w:val="0"/>
          <w:sz w:val="32"/>
          <w:szCs w:val="32"/>
          <w:lang w:val="en-US" w:eastAsia="zh-CN"/>
        </w:rPr>
        <w:t>平台系统智能化技术和大数据分析，</w:t>
      </w:r>
      <w:r>
        <w:rPr>
          <w:rFonts w:hint="eastAsia" w:ascii="仿宋_GB2312" w:hAnsi="仿宋_GB2312" w:eastAsia="仿宋_GB2312" w:cs="仿宋_GB2312"/>
          <w:color w:val="auto"/>
          <w:sz w:val="32"/>
          <w:szCs w:val="32"/>
          <w:lang w:val="en-US" w:eastAsia="zh-CN"/>
        </w:rPr>
        <w:t>实时获取单车的位置信息，及时发现和处理乱停车、损坏车辆等问题，目前我县投放使用的共享电单车都</w:t>
      </w:r>
      <w:r>
        <w:rPr>
          <w:rFonts w:hint="eastAsia" w:ascii="仿宋_GB2312" w:hAnsi="仿宋_GB2312" w:eastAsia="仿宋_GB2312" w:cs="仿宋_GB2312"/>
          <w:sz w:val="32"/>
          <w:szCs w:val="32"/>
          <w:lang w:val="en-US" w:eastAsia="zh-CN"/>
        </w:rPr>
        <w:t>安装了卫星定位装置</w:t>
      </w:r>
      <w:r>
        <w:rPr>
          <w:rFonts w:hint="eastAsia" w:ascii="仿宋_GB2312" w:hAnsi="仿宋_GB2312" w:eastAsia="仿宋_GB2312" w:cs="仿宋_GB2312"/>
          <w:color w:val="auto"/>
          <w:sz w:val="32"/>
          <w:szCs w:val="32"/>
          <w:lang w:val="en-US" w:eastAsia="zh-CN"/>
        </w:rPr>
        <w:t>。通过平台监管并结合我县上下班、上下学等车流人流高峰时段，实时数据分析各个路段骑行的使用频次，联合公安交警部门指导督促运营企业及时调整调度，保证高峰节点、冷门路段有车可骑，提高共享电单车的利用率，并着手考虑将企业平台有关共享电单车数据接入德化县智慧城市社会治理一网统管平台，纳入智慧城市社会治理范畴。同时，</w:t>
      </w:r>
      <w:r>
        <w:rPr>
          <w:rFonts w:hint="eastAsia" w:ascii="仿宋_GB2312" w:eastAsia="仿宋_GB2312"/>
          <w:color w:val="000000"/>
          <w:sz w:val="32"/>
          <w:szCs w:val="32"/>
          <w:lang w:eastAsia="zh-CN"/>
        </w:rPr>
        <w:t>结合人口密度、出行热点区域，重新规划站点布局，</w:t>
      </w:r>
      <w:r>
        <w:rPr>
          <w:rFonts w:hint="eastAsia" w:ascii="仿宋_GB2312" w:hAnsi="仿宋_GB2312" w:eastAsia="仿宋_GB2312" w:cs="仿宋_GB2312"/>
          <w:b w:val="0"/>
          <w:bCs w:val="0"/>
          <w:sz w:val="32"/>
          <w:szCs w:val="32"/>
          <w:lang w:eastAsia="zh-CN"/>
        </w:rPr>
        <w:t>不断优化根据运行实际和市民群众需求新增或移除还车点位。今年来共优化增补停放点位20个（车桩120个），并在不影响文明城市建设的前提下，增设停放点位标牌180个，</w:t>
      </w:r>
      <w:r>
        <w:rPr>
          <w:rFonts w:hint="eastAsia" w:ascii="仿宋_GB2312" w:hAnsi="仿宋_GB2312" w:eastAsia="仿宋_GB2312" w:cs="仿宋_GB2312"/>
          <w:sz w:val="32"/>
          <w:szCs w:val="32"/>
          <w:lang w:val="en-US" w:eastAsia="zh-CN"/>
        </w:rPr>
        <w:t>引导用户有序规范停放。</w:t>
      </w:r>
    </w:p>
    <w:p w14:paraId="2A8F75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衷心感谢您对我县城市管理工作的关心和支持！希望在今后的工作中多提宝贵意见！</w:t>
      </w:r>
    </w:p>
    <w:p w14:paraId="2AA9B05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olor w:val="000000"/>
          <w:sz w:val="32"/>
          <w:szCs w:val="32"/>
        </w:rPr>
      </w:pPr>
    </w:p>
    <w:p w14:paraId="2A23DE0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分管领导：</w:t>
      </w:r>
      <w:r>
        <w:rPr>
          <w:rFonts w:hint="eastAsia" w:ascii="仿宋_GB2312" w:eastAsia="仿宋_GB2312"/>
          <w:color w:val="000000"/>
          <w:sz w:val="32"/>
          <w:szCs w:val="32"/>
          <w:lang w:eastAsia="zh-CN"/>
        </w:rPr>
        <w:t>郑永峰</w:t>
      </w:r>
      <w:r>
        <w:rPr>
          <w:rFonts w:hint="eastAsia" w:ascii="仿宋_GB2312" w:eastAsia="仿宋_GB2312"/>
          <w:color w:val="000000"/>
          <w:sz w:val="32"/>
          <w:szCs w:val="32"/>
          <w:lang w:val="en-US" w:eastAsia="zh-CN"/>
        </w:rPr>
        <w:t xml:space="preserve">        </w:t>
      </w:r>
    </w:p>
    <w:p w14:paraId="4709797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经办人员：</w:t>
      </w:r>
      <w:r>
        <w:rPr>
          <w:rFonts w:hint="eastAsia" w:ascii="仿宋_GB2312" w:eastAsia="仿宋_GB2312"/>
          <w:color w:val="000000"/>
          <w:sz w:val="32"/>
          <w:szCs w:val="32"/>
          <w:lang w:eastAsia="zh-CN"/>
        </w:rPr>
        <w:t>梁振林</w:t>
      </w:r>
      <w:r>
        <w:rPr>
          <w:rFonts w:hint="eastAsia" w:ascii="仿宋_GB2312" w:eastAsia="仿宋_GB2312"/>
          <w:color w:val="000000"/>
          <w:sz w:val="32"/>
          <w:szCs w:val="32"/>
          <w:lang w:val="en-US" w:eastAsia="zh-CN"/>
        </w:rPr>
        <w:t xml:space="preserve">        </w:t>
      </w:r>
    </w:p>
    <w:p w14:paraId="43AF086C">
      <w:pPr>
        <w:keepNext w:val="0"/>
        <w:keepLines w:val="0"/>
        <w:pageBreakBefore w:val="0"/>
        <w:widowControl/>
        <w:kinsoku w:val="0"/>
        <w:wordWrap/>
        <w:overflowPunct/>
        <w:topLinePunct w:val="0"/>
        <w:autoSpaceDE w:val="0"/>
        <w:autoSpaceDN w:val="0"/>
        <w:bidi w:val="0"/>
        <w:adjustRightInd w:val="0"/>
        <w:snapToGrid w:val="0"/>
        <w:spacing w:line="55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rPr>
        <w:t>联系电话：235</w:t>
      </w:r>
      <w:r>
        <w:rPr>
          <w:rFonts w:hint="eastAsia" w:ascii="仿宋_GB2312" w:eastAsia="仿宋_GB2312"/>
          <w:color w:val="000000"/>
          <w:sz w:val="32"/>
          <w:szCs w:val="32"/>
          <w:lang w:val="en-US" w:eastAsia="zh-CN"/>
        </w:rPr>
        <w:t>11608</w:t>
      </w:r>
    </w:p>
    <w:p w14:paraId="345BF5C4">
      <w:pPr>
        <w:keepNext w:val="0"/>
        <w:keepLines w:val="0"/>
        <w:pageBreakBefore w:val="0"/>
        <w:wordWrap/>
        <w:overflowPunct/>
        <w:topLinePunct w:val="0"/>
        <w:bidi w:val="0"/>
        <w:spacing w:line="570" w:lineRule="exact"/>
        <w:rPr>
          <w:rFonts w:ascii="Times New Roman" w:hAnsi="Times New Roman" w:cs="Times New Roman"/>
          <w:lang w:eastAsia="zh-CN"/>
        </w:rPr>
      </w:pPr>
    </w:p>
    <w:p w14:paraId="279F85DE">
      <w:pPr>
        <w:keepNext w:val="0"/>
        <w:keepLines w:val="0"/>
        <w:pageBreakBefore w:val="0"/>
        <w:wordWrap/>
        <w:overflowPunct/>
        <w:topLinePunct w:val="0"/>
        <w:bidi w:val="0"/>
        <w:spacing w:line="57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14:paraId="789701C7">
      <w:pPr>
        <w:keepNext w:val="0"/>
        <w:keepLines w:val="0"/>
        <w:pageBreakBefore w:val="0"/>
        <w:wordWrap/>
        <w:overflowPunct/>
        <w:topLinePunct w:val="0"/>
        <w:bidi w:val="0"/>
        <w:spacing w:line="570" w:lineRule="exact"/>
        <w:rPr>
          <w:rFonts w:ascii="Times New Roman" w:hAnsi="Times New Roman" w:cs="Times New Roman"/>
          <w:lang w:eastAsia="zh-CN"/>
        </w:rPr>
      </w:pPr>
    </w:p>
    <w:p w14:paraId="3E7D2535">
      <w:pPr>
        <w:keepNext w:val="0"/>
        <w:keepLines w:val="0"/>
        <w:pageBreakBefore w:val="0"/>
        <w:wordWrap/>
        <w:overflowPunct/>
        <w:topLinePunct w:val="0"/>
        <w:bidi w:val="0"/>
        <w:spacing w:line="570" w:lineRule="exact"/>
        <w:rPr>
          <w:rFonts w:ascii="Times New Roman" w:hAnsi="Times New Roman" w:cs="Times New Roman"/>
          <w:lang w:eastAsia="zh-CN"/>
        </w:rPr>
      </w:pPr>
    </w:p>
    <w:p w14:paraId="15B120E0">
      <w:pPr>
        <w:keepNext w:val="0"/>
        <w:keepLines w:val="0"/>
        <w:pageBreakBefore w:val="0"/>
        <w:wordWrap/>
        <w:overflowPunct/>
        <w:topLinePunct w:val="0"/>
        <w:bidi w:val="0"/>
        <w:spacing w:line="570" w:lineRule="exact"/>
        <w:rPr>
          <w:rFonts w:ascii="Times New Roman" w:hAnsi="Times New Roman" w:cs="Times New Roman"/>
          <w:lang w:eastAsia="zh-CN"/>
        </w:rPr>
      </w:pPr>
    </w:p>
    <w:p w14:paraId="62172E3D">
      <w:pPr>
        <w:keepNext w:val="0"/>
        <w:keepLines w:val="0"/>
        <w:pageBreakBefore w:val="0"/>
        <w:wordWrap/>
        <w:overflowPunct/>
        <w:topLinePunct w:val="0"/>
        <w:bidi w:val="0"/>
        <w:spacing w:line="570" w:lineRule="exact"/>
        <w:ind w:firstLine="4160" w:firstLineChars="1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德化县城市管理和综合执法局</w:t>
      </w:r>
    </w:p>
    <w:tbl>
      <w:tblPr>
        <w:tblStyle w:val="15"/>
        <w:tblpPr w:leftFromText="180" w:rightFromText="180" w:vertAnchor="text" w:horzAnchor="page" w:tblpX="1500" w:tblpY="8520"/>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4B6C2B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59" w:type="dxa"/>
            <w:noWrap w:val="0"/>
            <w:vAlign w:val="top"/>
          </w:tcPr>
          <w:p w14:paraId="60182271">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w:t>
            </w:r>
            <w:r>
              <w:rPr>
                <w:rFonts w:hint="eastAsia" w:ascii="仿宋_GB2312" w:hAnsi="仿宋_GB2312" w:eastAsia="仿宋_GB2312" w:cs="仿宋_GB2312"/>
                <w:sz w:val="28"/>
                <w:szCs w:val="28"/>
              </w:rPr>
              <w:t>县政协提案与文史办，县政府督查室</w:t>
            </w:r>
            <w:r>
              <w:rPr>
                <w:rFonts w:hint="eastAsia" w:ascii="仿宋_GB2312" w:hAnsi="仿宋_GB2312" w:eastAsia="仿宋_GB2312" w:cs="仿宋_GB2312"/>
                <w:sz w:val="28"/>
                <w:szCs w:val="28"/>
                <w:lang w:eastAsia="zh-CN"/>
              </w:rPr>
              <w:t>，</w:t>
            </w:r>
            <w:r>
              <w:rPr>
                <w:rFonts w:hint="eastAsia" w:ascii="仿宋_GB2312" w:hAnsi="仿宋" w:eastAsia="仿宋_GB2312" w:cs="仿宋"/>
                <w:sz w:val="28"/>
                <w:szCs w:val="28"/>
              </w:rPr>
              <w:t>存档。</w:t>
            </w:r>
          </w:p>
        </w:tc>
      </w:tr>
      <w:tr w14:paraId="1DD8D5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059" w:type="dxa"/>
            <w:noWrap w:val="0"/>
            <w:vAlign w:val="top"/>
          </w:tcPr>
          <w:p w14:paraId="4C2D2366">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val="en-US" w:eastAsia="zh-CN"/>
              </w:rPr>
              <w:t>和综合执法</w:t>
            </w:r>
            <w:r>
              <w:rPr>
                <w:rFonts w:hint="eastAsia" w:ascii="仿宋_GB2312" w:hAnsi="仿宋" w:eastAsia="仿宋_GB2312" w:cs="仿宋"/>
                <w:sz w:val="28"/>
                <w:szCs w:val="28"/>
              </w:rPr>
              <w:t xml:space="preserve">局             </w:t>
            </w:r>
            <w:r>
              <w:rPr>
                <w:rFonts w:hint="eastAsia" w:ascii="仿宋_GB2312" w:hAnsi="仿宋" w:eastAsia="仿宋_GB2312" w:cs="仿宋"/>
                <w:sz w:val="28"/>
                <w:szCs w:val="28"/>
                <w:lang w:val="en-US" w:eastAsia="zh-CN"/>
              </w:rPr>
              <w:t xml:space="preserve">   </w:t>
            </w:r>
            <w:r>
              <w:rPr>
                <w:rFonts w:hint="eastAsia" w:ascii="仿宋_GB2312" w:hAnsi="仿宋" w:cs="仿宋"/>
                <w:sz w:val="28"/>
                <w:szCs w:val="28"/>
                <w:lang w:val="en-US" w:eastAsia="zh-CN"/>
              </w:rPr>
              <w:t xml:space="preserve">   </w:t>
            </w:r>
            <w:r>
              <w:rPr>
                <w:rFonts w:hint="eastAsia" w:ascii="仿宋_GB2312" w:hAnsi="仿宋" w:cs="仿宋"/>
                <w:sz w:val="28"/>
                <w:szCs w:val="28"/>
              </w:rPr>
              <w:t xml:space="preserve"> </w:t>
            </w:r>
            <w:r>
              <w:rPr>
                <w:rFonts w:hint="eastAsia" w:ascii="仿宋_GB2312" w:hAnsi="仿宋" w:cs="仿宋"/>
                <w:sz w:val="28"/>
                <w:szCs w:val="28"/>
                <w:lang w:val="en-US" w:eastAsia="zh-CN"/>
              </w:rPr>
              <w:t xml:space="preserve"> </w:t>
            </w:r>
            <w:r>
              <w:rPr>
                <w:rFonts w:hint="eastAsia" w:ascii="仿宋_GB2312" w:hAnsi="仿宋" w:eastAsia="仿宋_GB2312" w:cs="仿宋"/>
                <w:sz w:val="28"/>
                <w:szCs w:val="28"/>
              </w:rPr>
              <w:t>20</w:t>
            </w:r>
            <w:r>
              <w:rPr>
                <w:rFonts w:hint="eastAsia" w:ascii="仿宋_GB2312" w:hAnsi="仿宋" w:eastAsia="仿宋_GB2312" w:cs="仿宋"/>
                <w:sz w:val="28"/>
                <w:szCs w:val="28"/>
                <w:lang w:val="en-US" w:eastAsia="zh-CN"/>
              </w:rPr>
              <w:t>25</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7</w:t>
            </w:r>
            <w:r>
              <w:rPr>
                <w:rFonts w:hint="eastAsia" w:ascii="仿宋_GB2312" w:hAnsi="仿宋" w:eastAsia="仿宋_GB2312" w:cs="仿宋"/>
                <w:sz w:val="28"/>
                <w:szCs w:val="28"/>
              </w:rPr>
              <w:t>日印发</w:t>
            </w:r>
          </w:p>
        </w:tc>
      </w:tr>
    </w:tbl>
    <w:p w14:paraId="2E55C948">
      <w:pPr>
        <w:keepNext w:val="0"/>
        <w:keepLines w:val="0"/>
        <w:pageBreakBefore w:val="0"/>
        <w:wordWrap/>
        <w:overflowPunct/>
        <w:topLinePunct w:val="0"/>
        <w:bidi w:val="0"/>
        <w:spacing w:line="57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2025年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日</w:t>
      </w:r>
    </w:p>
    <w:p w14:paraId="7AEC8560">
      <w:pPr>
        <w:rPr>
          <w:rFonts w:ascii="Times New Roman" w:hAnsi="Times New Roman" w:cs="Times New Roman"/>
          <w:lang w:eastAsia="zh-CN"/>
        </w:rPr>
      </w:pPr>
    </w:p>
    <w:p w14:paraId="080BFAFA">
      <w:pPr>
        <w:rPr>
          <w:rFonts w:ascii="Times New Roman" w:hAnsi="Times New Roman" w:cs="Times New Roman"/>
          <w:lang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F6C362-5E73-4E2E-94E9-59CF23A41C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0DA78E1-8EE1-465A-A8A6-7F4F811572FA}"/>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F0E318C2-9272-40DE-B93F-1851EEF8D7FB}"/>
  </w:font>
  <w:font w:name="方正小标宋简体">
    <w:panose1 w:val="03000509000000000000"/>
    <w:charset w:val="86"/>
    <w:family w:val="script"/>
    <w:pitch w:val="default"/>
    <w:sig w:usb0="00000001" w:usb1="080E0000" w:usb2="00000000" w:usb3="00000000" w:csb0="00040000" w:csb1="00000000"/>
    <w:embedRegular r:id="rId4" w:fontKey="{AE6D5965-C4AD-43F2-95F4-18B636E246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1B62">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59CC1E84"/>
    <w:rsid w:val="00103224"/>
    <w:rsid w:val="001728D2"/>
    <w:rsid w:val="001D4F69"/>
    <w:rsid w:val="00235E89"/>
    <w:rsid w:val="002A4317"/>
    <w:rsid w:val="003436D2"/>
    <w:rsid w:val="003E2CF8"/>
    <w:rsid w:val="003F2399"/>
    <w:rsid w:val="00694113"/>
    <w:rsid w:val="0079279A"/>
    <w:rsid w:val="00816AB0"/>
    <w:rsid w:val="0082365E"/>
    <w:rsid w:val="008353C5"/>
    <w:rsid w:val="008411F9"/>
    <w:rsid w:val="0089221E"/>
    <w:rsid w:val="008A21F9"/>
    <w:rsid w:val="00A8426F"/>
    <w:rsid w:val="00AB03F1"/>
    <w:rsid w:val="00B06B34"/>
    <w:rsid w:val="00C57134"/>
    <w:rsid w:val="00EC5843"/>
    <w:rsid w:val="01610CCC"/>
    <w:rsid w:val="016731DD"/>
    <w:rsid w:val="01B033D2"/>
    <w:rsid w:val="05FD56D0"/>
    <w:rsid w:val="06E076D6"/>
    <w:rsid w:val="0BBF1E6E"/>
    <w:rsid w:val="0D9074CF"/>
    <w:rsid w:val="108F237B"/>
    <w:rsid w:val="187B7CEC"/>
    <w:rsid w:val="193B5E3E"/>
    <w:rsid w:val="19E21B0E"/>
    <w:rsid w:val="249A4274"/>
    <w:rsid w:val="25127997"/>
    <w:rsid w:val="25D67FAD"/>
    <w:rsid w:val="2A530375"/>
    <w:rsid w:val="2B5449A3"/>
    <w:rsid w:val="2EF73267"/>
    <w:rsid w:val="2FCA39BD"/>
    <w:rsid w:val="31D54E46"/>
    <w:rsid w:val="31DD0B1F"/>
    <w:rsid w:val="39612365"/>
    <w:rsid w:val="3D997236"/>
    <w:rsid w:val="415123CE"/>
    <w:rsid w:val="42A12324"/>
    <w:rsid w:val="43040234"/>
    <w:rsid w:val="43776769"/>
    <w:rsid w:val="49AF7B8B"/>
    <w:rsid w:val="4D632E83"/>
    <w:rsid w:val="4EDFC9B2"/>
    <w:rsid w:val="557E7FBE"/>
    <w:rsid w:val="571275A3"/>
    <w:rsid w:val="59CC1E84"/>
    <w:rsid w:val="5AE70E33"/>
    <w:rsid w:val="5ECF14ED"/>
    <w:rsid w:val="61174457"/>
    <w:rsid w:val="62B17864"/>
    <w:rsid w:val="63876BC5"/>
    <w:rsid w:val="6722055C"/>
    <w:rsid w:val="677D408C"/>
    <w:rsid w:val="69A86563"/>
    <w:rsid w:val="6B511288"/>
    <w:rsid w:val="6B5F1692"/>
    <w:rsid w:val="6B9FF4EB"/>
    <w:rsid w:val="6FE74513"/>
    <w:rsid w:val="70901D3A"/>
    <w:rsid w:val="71C346B5"/>
    <w:rsid w:val="75255FC0"/>
    <w:rsid w:val="759F5B15"/>
    <w:rsid w:val="75B54942"/>
    <w:rsid w:val="765C7139"/>
    <w:rsid w:val="766975F4"/>
    <w:rsid w:val="76891540"/>
    <w:rsid w:val="78580BB8"/>
    <w:rsid w:val="787074DA"/>
    <w:rsid w:val="78EE0914"/>
    <w:rsid w:val="791C2BF9"/>
    <w:rsid w:val="7DAC2BAA"/>
    <w:rsid w:val="7E9C3766"/>
    <w:rsid w:val="7F7FC462"/>
    <w:rsid w:val="ADDA6E90"/>
    <w:rsid w:val="E9CD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en-US" w:bidi="ar-SA"/>
    </w:rPr>
  </w:style>
  <w:style w:type="paragraph" w:styleId="2">
    <w:name w:val="heading 4"/>
    <w:basedOn w:val="1"/>
    <w:next w:val="3"/>
    <w:qFormat/>
    <w:uiPriority w:val="0"/>
    <w:pPr>
      <w:keepNext/>
      <w:keepLines/>
      <w:spacing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正文样式1"/>
    <w:basedOn w:val="1"/>
    <w:autoRedefine/>
    <w:semiHidden/>
    <w:qFormat/>
    <w:uiPriority w:val="0"/>
    <w:pPr>
      <w:spacing w:line="288" w:lineRule="auto"/>
      <w:ind w:firstLine="360" w:firstLineChars="150"/>
    </w:pPr>
    <w:rPr>
      <w:sz w:val="24"/>
      <w:szCs w:val="20"/>
    </w:rPr>
  </w:style>
  <w:style w:type="paragraph" w:styleId="4">
    <w:name w:val="Normal Indent"/>
    <w:basedOn w:val="1"/>
    <w:next w:val="5"/>
    <w:qFormat/>
    <w:uiPriority w:val="99"/>
    <w:pPr>
      <w:wordWrap w:val="0"/>
      <w:ind w:left="3400"/>
    </w:pPr>
  </w:style>
  <w:style w:type="paragraph" w:styleId="5">
    <w:name w:val="envelope return"/>
    <w:basedOn w:val="1"/>
    <w:qFormat/>
    <w:uiPriority w:val="0"/>
  </w:style>
  <w:style w:type="paragraph" w:styleId="6">
    <w:name w:val="Body Text"/>
    <w:basedOn w:val="1"/>
    <w:link w:val="18"/>
    <w:semiHidden/>
    <w:qFormat/>
    <w:uiPriority w:val="99"/>
    <w:pPr>
      <w:kinsoku/>
      <w:autoSpaceDE/>
      <w:autoSpaceDN/>
      <w:spacing w:line="560" w:lineRule="exact"/>
      <w:jc w:val="right"/>
      <w:textAlignment w:val="auto"/>
    </w:pPr>
    <w:rPr>
      <w:rFonts w:ascii="仿宋_GB2312" w:hAnsi="Times New Roman" w:eastAsia="仿宋_GB2312" w:cs="Times New Roman"/>
      <w:sz w:val="32"/>
      <w:szCs w:val="32"/>
      <w:lang w:eastAsia="zh-CN"/>
    </w:rPr>
  </w:style>
  <w:style w:type="paragraph" w:styleId="7">
    <w:name w:val="Body Text Indent"/>
    <w:basedOn w:val="1"/>
    <w:qFormat/>
    <w:uiPriority w:val="99"/>
    <w:pPr>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First Indent 2"/>
    <w:basedOn w:val="7"/>
    <w:qFormat/>
    <w:uiPriority w:val="99"/>
    <w:pPr>
      <w:spacing w:after="120"/>
      <w:ind w:firstLine="420"/>
    </w:pPr>
  </w:style>
  <w:style w:type="paragraph" w:styleId="10">
    <w:name w:val="Balloon Text"/>
    <w:basedOn w:val="1"/>
    <w:next w:val="1"/>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qFormat/>
    <w:uiPriority w:val="0"/>
    <w:pPr>
      <w:spacing w:before="100" w:beforeAutospacing="1" w:after="100" w:afterAutospacing="1"/>
    </w:pPr>
    <w:rPr>
      <w:rFonts w:cs="Times New Roman"/>
      <w:sz w:val="24"/>
      <w:lang w:eastAsia="zh-CN"/>
    </w:rPr>
  </w:style>
  <w:style w:type="paragraph" w:styleId="14">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 Char"/>
    <w:basedOn w:val="17"/>
    <w:link w:val="6"/>
    <w:semiHidden/>
    <w:qFormat/>
    <w:uiPriority w:val="99"/>
    <w:rPr>
      <w:rFonts w:ascii="仿宋_GB2312" w:eastAsia="仿宋_GB2312"/>
      <w:color w:val="000000"/>
      <w:sz w:val="32"/>
      <w:szCs w:val="32"/>
    </w:rPr>
  </w:style>
  <w:style w:type="character" w:customStyle="1" w:styleId="19">
    <w:name w:val="标题 Char"/>
    <w:basedOn w:val="17"/>
    <w:link w:val="14"/>
    <w:qFormat/>
    <w:uiPriority w:val="0"/>
    <w:rPr>
      <w:rFonts w:asciiTheme="majorHAnsi" w:hAnsiTheme="majorHAnsi" w:cstheme="majorBidi"/>
      <w:b/>
      <w:bCs/>
      <w:color w:val="000000"/>
      <w:sz w:val="32"/>
      <w:szCs w:val="32"/>
      <w:lang w:eastAsia="en-US"/>
    </w:rPr>
  </w:style>
  <w:style w:type="paragraph" w:customStyle="1" w:styleId="20">
    <w:name w:val="Normal (Web)_e5ae8282-c0ce-4c4e-bf1b-91e764e62441"/>
    <w:basedOn w:val="1"/>
    <w:qFormat/>
    <w:uiPriority w:val="0"/>
    <w:pPr>
      <w:jc w:val="both"/>
    </w:pPr>
    <w:rPr>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406</Words>
  <Characters>434</Characters>
  <Lines>14</Lines>
  <Paragraphs>4</Paragraphs>
  <TotalTime>9</TotalTime>
  <ScaleCrop>false</ScaleCrop>
  <LinksUpToDate>false</LinksUpToDate>
  <CharactersWithSpaces>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2024-01-30T16:44:00Z</dcterms:created>
  <dc:creator>吉祥平安</dc:creator>
  <cp:lastModifiedBy>要你好看</cp:lastModifiedBy>
  <cp:lastPrinted>2025-04-27T00:19:00Z</cp:lastPrinted>
  <dcterms:modified xsi:type="dcterms:W3CDTF">2025-08-11T07:37:44Z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9786E669AC304E46A36CAA6CD6467AAA_13</vt:lpwstr>
  </property>
  <property fmtid="{D5CDD505-2E9C-101B-9397-08002B2CF9AE}" pid="4" name="KSOTemplateDocerSaveRecord">
    <vt:lpwstr>eyJoZGlkIjoiNGYzNDViY2M3NDJkMmU3NTI3NTc3MGVlN2NmOWFmNzUiLCJ1c2VySWQiOiIzOTQyNzU4NzEifQ==</vt:lpwstr>
  </property>
</Properties>
</file>