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10F65">
      <w:pPr>
        <w:spacing w:line="580" w:lineRule="exact"/>
        <w:jc w:val="center"/>
        <w:rPr>
          <w:rFonts w:ascii="Times New Roman" w:hAnsi="Times New Roman" w:eastAsia="仿宋_GB2312" w:cs="Times New Roman"/>
          <w:sz w:val="32"/>
          <w:szCs w:val="32"/>
        </w:rPr>
      </w:pPr>
    </w:p>
    <w:p w14:paraId="7CBC06E8">
      <w:pPr>
        <w:spacing w:line="580" w:lineRule="exact"/>
        <w:jc w:val="center"/>
        <w:rPr>
          <w:rFonts w:ascii="Times New Roman" w:hAnsi="Times New Roman" w:eastAsia="仿宋_GB2312" w:cs="Times New Roman"/>
          <w:sz w:val="32"/>
          <w:szCs w:val="32"/>
        </w:rPr>
      </w:pPr>
    </w:p>
    <w:p w14:paraId="4925931B">
      <w:pPr>
        <w:spacing w:line="580" w:lineRule="exact"/>
        <w:jc w:val="center"/>
        <w:rPr>
          <w:rFonts w:ascii="Times New Roman" w:hAnsi="Times New Roman" w:eastAsia="仿宋_GB2312" w:cs="Times New Roman"/>
          <w:sz w:val="32"/>
          <w:szCs w:val="32"/>
          <w:lang w:eastAsia="zh-CN"/>
        </w:rPr>
      </w:pPr>
    </w:p>
    <w:p w14:paraId="48290440">
      <w:pPr>
        <w:spacing w:line="580" w:lineRule="exact"/>
        <w:jc w:val="center"/>
        <w:rPr>
          <w:rFonts w:ascii="Times New Roman" w:hAnsi="Times New Roman" w:eastAsia="仿宋_GB2312" w:cs="Times New Roman"/>
          <w:sz w:val="32"/>
          <w:szCs w:val="32"/>
          <w:lang w:eastAsia="zh-CN"/>
        </w:rPr>
      </w:pPr>
    </w:p>
    <w:p w14:paraId="48C4A346">
      <w:pPr>
        <w:spacing w:line="580" w:lineRule="exact"/>
        <w:jc w:val="center"/>
        <w:rPr>
          <w:rFonts w:ascii="Times New Roman" w:hAnsi="Times New Roman" w:eastAsia="仿宋_GB2312" w:cs="Times New Roman"/>
          <w:sz w:val="32"/>
          <w:szCs w:val="32"/>
          <w:lang w:eastAsia="zh-CN"/>
        </w:rPr>
      </w:pPr>
    </w:p>
    <w:p w14:paraId="16DFD576">
      <w:pPr>
        <w:spacing w:line="580" w:lineRule="exact"/>
        <w:jc w:val="center"/>
        <w:rPr>
          <w:rFonts w:ascii="Times New Roman" w:hAnsi="Times New Roman" w:eastAsia="仿宋_GB2312" w:cs="Times New Roman"/>
          <w:sz w:val="32"/>
          <w:szCs w:val="32"/>
          <w:lang w:eastAsia="zh-CN"/>
        </w:rPr>
      </w:pPr>
    </w:p>
    <w:p w14:paraId="6898EFD4">
      <w:pPr>
        <w:spacing w:line="580" w:lineRule="exact"/>
        <w:jc w:val="center"/>
        <w:rPr>
          <w:rFonts w:ascii="Times New Roman" w:hAnsi="Times New Roman" w:eastAsia="仿宋_GB2312" w:cs="Times New Roman"/>
          <w:sz w:val="32"/>
          <w:szCs w:val="32"/>
          <w:lang w:eastAsia="zh-CN"/>
        </w:rPr>
      </w:pPr>
    </w:p>
    <w:p w14:paraId="09F80953">
      <w:pPr>
        <w:spacing w:line="580" w:lineRule="exact"/>
        <w:jc w:val="center"/>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德城管执法〔2024〕</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eastAsia="zh-CN"/>
        </w:rPr>
        <w:t>号</w:t>
      </w:r>
    </w:p>
    <w:bookmarkEnd w:id="0"/>
    <w:p w14:paraId="381D3897">
      <w:pPr>
        <w:jc w:val="both"/>
        <w:rPr>
          <w:rFonts w:hint="eastAsia" w:ascii="Times New Roman" w:hAnsi="Times New Roman" w:eastAsia="方正小标宋简体" w:cs="方正小标宋简体"/>
          <w:sz w:val="44"/>
          <w:szCs w:val="44"/>
          <w:lang w:eastAsia="zh-CN"/>
        </w:rPr>
      </w:pPr>
    </w:p>
    <w:p w14:paraId="35F448AC">
      <w:pPr>
        <w:jc w:val="both"/>
        <w:rPr>
          <w:rFonts w:hint="eastAsia" w:ascii="Times New Roman" w:hAnsi="Times New Roman" w:eastAsia="方正小标宋简体" w:cs="方正小标宋简体"/>
          <w:sz w:val="44"/>
          <w:szCs w:val="44"/>
          <w:lang w:eastAsia="zh-CN"/>
        </w:rPr>
      </w:pPr>
    </w:p>
    <w:p w14:paraId="6E827A2A">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ascii="Times New Roman" w:hAnsi="Times New Roman" w:eastAsia="方正小标宋简体" w:cs="Times New Roman"/>
          <w:w w:val="98"/>
          <w:sz w:val="40"/>
          <w:szCs w:val="40"/>
          <w:lang w:eastAsia="zh-CN"/>
        </w:rPr>
      </w:pPr>
      <w:r>
        <w:rPr>
          <w:rFonts w:hint="eastAsia" w:ascii="Times New Roman" w:hAnsi="Times New Roman" w:eastAsia="方正小标宋简体" w:cs="方正小标宋简体"/>
          <w:w w:val="100"/>
          <w:sz w:val="40"/>
          <w:szCs w:val="40"/>
          <w:lang w:eastAsia="zh-CN"/>
        </w:rPr>
        <w:t>德化县城市管理和综合执法局关于印发《德化县</w:t>
      </w:r>
      <w:r>
        <w:rPr>
          <w:rFonts w:hint="eastAsia" w:ascii="Times New Roman" w:hAnsi="Times New Roman" w:eastAsia="方正小标宋简体" w:cs="方正小标宋简体"/>
          <w:w w:val="98"/>
          <w:sz w:val="40"/>
          <w:szCs w:val="40"/>
          <w:lang w:eastAsia="zh-CN"/>
        </w:rPr>
        <w:t>城管执法领域重大事故隐患举报奖励方案》的通知</w:t>
      </w:r>
    </w:p>
    <w:p w14:paraId="165ABEE1">
      <w:pPr>
        <w:spacing w:line="440" w:lineRule="exact"/>
        <w:rPr>
          <w:rFonts w:ascii="Times New Roman" w:hAnsi="Times New Roman" w:eastAsia="仿宋_GB2312" w:cs="Times New Roman"/>
          <w:sz w:val="32"/>
          <w:szCs w:val="32"/>
          <w:lang w:eastAsia="zh-CN"/>
        </w:rPr>
      </w:pPr>
    </w:p>
    <w:p w14:paraId="6792F28E">
      <w:pPr>
        <w:keepNext w:val="0"/>
        <w:keepLines w:val="0"/>
        <w:pageBreakBefore w:val="0"/>
        <w:widowControl/>
        <w:kinsoku w:val="0"/>
        <w:wordWrap/>
        <w:overflowPunct/>
        <w:topLinePunct w:val="0"/>
        <w:autoSpaceDE w:val="0"/>
        <w:autoSpaceDN w:val="0"/>
        <w:bidi w:val="0"/>
        <w:adjustRightInd w:val="0"/>
        <w:snapToGrid w:val="0"/>
        <w:spacing w:line="53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本局各股室（队、所），系统各单位，自来水有限公司，戴云水处理有限公司，瓷都城市服务有限公司，各燃气经营企业：</w:t>
      </w:r>
    </w:p>
    <w:p w14:paraId="21E71C59">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福建省住房和城乡建设厅关于印发&lt;福建省住建领域重大事故隐患举报奖励暂行办法&gt;的通知》（闽建安〔2023〕13号），结合工作实际，我局制定《德化县城管执法领域重大事故隐患举报奖励方案》，现印发给你们，请认真贯彻执行。本规定自2024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月10日起实施，有效期2年。</w:t>
      </w:r>
    </w:p>
    <w:p w14:paraId="6A81FB17">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hint="eastAsia" w:ascii="仿宋_GB2312" w:hAnsi="仿宋_GB2312" w:eastAsia="仿宋_GB2312" w:cs="仿宋_GB2312"/>
          <w:sz w:val="32"/>
          <w:szCs w:val="32"/>
          <w:lang w:eastAsia="zh-CN"/>
        </w:rPr>
      </w:pPr>
    </w:p>
    <w:p w14:paraId="6D89CC20">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德化县城市管理和综合执法局</w:t>
      </w:r>
    </w:p>
    <w:p w14:paraId="51B197AA">
      <w:pPr>
        <w:keepNext w:val="0"/>
        <w:keepLines w:val="0"/>
        <w:pageBreakBefore w:val="0"/>
        <w:widowControl/>
        <w:kinsoku w:val="0"/>
        <w:wordWrap/>
        <w:overflowPunct/>
        <w:topLinePunct w:val="0"/>
        <w:autoSpaceDE w:val="0"/>
        <w:autoSpaceDN w:val="0"/>
        <w:bidi w:val="0"/>
        <w:adjustRightInd w:val="0"/>
        <w:snapToGrid w:val="0"/>
        <w:spacing w:line="520" w:lineRule="exact"/>
        <w:ind w:firstLine="5600" w:firstLineChars="175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xml:space="preserve">日   </w:t>
      </w:r>
    </w:p>
    <w:p w14:paraId="79D85CC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14:paraId="4AA60F59">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z w:val="32"/>
          <w:szCs w:val="32"/>
          <w:lang w:eastAsia="zh-CN"/>
        </w:rPr>
        <w:sectPr>
          <w:footerReference r:id="rId3" w:type="default"/>
          <w:footerReference r:id="rId4" w:type="even"/>
          <w:pgSz w:w="11907" w:h="16839"/>
          <w:pgMar w:top="2098" w:right="1588" w:bottom="1701" w:left="1588" w:header="0" w:footer="1134" w:gutter="0"/>
          <w:cols w:space="720" w:num="1"/>
        </w:sectPr>
      </w:pPr>
    </w:p>
    <w:p w14:paraId="5E9CB1AD">
      <w:pPr>
        <w:keepNext w:val="0"/>
        <w:keepLines w:val="0"/>
        <w:pageBreakBefore w:val="0"/>
        <w:widowControl/>
        <w:kinsoku w:val="0"/>
        <w:wordWrap/>
        <w:overflowPunct/>
        <w:topLinePunct w:val="0"/>
        <w:autoSpaceDE w:val="0"/>
        <w:autoSpaceDN w:val="0"/>
        <w:bidi w:val="0"/>
        <w:adjustRightInd w:val="0"/>
        <w:snapToGrid w:val="0"/>
        <w:spacing w:line="550" w:lineRule="exact"/>
        <w:jc w:val="center"/>
        <w:textAlignment w:val="baseline"/>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德化县城市管理和领域重大事故隐患</w:t>
      </w:r>
    </w:p>
    <w:p w14:paraId="62DB7133">
      <w:pPr>
        <w:keepNext w:val="0"/>
        <w:keepLines w:val="0"/>
        <w:pageBreakBefore w:val="0"/>
        <w:widowControl/>
        <w:kinsoku w:val="0"/>
        <w:wordWrap/>
        <w:overflowPunct/>
        <w:topLinePunct w:val="0"/>
        <w:autoSpaceDE w:val="0"/>
        <w:autoSpaceDN w:val="0"/>
        <w:bidi w:val="0"/>
        <w:adjustRightInd w:val="0"/>
        <w:snapToGrid w:val="0"/>
        <w:spacing w:line="550" w:lineRule="exact"/>
        <w:jc w:val="center"/>
        <w:textAlignment w:val="baseline"/>
        <w:rPr>
          <w:rFonts w:ascii="Times New Roman" w:hAnsi="Times New Roman" w:eastAsia="方正小标宋简体" w:cs="Times New Roman"/>
          <w:sz w:val="39"/>
          <w:szCs w:val="39"/>
          <w:lang w:eastAsia="zh-CN"/>
        </w:rPr>
      </w:pPr>
      <w:r>
        <w:rPr>
          <w:rFonts w:hint="eastAsia" w:ascii="Times New Roman" w:hAnsi="Times New Roman" w:eastAsia="方正小标宋简体" w:cs="方正小标宋简体"/>
          <w:sz w:val="44"/>
          <w:szCs w:val="44"/>
          <w:lang w:eastAsia="zh-CN"/>
        </w:rPr>
        <w:t>举报奖励方案</w:t>
      </w:r>
    </w:p>
    <w:p w14:paraId="142B9B47">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ascii="Times New Roman" w:hAnsi="Times New Roman" w:eastAsia="仿宋_GB2312" w:cs="Times New Roman"/>
          <w:sz w:val="32"/>
          <w:szCs w:val="32"/>
          <w:lang w:eastAsia="zh-CN"/>
        </w:rPr>
      </w:pPr>
    </w:p>
    <w:p w14:paraId="4CD9A2E7">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黑体" w:cs="Times New Roman"/>
          <w:sz w:val="32"/>
          <w:szCs w:val="32"/>
          <w:lang w:eastAsia="zh-CN"/>
        </w:rPr>
      </w:pPr>
      <w:r>
        <w:rPr>
          <w:rFonts w:hint="eastAsia" w:ascii="Times New Roman" w:hAnsi="Times New Roman" w:eastAsia="黑体" w:cs="黑体"/>
          <w:sz w:val="32"/>
          <w:szCs w:val="32"/>
          <w:lang w:eastAsia="zh-CN"/>
        </w:rPr>
        <w:t>一、工作目的</w:t>
      </w:r>
    </w:p>
    <w:p w14:paraId="34DF636B">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color w:val="auto"/>
          <w:sz w:val="32"/>
          <w:szCs w:val="32"/>
          <w:lang w:eastAsia="zh-CN"/>
        </w:rPr>
      </w:pPr>
      <w:r>
        <w:rPr>
          <w:rFonts w:hint="eastAsia" w:ascii="Times New Roman" w:hAnsi="Times New Roman" w:eastAsia="仿宋_GB2312" w:cs="仿宋_GB2312"/>
          <w:sz w:val="32"/>
          <w:szCs w:val="32"/>
          <w:lang w:eastAsia="zh-CN"/>
        </w:rPr>
        <w:t>为进一步加强城管执法领域安全生产工作的社会监督，鼓励举报重大事故隐患和安全生产违法行为，及时发现并消除重大事故隐患，制止和惩处违法行为，</w:t>
      </w:r>
      <w:r>
        <w:fldChar w:fldCharType="begin"/>
      </w:r>
      <w:r>
        <w:instrText xml:space="preserve"> HYPERLINK "https://baike.baidu.com/item/%E4%BF%9D%E9%9A%9C/10877790?fromModule=lemma_inlink" </w:instrText>
      </w:r>
      <w:r>
        <w:fldChar w:fldCharType="separate"/>
      </w:r>
      <w:r>
        <w:rPr>
          <w:rStyle w:val="13"/>
          <w:rFonts w:hint="eastAsia" w:ascii="Times New Roman" w:hAnsi="Times New Roman" w:eastAsia="仿宋_GB2312" w:cs="仿宋_GB2312"/>
          <w:color w:val="auto"/>
          <w:sz w:val="32"/>
          <w:szCs w:val="32"/>
          <w:u w:val="none"/>
          <w:lang w:eastAsia="zh-CN"/>
        </w:rPr>
        <w:t>保障人民群众生命和财产安</w:t>
      </w:r>
      <w:r>
        <w:rPr>
          <w:rStyle w:val="13"/>
          <w:rFonts w:hint="eastAsia" w:ascii="Times New Roman" w:hAnsi="Times New Roman" w:eastAsia="仿宋_GB2312" w:cs="仿宋_GB2312"/>
          <w:color w:val="auto"/>
          <w:sz w:val="32"/>
          <w:szCs w:val="32"/>
          <w:u w:val="none"/>
          <w:lang w:eastAsia="zh-CN"/>
        </w:rPr>
        <w:fldChar w:fldCharType="end"/>
      </w:r>
      <w:r>
        <w:rPr>
          <w:rFonts w:hint="eastAsia" w:ascii="Times New Roman" w:hAnsi="Times New Roman" w:eastAsia="仿宋_GB2312" w:cs="仿宋_GB2312"/>
          <w:color w:val="auto"/>
          <w:sz w:val="32"/>
          <w:szCs w:val="32"/>
          <w:lang w:eastAsia="zh-CN"/>
        </w:rPr>
        <w:t>全。依据省、市有关规定，制定本举报奖励方案。</w:t>
      </w:r>
    </w:p>
    <w:p w14:paraId="70EB07D2">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黑体" w:cs="Times New Roman"/>
          <w:sz w:val="32"/>
          <w:szCs w:val="32"/>
          <w:lang w:eastAsia="zh-CN"/>
        </w:rPr>
      </w:pPr>
      <w:r>
        <w:rPr>
          <w:rFonts w:hint="eastAsia" w:ascii="Times New Roman" w:hAnsi="Times New Roman" w:eastAsia="黑体" w:cs="黑体"/>
          <w:sz w:val="32"/>
          <w:szCs w:val="32"/>
          <w:lang w:eastAsia="zh-CN"/>
        </w:rPr>
        <w:t>二、举报范围</w:t>
      </w:r>
    </w:p>
    <w:p w14:paraId="54D52399">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重大事故隐患，是指城镇燃气、市政基础设施运营、有限空间作业等方面，存在危害和整改难度较大，应当全部或者局部停产停业，并经过一定时间整改治理方能排除的隐患，或者因外部因素影响致使自身难以排除的隐患。根据国务院安委会办公室印发《关于学好用好重大事故隐患判定标准的通知》和住建部印发的《城镇燃气经营安全重大隐患判定标准》、《房屋市政工程重大事故隐患判定标准》，结合城市管理行业领域实际，举报范围如下：</w:t>
      </w:r>
    </w:p>
    <w:p w14:paraId="6C151A1D">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（一）城管执法领域企事业单位未对承包单位、承租单位的安全生产工作统一协调、管理，或者未定期进行安全检查的。</w:t>
      </w:r>
    </w:p>
    <w:p w14:paraId="59DBE32E">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（二）城管执法领域企事业单位特种作业人员未按照规定经专门的安全作业培训并取得相应资格，上岗作业的。</w:t>
      </w:r>
    </w:p>
    <w:p w14:paraId="7D0024CD">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（三）污水、垃圾处理企业等未对有限空间进行辨识、建立安全管理台账，并且未设置明显的安全警示标志的。</w:t>
      </w:r>
    </w:p>
    <w:p w14:paraId="2194C7F2">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（四）污水、垃圾处理等有限空间作业未落实作业审批，或者未执行</w:t>
      </w:r>
      <w:r>
        <w:rPr>
          <w:rFonts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lang w:eastAsia="zh-CN"/>
        </w:rPr>
        <w:t>先通风、再检测、后作业</w:t>
      </w:r>
      <w:r>
        <w:rPr>
          <w:rFonts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lang w:eastAsia="zh-CN"/>
        </w:rPr>
        <w:t>要求，或者作业现场未设置监护人员的。</w:t>
      </w:r>
    </w:p>
    <w:p w14:paraId="00BDF872">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（五）污水、垃圾处理厂等可能发生一氧化碳、硫化氢等有毒气体泄漏、积聚的场所和部位未设置固定式气体浓度监测报警装置，或者监测数据未接入</w:t>
      </w:r>
      <w:r>
        <w:rPr>
          <w:rFonts w:ascii="Times New Roman" w:hAnsi="Times New Roman" w:eastAsia="仿宋_GB2312" w:cs="Times New Roman"/>
          <w:sz w:val="32"/>
          <w:szCs w:val="32"/>
          <w:lang w:eastAsia="zh-CN"/>
        </w:rPr>
        <w:t>24</w:t>
      </w:r>
      <w:r>
        <w:rPr>
          <w:rFonts w:hint="eastAsia" w:ascii="Times New Roman" w:hAnsi="Times New Roman" w:eastAsia="仿宋_GB2312" w:cs="仿宋_GB2312"/>
          <w:sz w:val="32"/>
          <w:szCs w:val="32"/>
          <w:lang w:eastAsia="zh-CN"/>
        </w:rPr>
        <w:t>小时有人值守场所的。</w:t>
      </w:r>
    </w:p>
    <w:p w14:paraId="10D0B363">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（六）燃气经营者存在符合《城镇燃气经营安全重大隐患判定标准》情形的。</w:t>
      </w:r>
    </w:p>
    <w:p w14:paraId="0AAD8BAA">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黑体" w:cs="Times New Roman"/>
          <w:sz w:val="32"/>
          <w:szCs w:val="32"/>
        </w:rPr>
      </w:pPr>
      <w:r>
        <w:rPr>
          <w:rFonts w:hint="eastAsia" w:ascii="Times New Roman" w:hAnsi="Times New Roman" w:eastAsia="黑体" w:cs="黑体"/>
          <w:sz w:val="32"/>
          <w:szCs w:val="32"/>
        </w:rPr>
        <w:t>三、举报处理</w:t>
      </w:r>
    </w:p>
    <w:p w14:paraId="22A1191D">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pacing w:val="-14"/>
          <w:sz w:val="32"/>
          <w:szCs w:val="32"/>
          <w:lang w:eastAsia="zh-CN"/>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pacing w:val="-14"/>
          <w:sz w:val="32"/>
          <w:szCs w:val="32"/>
          <w:lang w:eastAsia="zh-CN"/>
        </w:rPr>
        <w:t>举报人可以通过电话、书信、走访、网络平台等途径进行举报。（电话：</w:t>
      </w:r>
      <w:r>
        <w:rPr>
          <w:rFonts w:hint="eastAsia" w:ascii="Times New Roman" w:hAnsi="Times New Roman" w:eastAsia="仿宋_GB2312" w:cs="Times New Roman"/>
          <w:spacing w:val="-14"/>
          <w:sz w:val="32"/>
          <w:szCs w:val="32"/>
          <w:lang w:eastAsia="zh-CN"/>
        </w:rPr>
        <w:t>23551155</w:t>
      </w:r>
      <w:r>
        <w:rPr>
          <w:rFonts w:hint="eastAsia" w:ascii="Times New Roman" w:hAnsi="Times New Roman" w:eastAsia="仿宋_GB2312" w:cs="仿宋_GB2312"/>
          <w:spacing w:val="-14"/>
          <w:sz w:val="32"/>
          <w:szCs w:val="32"/>
          <w:lang w:eastAsia="zh-CN"/>
        </w:rPr>
        <w:t>，邮箱：</w:t>
      </w:r>
      <w:r>
        <w:rPr>
          <w:rFonts w:hint="eastAsia" w:ascii="Times New Roman" w:hAnsi="Times New Roman" w:eastAsia="仿宋_GB2312" w:cs="Times New Roman"/>
          <w:spacing w:val="-14"/>
          <w:sz w:val="32"/>
          <w:szCs w:val="32"/>
          <w:lang w:eastAsia="zh-CN"/>
        </w:rPr>
        <w:t>dhaq23551155@163.com</w:t>
      </w:r>
      <w:r>
        <w:rPr>
          <w:rFonts w:hint="eastAsia" w:ascii="Times New Roman" w:hAnsi="Times New Roman" w:eastAsia="仿宋_GB2312" w:cs="仿宋_GB2312"/>
          <w:spacing w:val="-14"/>
          <w:sz w:val="32"/>
          <w:szCs w:val="32"/>
          <w:lang w:eastAsia="zh-CN"/>
        </w:rPr>
        <w:t>）</w:t>
      </w:r>
    </w:p>
    <w:p w14:paraId="358CC90E">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（二）举报人必须为实名举报，举报同时应当提供真实身份证明和有效联系方式。</w:t>
      </w:r>
    </w:p>
    <w:p w14:paraId="1C16C684">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（三）举报的事项应当客观真实，并对其举报内容的真实性负责，不得捏造、歪曲事实，不得诬告、陷害他人和企业。</w:t>
      </w:r>
    </w:p>
    <w:p w14:paraId="172C600A">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四）举报事项受理后，由事项所涉业务股室（企业）调查核实，或自行组织调查核实，并在15个工作日内回复举报人。举报事项复杂、调查取证困难需要延长时间的，经分管领导批准同意后，最多延长时间不得超过</w:t>
      </w:r>
      <w:r>
        <w:rPr>
          <w:rFonts w:ascii="Times New Roman" w:hAnsi="Times New Roman" w:eastAsia="仿宋_GB2312" w:cs="Times New Roman"/>
          <w:sz w:val="32"/>
          <w:szCs w:val="32"/>
          <w:lang w:eastAsia="zh-CN"/>
        </w:rPr>
        <w:t>15</w:t>
      </w:r>
      <w:r>
        <w:rPr>
          <w:rFonts w:hint="eastAsia" w:ascii="Times New Roman" w:hAnsi="Times New Roman" w:eastAsia="仿宋_GB2312" w:cs="仿宋_GB2312"/>
          <w:sz w:val="32"/>
          <w:szCs w:val="32"/>
          <w:lang w:eastAsia="zh-CN"/>
        </w:rPr>
        <w:t>个工作日。对核查属实的，应当依法依规进行处理。</w:t>
      </w:r>
    </w:p>
    <w:p w14:paraId="5B306029">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黑体" w:cs="黑体"/>
          <w:sz w:val="32"/>
          <w:szCs w:val="32"/>
          <w:lang w:eastAsia="zh-CN"/>
        </w:rPr>
        <w:t>四、奖励条件和标准</w:t>
      </w:r>
    </w:p>
    <w:p w14:paraId="5CA6A3D1">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（一）举报人所举报事项要有明确的被举报对象和具体违法事实，并提供隐患现场资料或证明材料等相关证据；</w:t>
      </w:r>
    </w:p>
    <w:p w14:paraId="097282A5">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（二）举报内容事先未被掌握；</w:t>
      </w:r>
    </w:p>
    <w:p w14:paraId="411AD81E">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（三）举报事项经核实认定属于重大事故隐患，予以奖励500元。</w:t>
      </w:r>
    </w:p>
    <w:p w14:paraId="4B6542A1">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黑体" w:cs="Times New Roman"/>
          <w:sz w:val="32"/>
          <w:szCs w:val="32"/>
          <w:lang w:eastAsia="zh-CN"/>
        </w:rPr>
      </w:pPr>
      <w:r>
        <w:rPr>
          <w:rFonts w:hint="eastAsia" w:ascii="Times New Roman" w:hAnsi="Times New Roman" w:eastAsia="黑体" w:cs="黑体"/>
          <w:sz w:val="32"/>
          <w:szCs w:val="32"/>
          <w:lang w:eastAsia="zh-CN"/>
        </w:rPr>
        <w:t>五、奖励程序</w:t>
      </w:r>
    </w:p>
    <w:p w14:paraId="6ACF8986">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（一）举报事项经调查核实，认定符合奖励条件的，由我局主办业务股室填报《重大事故隐患举报核查奖励审批表》（附举报件及核实材料），履行审批手续后，予以举报人奖励。</w:t>
      </w:r>
    </w:p>
    <w:p w14:paraId="67446C73">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（二）举报事项经查实结案后，城市管理主管部门主办业务科室（单位）通知举报人</w:t>
      </w:r>
      <w:r>
        <w:rPr>
          <w:rFonts w:ascii="Times New Roman" w:hAnsi="Times New Roman" w:eastAsia="仿宋_GB2312" w:cs="Times New Roman"/>
          <w:sz w:val="32"/>
          <w:szCs w:val="32"/>
          <w:lang w:eastAsia="zh-CN"/>
        </w:rPr>
        <w:t>60</w:t>
      </w:r>
      <w:r>
        <w:rPr>
          <w:rFonts w:hint="eastAsia" w:ascii="Times New Roman" w:hAnsi="Times New Roman" w:eastAsia="仿宋_GB2312" w:cs="仿宋_GB2312"/>
          <w:sz w:val="32"/>
          <w:szCs w:val="32"/>
          <w:lang w:eastAsia="zh-CN"/>
        </w:rPr>
        <w:t>日内提供身份证或其他有效证件和银行账号等信息；无法通知举报人的，应在一定范围内进行公告。逾期未领取奖金，视为放弃领奖权利。</w:t>
      </w:r>
    </w:p>
    <w:p w14:paraId="7F2D9D20">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黑体" w:cs="Times New Roman"/>
          <w:sz w:val="32"/>
          <w:szCs w:val="32"/>
          <w:lang w:eastAsia="zh-CN"/>
        </w:rPr>
      </w:pPr>
      <w:r>
        <w:rPr>
          <w:rFonts w:hint="eastAsia" w:ascii="Times New Roman" w:hAnsi="Times New Roman" w:eastAsia="黑体" w:cs="黑体"/>
          <w:sz w:val="32"/>
          <w:szCs w:val="32"/>
          <w:lang w:eastAsia="zh-CN"/>
        </w:rPr>
        <w:t>六、监督管理</w:t>
      </w:r>
    </w:p>
    <w:p w14:paraId="62711DDD">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一）参与举报处理工作的所有人员应当做好保密工作，不得泄露举报人的有关情况，不得将举报材料及有关情况透露给被举报的单位和个人。宣传报道或奖励举报人时，除举报人本人同意外，不得公开举报人的个人信息。对有关举报信息和调查核实资料及举报奖励报批资料应分类整理归档备查。</w:t>
      </w:r>
    </w:p>
    <w:p w14:paraId="62961A5F">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（二）举报人对举报事项的真实性负责，不得随意捏造、歪曲事实，不得以举报为名诬告陷害他人。对故意捏造、歪曲事实或以举报为名诬告、陷害他人，造成严重后果的，将移交有关机关依法依规追究责任。</w:t>
      </w:r>
    </w:p>
    <w:p w14:paraId="0B08013E">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p>
    <w:p w14:paraId="14E0BE57">
      <w:pPr>
        <w:keepNext w:val="0"/>
        <w:keepLines w:val="0"/>
        <w:pageBreakBefore w:val="0"/>
        <w:widowControl/>
        <w:kinsoku w:val="0"/>
        <w:wordWrap/>
        <w:overflowPunct/>
        <w:topLinePunct w:val="0"/>
        <w:autoSpaceDE w:val="0"/>
        <w:autoSpaceDN w:val="0"/>
        <w:bidi w:val="0"/>
        <w:adjustRightInd w:val="0"/>
        <w:snapToGrid w:val="0"/>
        <w:spacing w:line="530" w:lineRule="exact"/>
        <w:ind w:firstLine="640" w:firstLineChars="200"/>
        <w:textAlignment w:val="baseline"/>
        <w:rPr>
          <w:rFonts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lang w:eastAsia="zh-CN"/>
        </w:rPr>
        <w:t>附件：重大事故隐患举报核查奖励审批表</w:t>
      </w:r>
    </w:p>
    <w:p w14:paraId="3133C2F3">
      <w:pPr>
        <w:pStyle w:val="5"/>
        <w:spacing w:before="125" w:line="600" w:lineRule="exact"/>
        <w:jc w:val="both"/>
        <w:rPr>
          <w:rFonts w:ascii="Times New Roman" w:hAnsi="Times New Roman" w:eastAsia="仿宋_GB2312" w:cs="Times New Roman"/>
          <w:sz w:val="32"/>
          <w:szCs w:val="32"/>
          <w:lang w:eastAsia="zh-CN"/>
        </w:rPr>
      </w:pPr>
    </w:p>
    <w:tbl>
      <w:tblPr>
        <w:tblStyle w:val="9"/>
        <w:tblW w:w="9957"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3"/>
        <w:gridCol w:w="1624"/>
        <w:gridCol w:w="2099"/>
        <w:gridCol w:w="1745"/>
        <w:gridCol w:w="2526"/>
      </w:tblGrid>
      <w:tr w14:paraId="1D20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957" w:type="dxa"/>
            <w:gridSpan w:val="5"/>
            <w:tcBorders>
              <w:top w:val="nil"/>
              <w:left w:val="nil"/>
              <w:bottom w:val="nil"/>
              <w:right w:val="nil"/>
            </w:tcBorders>
            <w:shd w:val="clear" w:color="auto" w:fill="auto"/>
            <w:noWrap/>
            <w:vAlign w:val="top"/>
          </w:tcPr>
          <w:p w14:paraId="22C723BB">
            <w:pPr>
              <w:keepNext w:val="0"/>
              <w:keepLines w:val="0"/>
              <w:widowControl/>
              <w:suppressLineNumbers w:val="0"/>
              <w:jc w:val="center"/>
              <w:textAlignment w:val="top"/>
              <w:rPr>
                <w:rFonts w:ascii="微软雅黑" w:hAnsi="微软雅黑" w:eastAsia="微软雅黑" w:cs="微软雅黑"/>
                <w:i w:val="0"/>
                <w:iCs w:val="0"/>
                <w:color w:val="000000"/>
                <w:sz w:val="44"/>
                <w:szCs w:val="44"/>
                <w:u w:val="none"/>
              </w:rPr>
            </w:pPr>
            <w:r>
              <w:rPr>
                <w:rFonts w:hint="default" w:ascii="微软雅黑" w:hAnsi="微软雅黑" w:eastAsia="微软雅黑" w:cs="微软雅黑"/>
                <w:i w:val="0"/>
                <w:iCs w:val="0"/>
                <w:color w:val="000000"/>
                <w:kern w:val="0"/>
                <w:sz w:val="44"/>
                <w:szCs w:val="44"/>
                <w:u w:val="none"/>
                <w:lang w:val="en-US" w:eastAsia="zh-CN" w:bidi="ar"/>
              </w:rPr>
              <w:t>重大事故隐患举报核查奖励审批表</w:t>
            </w:r>
          </w:p>
        </w:tc>
      </w:tr>
      <w:tr w14:paraId="0E80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9D676">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Style w:val="19"/>
                <w:lang w:val="en-US" w:eastAsia="zh-CN" w:bidi="ar"/>
              </w:rPr>
              <w:t>举报人</w:t>
            </w:r>
            <w:r>
              <w:rPr>
                <w:rStyle w:val="19"/>
                <w:lang w:val="en-US" w:eastAsia="zh-CN" w:bidi="ar"/>
              </w:rPr>
              <w:br w:type="textWrapping"/>
            </w:r>
            <w:r>
              <w:rPr>
                <w:rStyle w:val="20"/>
                <w:rFonts w:eastAsia="仿宋"/>
                <w:lang w:val="en-US" w:eastAsia="zh-CN" w:bidi="ar"/>
              </w:rPr>
              <w:br w:type="textWrapping"/>
            </w:r>
            <w:r>
              <w:rPr>
                <w:rStyle w:val="19"/>
                <w:lang w:val="en-US" w:eastAsia="zh-CN" w:bidi="ar"/>
              </w:rPr>
              <w:t>信息</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7C1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9"/>
                <w:lang w:val="en-US" w:eastAsia="zh-CN" w:bidi="ar"/>
              </w:rPr>
              <w:t>姓名</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top"/>
          </w:tcPr>
          <w:p w14:paraId="04A64D80">
            <w:pPr>
              <w:jc w:val="left"/>
              <w:rPr>
                <w:rFonts w:hint="default" w:ascii="Arial" w:hAnsi="Arial" w:cs="Arial"/>
                <w:i w:val="0"/>
                <w:iCs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E2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9"/>
                <w:lang w:val="en-US" w:eastAsia="zh-CN" w:bidi="ar"/>
              </w:rPr>
              <w:t>联系方式</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top"/>
          </w:tcPr>
          <w:p w14:paraId="1A03231E">
            <w:pPr>
              <w:jc w:val="left"/>
              <w:rPr>
                <w:rFonts w:hint="default" w:ascii="Arial" w:hAnsi="Arial" w:cs="Arial"/>
                <w:i w:val="0"/>
                <w:iCs w:val="0"/>
                <w:color w:val="000000"/>
                <w:sz w:val="22"/>
                <w:szCs w:val="22"/>
                <w:u w:val="none"/>
              </w:rPr>
            </w:pPr>
          </w:p>
        </w:tc>
      </w:tr>
      <w:tr w14:paraId="2211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6FF72">
            <w:pPr>
              <w:jc w:val="center"/>
              <w:rPr>
                <w:rFonts w:hint="eastAsia" w:ascii="仿宋" w:hAnsi="仿宋" w:eastAsia="仿宋" w:cs="仿宋"/>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A9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9"/>
                <w:lang w:val="en-US" w:eastAsia="zh-CN" w:bidi="ar"/>
              </w:rPr>
              <w:t>身份证</w:t>
            </w:r>
            <w:r>
              <w:rPr>
                <w:rStyle w:val="19"/>
                <w:lang w:val="en-US" w:eastAsia="zh-CN" w:bidi="ar"/>
              </w:rPr>
              <w:br w:type="textWrapping"/>
            </w:r>
            <w:r>
              <w:rPr>
                <w:rStyle w:val="20"/>
                <w:rFonts w:eastAsia="仿宋"/>
                <w:lang w:val="en-US" w:eastAsia="zh-CN" w:bidi="ar"/>
              </w:rPr>
              <w:br w:type="textWrapping"/>
            </w:r>
            <w:r>
              <w:rPr>
                <w:rStyle w:val="19"/>
                <w:lang w:val="en-US" w:eastAsia="zh-CN" w:bidi="ar"/>
              </w:rPr>
              <w:t>号码</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A4ABC8">
            <w:pPr>
              <w:jc w:val="left"/>
              <w:rPr>
                <w:rFonts w:hint="default" w:ascii="Arial" w:hAnsi="Arial" w:cs="Arial"/>
                <w:i w:val="0"/>
                <w:iCs w:val="0"/>
                <w:color w:val="000000"/>
                <w:sz w:val="22"/>
                <w:szCs w:val="22"/>
                <w:u w:val="none"/>
              </w:rPr>
            </w:pPr>
          </w:p>
        </w:tc>
      </w:tr>
      <w:tr w14:paraId="23AA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52E7">
            <w:pPr>
              <w:jc w:val="center"/>
              <w:rPr>
                <w:rFonts w:hint="eastAsia" w:ascii="仿宋" w:hAnsi="仿宋" w:eastAsia="仿宋" w:cs="仿宋"/>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C39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9"/>
                <w:lang w:val="en-US" w:eastAsia="zh-CN" w:bidi="ar"/>
              </w:rPr>
              <w:t>银行</w:t>
            </w:r>
            <w:r>
              <w:rPr>
                <w:rStyle w:val="19"/>
                <w:lang w:val="en-US" w:eastAsia="zh-CN" w:bidi="ar"/>
              </w:rPr>
              <w:br w:type="textWrapping"/>
            </w:r>
            <w:r>
              <w:rPr>
                <w:rStyle w:val="20"/>
                <w:rFonts w:eastAsia="仿宋"/>
                <w:lang w:val="en-US" w:eastAsia="zh-CN" w:bidi="ar"/>
              </w:rPr>
              <w:br w:type="textWrapping"/>
            </w:r>
            <w:r>
              <w:rPr>
                <w:rStyle w:val="19"/>
                <w:lang w:val="en-US" w:eastAsia="zh-CN" w:bidi="ar"/>
              </w:rPr>
              <w:t>卡号</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CE4567">
            <w:pPr>
              <w:jc w:val="left"/>
              <w:rPr>
                <w:rFonts w:hint="default" w:ascii="Arial" w:hAnsi="Arial" w:cs="Arial"/>
                <w:i w:val="0"/>
                <w:iCs w:val="0"/>
                <w:color w:val="000000"/>
                <w:sz w:val="22"/>
                <w:szCs w:val="22"/>
                <w:u w:val="none"/>
              </w:rPr>
            </w:pPr>
          </w:p>
        </w:tc>
      </w:tr>
      <w:tr w14:paraId="0C9A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82DF">
            <w:pPr>
              <w:jc w:val="center"/>
              <w:rPr>
                <w:rFonts w:hint="eastAsia" w:ascii="仿宋" w:hAnsi="仿宋" w:eastAsia="仿宋" w:cs="仿宋"/>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83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9"/>
                <w:lang w:val="en-US" w:eastAsia="zh-CN" w:bidi="ar"/>
              </w:rPr>
              <w:t>开户</w:t>
            </w:r>
            <w:r>
              <w:rPr>
                <w:rStyle w:val="19"/>
                <w:lang w:val="en-US" w:eastAsia="zh-CN" w:bidi="ar"/>
              </w:rPr>
              <w:br w:type="textWrapping"/>
            </w:r>
            <w:r>
              <w:rPr>
                <w:rStyle w:val="20"/>
                <w:rFonts w:eastAsia="仿宋"/>
                <w:lang w:val="en-US" w:eastAsia="zh-CN" w:bidi="ar"/>
              </w:rPr>
              <w:br w:type="textWrapping"/>
            </w:r>
            <w:r>
              <w:rPr>
                <w:rStyle w:val="19"/>
                <w:lang w:val="en-US" w:eastAsia="zh-CN" w:bidi="ar"/>
              </w:rPr>
              <w:t>银行</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8A8502">
            <w:pPr>
              <w:jc w:val="left"/>
              <w:rPr>
                <w:rFonts w:hint="default" w:ascii="Arial" w:hAnsi="Arial" w:cs="Arial"/>
                <w:i w:val="0"/>
                <w:iCs w:val="0"/>
                <w:color w:val="000000"/>
                <w:sz w:val="22"/>
                <w:szCs w:val="22"/>
                <w:u w:val="none"/>
              </w:rPr>
            </w:pPr>
          </w:p>
        </w:tc>
      </w:tr>
      <w:tr w14:paraId="1E8C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trPr>
        <w:tc>
          <w:tcPr>
            <w:tcW w:w="1963" w:type="dxa"/>
            <w:tcBorders>
              <w:top w:val="nil"/>
              <w:left w:val="single" w:color="000000" w:sz="4" w:space="0"/>
              <w:bottom w:val="single" w:color="000000" w:sz="4" w:space="0"/>
              <w:right w:val="single" w:color="000000" w:sz="4" w:space="0"/>
            </w:tcBorders>
            <w:shd w:val="clear" w:color="auto" w:fill="auto"/>
            <w:vAlign w:val="center"/>
          </w:tcPr>
          <w:p w14:paraId="79ACD9A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9"/>
                <w:lang w:val="en-US" w:eastAsia="zh-CN" w:bidi="ar"/>
              </w:rPr>
              <w:t>举报</w:t>
            </w:r>
            <w:r>
              <w:rPr>
                <w:rStyle w:val="19"/>
                <w:lang w:val="en-US" w:eastAsia="zh-CN" w:bidi="ar"/>
              </w:rPr>
              <w:br w:type="textWrapping"/>
            </w:r>
            <w:r>
              <w:rPr>
                <w:rStyle w:val="20"/>
                <w:rFonts w:eastAsia="仿宋"/>
                <w:lang w:val="en-US" w:eastAsia="zh-CN" w:bidi="ar"/>
              </w:rPr>
              <w:br w:type="textWrapping"/>
            </w:r>
            <w:r>
              <w:rPr>
                <w:rStyle w:val="19"/>
                <w:lang w:val="en-US" w:eastAsia="zh-CN" w:bidi="ar"/>
              </w:rPr>
              <w:t>事项（附举</w:t>
            </w:r>
            <w:r>
              <w:rPr>
                <w:rStyle w:val="19"/>
                <w:lang w:val="en-US" w:eastAsia="zh-CN" w:bidi="ar"/>
              </w:rPr>
              <w:br w:type="textWrapping"/>
            </w:r>
            <w:r>
              <w:rPr>
                <w:rStyle w:val="20"/>
                <w:rFonts w:eastAsia="仿宋"/>
                <w:lang w:val="en-US" w:eastAsia="zh-CN" w:bidi="ar"/>
              </w:rPr>
              <w:br w:type="textWrapping"/>
            </w:r>
            <w:r>
              <w:rPr>
                <w:rStyle w:val="19"/>
                <w:lang w:val="en-US" w:eastAsia="zh-CN" w:bidi="ar"/>
              </w:rPr>
              <w:t>报材料）</w:t>
            </w:r>
          </w:p>
        </w:tc>
        <w:tc>
          <w:tcPr>
            <w:tcW w:w="7994" w:type="dxa"/>
            <w:gridSpan w:val="4"/>
            <w:tcBorders>
              <w:top w:val="nil"/>
              <w:left w:val="single" w:color="000000" w:sz="4" w:space="0"/>
              <w:bottom w:val="single" w:color="000000" w:sz="4" w:space="0"/>
              <w:right w:val="single" w:color="000000" w:sz="4" w:space="0"/>
            </w:tcBorders>
            <w:shd w:val="clear" w:color="auto" w:fill="auto"/>
            <w:vAlign w:val="top"/>
          </w:tcPr>
          <w:p w14:paraId="3C612C3B">
            <w:pPr>
              <w:jc w:val="left"/>
              <w:rPr>
                <w:rFonts w:hint="default" w:ascii="Arial" w:hAnsi="Arial" w:cs="Arial"/>
                <w:i w:val="0"/>
                <w:iCs w:val="0"/>
                <w:color w:val="000000"/>
                <w:sz w:val="22"/>
                <w:szCs w:val="22"/>
                <w:u w:val="none"/>
              </w:rPr>
            </w:pPr>
          </w:p>
        </w:tc>
      </w:tr>
      <w:tr w14:paraId="7744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B8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9"/>
                <w:lang w:val="en-US" w:eastAsia="zh-CN" w:bidi="ar"/>
              </w:rPr>
              <w:t>核实</w:t>
            </w:r>
            <w:r>
              <w:rPr>
                <w:rStyle w:val="19"/>
                <w:lang w:val="en-US" w:eastAsia="zh-CN" w:bidi="ar"/>
              </w:rPr>
              <w:br w:type="textWrapping"/>
            </w:r>
            <w:r>
              <w:rPr>
                <w:rStyle w:val="20"/>
                <w:rFonts w:eastAsia="仿宋"/>
                <w:lang w:val="en-US" w:eastAsia="zh-CN" w:bidi="ar"/>
              </w:rPr>
              <w:br w:type="textWrapping"/>
            </w:r>
            <w:r>
              <w:rPr>
                <w:rStyle w:val="19"/>
                <w:lang w:val="en-US" w:eastAsia="zh-CN" w:bidi="ar"/>
              </w:rPr>
              <w:t>处理</w:t>
            </w:r>
            <w:r>
              <w:rPr>
                <w:rStyle w:val="19"/>
                <w:lang w:val="en-US" w:eastAsia="zh-CN" w:bidi="ar"/>
              </w:rPr>
              <w:br w:type="textWrapping"/>
            </w:r>
            <w:r>
              <w:rPr>
                <w:rStyle w:val="20"/>
                <w:rFonts w:eastAsia="仿宋"/>
                <w:lang w:val="en-US" w:eastAsia="zh-CN" w:bidi="ar"/>
              </w:rPr>
              <w:br w:type="textWrapping"/>
            </w:r>
            <w:r>
              <w:rPr>
                <w:rStyle w:val="19"/>
                <w:lang w:val="en-US" w:eastAsia="zh-CN" w:bidi="ar"/>
              </w:rPr>
              <w:t>结果</w:t>
            </w:r>
          </w:p>
        </w:tc>
        <w:tc>
          <w:tcPr>
            <w:tcW w:w="79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D70579">
            <w:pPr>
              <w:jc w:val="left"/>
              <w:rPr>
                <w:rFonts w:hint="default" w:ascii="Arial" w:hAnsi="Arial" w:cs="Arial"/>
                <w:i w:val="0"/>
                <w:iCs w:val="0"/>
                <w:color w:val="000000"/>
                <w:sz w:val="22"/>
                <w:szCs w:val="22"/>
                <w:u w:val="none"/>
              </w:rPr>
            </w:pPr>
          </w:p>
        </w:tc>
      </w:tr>
      <w:tr w14:paraId="6A4F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9C4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9"/>
                <w:lang w:val="en-US" w:eastAsia="zh-CN" w:bidi="ar"/>
              </w:rPr>
              <w:t>奖励</w:t>
            </w:r>
            <w:r>
              <w:rPr>
                <w:rStyle w:val="19"/>
                <w:lang w:val="en-US" w:eastAsia="zh-CN" w:bidi="ar"/>
              </w:rPr>
              <w:br w:type="textWrapping"/>
            </w:r>
            <w:r>
              <w:rPr>
                <w:rStyle w:val="20"/>
                <w:rFonts w:eastAsia="仿宋"/>
                <w:lang w:val="en-US" w:eastAsia="zh-CN" w:bidi="ar"/>
              </w:rPr>
              <w:br w:type="textWrapping"/>
            </w:r>
            <w:r>
              <w:rPr>
                <w:rStyle w:val="19"/>
                <w:lang w:val="en-US" w:eastAsia="zh-CN" w:bidi="ar"/>
              </w:rPr>
              <w:t>金额</w:t>
            </w:r>
          </w:p>
        </w:tc>
        <w:tc>
          <w:tcPr>
            <w:tcW w:w="7994"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65C9D97">
            <w:pPr>
              <w:keepNext w:val="0"/>
              <w:keepLines w:val="0"/>
              <w:widowControl/>
              <w:suppressLineNumbers w:val="0"/>
              <w:jc w:val="center"/>
              <w:textAlignment w:val="bottom"/>
              <w:rPr>
                <w:rFonts w:ascii="宋体" w:hAnsi="宋体" w:eastAsia="宋体" w:cs="宋体"/>
                <w:i w:val="0"/>
                <w:iCs w:val="0"/>
                <w:color w:val="000000"/>
                <w:sz w:val="30"/>
                <w:szCs w:val="30"/>
                <w:u w:val="none"/>
              </w:rPr>
            </w:pPr>
            <w:r>
              <w:rPr>
                <w:rStyle w:val="21"/>
                <w:lang w:val="en-US" w:eastAsia="zh-CN" w:bidi="ar"/>
              </w:rPr>
              <w:t>（大写）     万    仟    佰元</w:t>
            </w:r>
            <w:r>
              <w:rPr>
                <w:rStyle w:val="22"/>
                <w:lang w:val="en-US" w:eastAsia="zh-CN" w:bidi="ar"/>
              </w:rPr>
              <w:t>￥:</w:t>
            </w:r>
          </w:p>
        </w:tc>
      </w:tr>
      <w:tr w14:paraId="554E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3" w:hRule="atLeast"/>
        </w:trPr>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449E9">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主办股室意见</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28F98C6">
            <w:pPr>
              <w:keepNext w:val="0"/>
              <w:keepLines w:val="0"/>
              <w:widowControl/>
              <w:suppressLineNumbers w:val="0"/>
              <w:ind w:firstLineChars="500"/>
              <w:jc w:val="left"/>
              <w:textAlignment w:val="bottom"/>
              <w:rPr>
                <w:rFonts w:hint="eastAsia" w:ascii="仿宋" w:hAnsi="仿宋" w:eastAsia="仿宋" w:cs="仿宋"/>
                <w:i w:val="0"/>
                <w:iCs w:val="0"/>
                <w:color w:val="000000"/>
                <w:sz w:val="30"/>
                <w:szCs w:val="30"/>
                <w:u w:val="none"/>
              </w:rPr>
            </w:pPr>
            <w:r>
              <w:rPr>
                <w:rStyle w:val="21"/>
                <w:lang w:val="en-US" w:eastAsia="zh-CN" w:bidi="ar"/>
              </w:rPr>
              <w:t xml:space="preserve"> 负责人：         经办人：</w:t>
            </w:r>
          </w:p>
        </w:tc>
      </w:tr>
      <w:tr w14:paraId="57AA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6" w:hRule="atLeast"/>
        </w:trPr>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3571F">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协办股室意见</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180F0">
            <w:pPr>
              <w:keepNext w:val="0"/>
              <w:keepLines w:val="0"/>
              <w:widowControl/>
              <w:suppressLineNumbers w:val="0"/>
              <w:jc w:val="center"/>
              <w:textAlignment w:val="center"/>
              <w:rPr>
                <w:rStyle w:val="21"/>
                <w:lang w:val="en-US" w:eastAsia="zh-CN" w:bidi="ar"/>
              </w:rPr>
            </w:pPr>
          </w:p>
          <w:p w14:paraId="3BF386B3">
            <w:pPr>
              <w:keepNext w:val="0"/>
              <w:keepLines w:val="0"/>
              <w:widowControl/>
              <w:suppressLineNumbers w:val="0"/>
              <w:jc w:val="center"/>
              <w:textAlignment w:val="center"/>
              <w:rPr>
                <w:rStyle w:val="21"/>
                <w:lang w:val="en-US" w:eastAsia="zh-CN" w:bidi="ar"/>
              </w:rPr>
            </w:pPr>
          </w:p>
          <w:p w14:paraId="2E0EC84F">
            <w:pPr>
              <w:keepNext w:val="0"/>
              <w:keepLines w:val="0"/>
              <w:widowControl/>
              <w:suppressLineNumbers w:val="0"/>
              <w:jc w:val="center"/>
              <w:textAlignment w:val="center"/>
              <w:rPr>
                <w:rStyle w:val="21"/>
                <w:lang w:val="en-US" w:eastAsia="zh-CN" w:bidi="ar"/>
              </w:rPr>
            </w:pPr>
          </w:p>
          <w:p w14:paraId="70416684">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Style w:val="21"/>
                <w:lang w:val="en-US" w:eastAsia="zh-CN" w:bidi="ar"/>
              </w:rPr>
              <w:t>负责人：</w:t>
            </w:r>
          </w:p>
        </w:tc>
      </w:tr>
      <w:tr w14:paraId="0DD8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0F03B">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局安全股意见</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F5DFC03">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Style w:val="21"/>
                <w:lang w:val="en-US" w:eastAsia="zh-CN" w:bidi="ar"/>
              </w:rPr>
              <w:t>负责人：</w:t>
            </w:r>
          </w:p>
        </w:tc>
      </w:tr>
      <w:tr w14:paraId="4619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7CFE">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局财务室意见</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32C7292">
            <w:pPr>
              <w:keepNext w:val="0"/>
              <w:keepLines w:val="0"/>
              <w:widowControl/>
              <w:suppressLineNumbers w:val="0"/>
              <w:jc w:val="center"/>
              <w:textAlignment w:val="bottom"/>
              <w:rPr>
                <w:rFonts w:hint="eastAsia" w:ascii="仿宋" w:hAnsi="仿宋" w:eastAsia="仿宋" w:cs="仿宋"/>
                <w:i w:val="0"/>
                <w:iCs w:val="0"/>
                <w:color w:val="000000"/>
                <w:sz w:val="30"/>
                <w:szCs w:val="30"/>
                <w:u w:val="none"/>
              </w:rPr>
            </w:pPr>
            <w:r>
              <w:rPr>
                <w:rStyle w:val="21"/>
                <w:lang w:val="en-US" w:eastAsia="zh-CN" w:bidi="ar"/>
              </w:rPr>
              <w:t>负责人：</w:t>
            </w:r>
          </w:p>
        </w:tc>
      </w:tr>
      <w:tr w14:paraId="0A39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3EACC">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分管业务</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局领导审批</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ECC0F6">
            <w:pPr>
              <w:jc w:val="left"/>
              <w:rPr>
                <w:rFonts w:hint="default" w:ascii="Arial" w:hAnsi="Arial" w:cs="Arial"/>
                <w:i w:val="0"/>
                <w:iCs w:val="0"/>
                <w:color w:val="000000"/>
                <w:sz w:val="22"/>
                <w:szCs w:val="22"/>
                <w:u w:val="none"/>
              </w:rPr>
            </w:pPr>
          </w:p>
        </w:tc>
      </w:tr>
      <w:tr w14:paraId="030E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8A194">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分管财务</w:t>
            </w:r>
            <w:r>
              <w:rPr>
                <w:rFonts w:hint="eastAsia" w:ascii="仿宋" w:hAnsi="仿宋" w:eastAsia="仿宋" w:cs="仿宋"/>
                <w:i w:val="0"/>
                <w:iCs w:val="0"/>
                <w:color w:val="000000"/>
                <w:kern w:val="0"/>
                <w:sz w:val="30"/>
                <w:szCs w:val="30"/>
                <w:u w:val="none"/>
                <w:lang w:val="en-US" w:eastAsia="zh-CN" w:bidi="ar"/>
              </w:rPr>
              <w:br w:type="textWrapping"/>
            </w:r>
            <w:r>
              <w:rPr>
                <w:rFonts w:hint="eastAsia" w:ascii="仿宋" w:hAnsi="仿宋" w:eastAsia="仿宋" w:cs="仿宋"/>
                <w:i w:val="0"/>
                <w:iCs w:val="0"/>
                <w:color w:val="000000"/>
                <w:kern w:val="0"/>
                <w:sz w:val="30"/>
                <w:szCs w:val="30"/>
                <w:u w:val="none"/>
                <w:lang w:val="en-US" w:eastAsia="zh-CN" w:bidi="ar"/>
              </w:rPr>
              <w:t>局领导审批</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0C4423">
            <w:pPr>
              <w:jc w:val="left"/>
              <w:rPr>
                <w:rFonts w:hint="default" w:ascii="Arial" w:hAnsi="Arial" w:cs="Arial"/>
                <w:i w:val="0"/>
                <w:iCs w:val="0"/>
                <w:color w:val="000000"/>
                <w:sz w:val="22"/>
                <w:szCs w:val="22"/>
                <w:u w:val="none"/>
              </w:rPr>
            </w:pPr>
          </w:p>
        </w:tc>
      </w:tr>
      <w:tr w14:paraId="4D92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27340">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Style w:val="21"/>
                <w:lang w:val="en-US" w:eastAsia="zh-CN" w:bidi="ar"/>
              </w:rPr>
              <w:t>备注</w:t>
            </w:r>
          </w:p>
        </w:tc>
        <w:tc>
          <w:tcPr>
            <w:tcW w:w="63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B1FC1E">
            <w:pPr>
              <w:jc w:val="left"/>
              <w:rPr>
                <w:rFonts w:hint="default" w:ascii="Arial" w:hAnsi="Arial" w:cs="Arial"/>
                <w:i w:val="0"/>
                <w:iCs w:val="0"/>
                <w:color w:val="000000"/>
                <w:sz w:val="22"/>
                <w:szCs w:val="22"/>
                <w:u w:val="none"/>
              </w:rPr>
            </w:pPr>
          </w:p>
        </w:tc>
      </w:tr>
    </w:tbl>
    <w:p w14:paraId="29978AD6">
      <w:pPr>
        <w:pStyle w:val="5"/>
        <w:spacing w:before="125" w:line="600" w:lineRule="exact"/>
        <w:ind w:firstLine="1612" w:firstLineChars="504"/>
        <w:jc w:val="both"/>
        <w:rPr>
          <w:rFonts w:ascii="Times New Roman" w:hAnsi="Times New Roman" w:eastAsia="仿宋_GB2312" w:cs="Times New Roman"/>
          <w:sz w:val="32"/>
          <w:szCs w:val="32"/>
          <w:lang w:eastAsia="zh-CN"/>
        </w:rPr>
      </w:pPr>
    </w:p>
    <w:p w14:paraId="61D95CE2">
      <w:pPr>
        <w:pStyle w:val="5"/>
        <w:spacing w:before="125" w:line="600" w:lineRule="exact"/>
        <w:ind w:firstLine="1612" w:firstLineChars="504"/>
        <w:jc w:val="both"/>
        <w:rPr>
          <w:rFonts w:ascii="Times New Roman" w:hAnsi="Times New Roman" w:eastAsia="仿宋_GB2312" w:cs="Times New Roman"/>
          <w:sz w:val="32"/>
          <w:szCs w:val="32"/>
          <w:lang w:eastAsia="zh-CN"/>
        </w:rPr>
      </w:pPr>
    </w:p>
    <w:p w14:paraId="6BF3FEF7">
      <w:pPr>
        <w:pStyle w:val="5"/>
        <w:spacing w:before="125" w:line="600" w:lineRule="exact"/>
        <w:ind w:firstLine="1612" w:firstLineChars="504"/>
        <w:jc w:val="both"/>
        <w:rPr>
          <w:rFonts w:ascii="Times New Roman" w:hAnsi="Times New Roman" w:eastAsia="仿宋_GB2312" w:cs="Times New Roman"/>
          <w:sz w:val="32"/>
          <w:szCs w:val="32"/>
          <w:lang w:eastAsia="zh-CN"/>
        </w:rPr>
      </w:pPr>
    </w:p>
    <w:p w14:paraId="4ADBA3A9">
      <w:pPr>
        <w:pStyle w:val="5"/>
        <w:spacing w:before="125" w:line="600" w:lineRule="exact"/>
        <w:ind w:firstLine="1612" w:firstLineChars="504"/>
        <w:jc w:val="center"/>
        <w:rPr>
          <w:rFonts w:ascii="Times New Roman" w:hAnsi="Times New Roman" w:eastAsia="仿宋_GB2312" w:cs="Times New Roman"/>
          <w:sz w:val="32"/>
          <w:szCs w:val="32"/>
          <w:lang w:eastAsia="zh-CN"/>
        </w:rPr>
      </w:pPr>
    </w:p>
    <w:p w14:paraId="7D0F9A83">
      <w:pPr>
        <w:pStyle w:val="5"/>
        <w:spacing w:before="125" w:line="600" w:lineRule="exact"/>
        <w:ind w:firstLine="1612" w:firstLineChars="504"/>
        <w:jc w:val="center"/>
        <w:rPr>
          <w:rFonts w:ascii="Times New Roman" w:hAnsi="Times New Roman" w:eastAsia="仿宋_GB2312" w:cs="Times New Roman"/>
          <w:sz w:val="32"/>
          <w:szCs w:val="32"/>
          <w:lang w:eastAsia="zh-CN"/>
        </w:rPr>
      </w:pPr>
    </w:p>
    <w:p w14:paraId="41889E46">
      <w:pPr>
        <w:pStyle w:val="5"/>
        <w:spacing w:before="125" w:line="600" w:lineRule="exact"/>
        <w:ind w:firstLine="1612" w:firstLineChars="504"/>
        <w:jc w:val="center"/>
        <w:rPr>
          <w:rFonts w:ascii="Times New Roman" w:hAnsi="Times New Roman" w:eastAsia="仿宋_GB2312" w:cs="Times New Roman"/>
          <w:sz w:val="32"/>
          <w:szCs w:val="32"/>
          <w:lang w:eastAsia="zh-CN"/>
        </w:rPr>
      </w:pPr>
    </w:p>
    <w:p w14:paraId="526D2234">
      <w:pPr>
        <w:pStyle w:val="5"/>
        <w:spacing w:before="125" w:line="600" w:lineRule="exact"/>
        <w:ind w:firstLine="1612" w:firstLineChars="504"/>
        <w:jc w:val="center"/>
        <w:rPr>
          <w:rFonts w:ascii="Times New Roman" w:hAnsi="Times New Roman" w:eastAsia="仿宋_GB2312" w:cs="Times New Roman"/>
          <w:sz w:val="32"/>
          <w:szCs w:val="32"/>
          <w:lang w:eastAsia="zh-CN"/>
        </w:rPr>
      </w:pPr>
    </w:p>
    <w:p w14:paraId="78398CE7">
      <w:pPr>
        <w:pStyle w:val="5"/>
        <w:spacing w:before="125" w:line="600" w:lineRule="exact"/>
        <w:ind w:firstLine="1612" w:firstLineChars="504"/>
        <w:rPr>
          <w:rFonts w:ascii="Times New Roman" w:hAnsi="Times New Roman" w:eastAsia="仿宋_GB2312" w:cs="Times New Roman"/>
          <w:sz w:val="32"/>
          <w:szCs w:val="32"/>
          <w:lang w:eastAsia="zh-CN"/>
        </w:rPr>
      </w:pPr>
    </w:p>
    <w:p w14:paraId="69AFBFB2">
      <w:pPr>
        <w:pStyle w:val="5"/>
        <w:spacing w:before="125" w:line="600" w:lineRule="exact"/>
        <w:ind w:firstLine="1612" w:firstLineChars="504"/>
        <w:rPr>
          <w:rFonts w:ascii="Times New Roman" w:hAnsi="Times New Roman" w:eastAsia="仿宋_GB2312" w:cs="Times New Roman"/>
          <w:sz w:val="32"/>
          <w:szCs w:val="32"/>
          <w:lang w:eastAsia="zh-CN"/>
        </w:rPr>
      </w:pPr>
    </w:p>
    <w:p w14:paraId="2F5316F9">
      <w:pPr>
        <w:pStyle w:val="5"/>
        <w:spacing w:before="125" w:line="600" w:lineRule="exact"/>
        <w:ind w:firstLine="1612" w:firstLineChars="504"/>
        <w:rPr>
          <w:rFonts w:ascii="Times New Roman" w:hAnsi="Times New Roman" w:eastAsia="仿宋_GB2312" w:cs="Times New Roman"/>
          <w:sz w:val="32"/>
          <w:szCs w:val="32"/>
          <w:lang w:eastAsia="zh-CN"/>
        </w:rPr>
      </w:pPr>
    </w:p>
    <w:p w14:paraId="7D535E94">
      <w:pPr>
        <w:pStyle w:val="5"/>
        <w:spacing w:before="125" w:line="600" w:lineRule="exact"/>
        <w:ind w:firstLine="1612" w:firstLineChars="504"/>
        <w:rPr>
          <w:rFonts w:ascii="Times New Roman" w:hAnsi="Times New Roman" w:eastAsia="仿宋_GB2312" w:cs="Times New Roman"/>
          <w:sz w:val="32"/>
          <w:szCs w:val="32"/>
          <w:lang w:eastAsia="zh-CN"/>
        </w:rPr>
      </w:pPr>
    </w:p>
    <w:p w14:paraId="4ECE7626">
      <w:pPr>
        <w:pStyle w:val="5"/>
        <w:spacing w:before="125" w:line="600" w:lineRule="exact"/>
        <w:ind w:firstLine="1612" w:firstLineChars="504"/>
        <w:rPr>
          <w:rFonts w:ascii="Times New Roman" w:hAnsi="Times New Roman" w:eastAsia="仿宋_GB2312" w:cs="Times New Roman"/>
          <w:sz w:val="32"/>
          <w:szCs w:val="32"/>
          <w:lang w:eastAsia="zh-CN"/>
        </w:rPr>
      </w:pPr>
    </w:p>
    <w:p w14:paraId="61879107">
      <w:pPr>
        <w:pStyle w:val="5"/>
        <w:spacing w:before="125" w:line="600" w:lineRule="exact"/>
        <w:ind w:firstLine="1612" w:firstLineChars="504"/>
        <w:rPr>
          <w:rFonts w:ascii="Times New Roman" w:hAnsi="Times New Roman" w:eastAsia="仿宋_GB2312" w:cs="Times New Roman"/>
          <w:sz w:val="32"/>
          <w:szCs w:val="32"/>
          <w:lang w:eastAsia="zh-CN"/>
        </w:rPr>
      </w:pPr>
    </w:p>
    <w:p w14:paraId="43EE4D81">
      <w:pPr>
        <w:pStyle w:val="5"/>
        <w:spacing w:before="125" w:line="600" w:lineRule="exact"/>
        <w:ind w:firstLine="1612" w:firstLineChars="504"/>
        <w:rPr>
          <w:rFonts w:ascii="Times New Roman" w:hAnsi="Times New Roman" w:eastAsia="仿宋_GB2312" w:cs="Times New Roman"/>
          <w:sz w:val="32"/>
          <w:szCs w:val="32"/>
          <w:lang w:eastAsia="zh-CN"/>
        </w:rPr>
      </w:pPr>
    </w:p>
    <w:p w14:paraId="3BBBBE39">
      <w:pPr>
        <w:pStyle w:val="5"/>
        <w:spacing w:before="125" w:line="600" w:lineRule="exact"/>
        <w:rPr>
          <w:rFonts w:ascii="Times New Roman" w:hAnsi="Times New Roman" w:eastAsia="仿宋_GB2312" w:cs="Times New Roman"/>
          <w:sz w:val="32"/>
          <w:szCs w:val="32"/>
          <w:lang w:eastAsia="zh-CN"/>
        </w:rPr>
      </w:pPr>
    </w:p>
    <w:tbl>
      <w:tblPr>
        <w:tblStyle w:val="9"/>
        <w:tblpPr w:leftFromText="180" w:rightFromText="180" w:vertAnchor="text" w:horzAnchor="page" w:tblpX="1466" w:tblpY="619"/>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0590B1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22" w:hRule="atLeast"/>
        </w:trPr>
        <w:tc>
          <w:tcPr>
            <w:tcW w:w="9059" w:type="dxa"/>
            <w:noWrap w:val="0"/>
            <w:vAlign w:val="top"/>
          </w:tcPr>
          <w:p w14:paraId="3F9C5378">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抄送：存档。</w:t>
            </w:r>
          </w:p>
        </w:tc>
      </w:tr>
      <w:tr w14:paraId="24C988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14:paraId="673B435F">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val="en-US" w:eastAsia="zh-CN"/>
              </w:rPr>
              <w:t>和综合执法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 xml:space="preserve"> </w:t>
            </w:r>
            <w:r>
              <w:rPr>
                <w:rFonts w:hint="eastAsia" w:ascii="仿宋_GB2312" w:hAnsi="仿宋" w:cs="仿宋"/>
                <w:sz w:val="28"/>
                <w:szCs w:val="28"/>
              </w:rPr>
              <w:t xml:space="preserve">   </w:t>
            </w:r>
            <w:r>
              <w:rPr>
                <w:rFonts w:hint="eastAsia" w:ascii="仿宋_GB2312" w:hAnsi="仿宋" w:eastAsia="仿宋_GB2312" w:cs="仿宋"/>
                <w:sz w:val="28"/>
                <w:szCs w:val="28"/>
              </w:rPr>
              <w:t>202</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12</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日印发</w:t>
            </w:r>
          </w:p>
        </w:tc>
      </w:tr>
    </w:tbl>
    <w:p w14:paraId="3FF5D791">
      <w:pPr>
        <w:pStyle w:val="5"/>
        <w:spacing w:before="125" w:line="20" w:lineRule="exact"/>
        <w:rPr>
          <w:rFonts w:ascii="Times New Roman" w:hAnsi="Times New Roman" w:eastAsia="仿宋_GB2312" w:cs="Times New Roman"/>
          <w:sz w:val="32"/>
          <w:szCs w:val="32"/>
          <w:lang w:eastAsia="zh-CN"/>
        </w:rPr>
      </w:pPr>
    </w:p>
    <w:sectPr>
      <w:footerReference r:id="rId5"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2E86">
    <w:pPr>
      <w:pStyle w:val="6"/>
      <w:ind w:right="280"/>
      <w:jc w:val="right"/>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51DB">
    <w:pPr>
      <w:pStyle w:val="6"/>
      <w:ind w:firstLine="280" w:firstLineChars="100"/>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F5D5">
    <w:pPr>
      <w:spacing w:before="1" w:line="173" w:lineRule="auto"/>
      <w:ind w:right="280"/>
      <w:jc w:val="right"/>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evenAndOddHeaders w:val="1"/>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spaceForUL/>
    <w:ulTrailSpace/>
    <w:doNotExpandShiftReturn/>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E6"/>
    <w:rsid w:val="000208E6"/>
    <w:rsid w:val="000735A7"/>
    <w:rsid w:val="00103178"/>
    <w:rsid w:val="001E29EE"/>
    <w:rsid w:val="003D7A0B"/>
    <w:rsid w:val="00470584"/>
    <w:rsid w:val="005010CA"/>
    <w:rsid w:val="005A7D23"/>
    <w:rsid w:val="005E1781"/>
    <w:rsid w:val="006513E9"/>
    <w:rsid w:val="006D66A6"/>
    <w:rsid w:val="007634AC"/>
    <w:rsid w:val="00875690"/>
    <w:rsid w:val="008F26AE"/>
    <w:rsid w:val="00917C52"/>
    <w:rsid w:val="00975E07"/>
    <w:rsid w:val="00BD6F22"/>
    <w:rsid w:val="00C3646F"/>
    <w:rsid w:val="00FD01D6"/>
    <w:rsid w:val="13F86BC7"/>
    <w:rsid w:val="1656DE3A"/>
    <w:rsid w:val="1AE08732"/>
    <w:rsid w:val="26927AED"/>
    <w:rsid w:val="3A57BF8B"/>
    <w:rsid w:val="3B774D6B"/>
    <w:rsid w:val="3BBDB8CA"/>
    <w:rsid w:val="3FD9DC19"/>
    <w:rsid w:val="3FFB9B28"/>
    <w:rsid w:val="57BE941B"/>
    <w:rsid w:val="57FFF7E8"/>
    <w:rsid w:val="5DBD576C"/>
    <w:rsid w:val="5DF52F6F"/>
    <w:rsid w:val="5EF7EC4B"/>
    <w:rsid w:val="6B7FEC68"/>
    <w:rsid w:val="6E6BDEFB"/>
    <w:rsid w:val="6FDF55C5"/>
    <w:rsid w:val="6FFEDCD8"/>
    <w:rsid w:val="75BFCD3B"/>
    <w:rsid w:val="75EF9322"/>
    <w:rsid w:val="76771792"/>
    <w:rsid w:val="77E7F936"/>
    <w:rsid w:val="7A01152D"/>
    <w:rsid w:val="7CD7A21E"/>
    <w:rsid w:val="7EEF39EA"/>
    <w:rsid w:val="7F7717BE"/>
    <w:rsid w:val="7FC45064"/>
    <w:rsid w:val="7FD38293"/>
    <w:rsid w:val="7FF2F43D"/>
    <w:rsid w:val="7FF767D7"/>
    <w:rsid w:val="7FFF423F"/>
    <w:rsid w:val="97D7CE88"/>
    <w:rsid w:val="A8DFFA66"/>
    <w:rsid w:val="B6BB9BF8"/>
    <w:rsid w:val="B6BE6EDE"/>
    <w:rsid w:val="B6FB8209"/>
    <w:rsid w:val="B7F9A41E"/>
    <w:rsid w:val="BDFF61F5"/>
    <w:rsid w:val="BFF77A5F"/>
    <w:rsid w:val="CCFF47EB"/>
    <w:rsid w:val="CF5FAF90"/>
    <w:rsid w:val="CFFF8F26"/>
    <w:rsid w:val="D6C7598B"/>
    <w:rsid w:val="D7EB1ED3"/>
    <w:rsid w:val="DBCCACC9"/>
    <w:rsid w:val="DCFE97D8"/>
    <w:rsid w:val="DEE7F47E"/>
    <w:rsid w:val="DF5FD453"/>
    <w:rsid w:val="DFDB71E2"/>
    <w:rsid w:val="DFFFFA92"/>
    <w:rsid w:val="EA7B7C5C"/>
    <w:rsid w:val="EB5FD3AC"/>
    <w:rsid w:val="EEEB8965"/>
    <w:rsid w:val="EF3FB24A"/>
    <w:rsid w:val="F0FF5973"/>
    <w:rsid w:val="F69DE29D"/>
    <w:rsid w:val="F70DEF9B"/>
    <w:rsid w:val="F717A040"/>
    <w:rsid w:val="F9B34BF3"/>
    <w:rsid w:val="FA5D675A"/>
    <w:rsid w:val="FBA2A307"/>
    <w:rsid w:val="FBFE2222"/>
    <w:rsid w:val="FBFF26DD"/>
    <w:rsid w:val="FCBFE0F2"/>
    <w:rsid w:val="FDD7A4A0"/>
    <w:rsid w:val="FEFB4A08"/>
    <w:rsid w:val="FEFFB51D"/>
    <w:rsid w:val="FF6D85F6"/>
    <w:rsid w:val="FF7FB1FF"/>
    <w:rsid w:val="FF9D69F8"/>
    <w:rsid w:val="FFFE57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en-US" w:bidi="ar-SA"/>
    </w:rPr>
  </w:style>
  <w:style w:type="paragraph" w:styleId="4">
    <w:name w:val="heading 1"/>
    <w:basedOn w:val="1"/>
    <w:next w:val="1"/>
    <w:link w:val="14"/>
    <w:qFormat/>
    <w:uiPriority w:val="99"/>
    <w:pPr>
      <w:spacing w:beforeAutospacing="1" w:afterAutospacing="1"/>
      <w:outlineLvl w:val="0"/>
    </w:pPr>
    <w:rPr>
      <w:rFonts w:ascii="宋体" w:hAnsi="宋体" w:cs="宋体"/>
      <w:b/>
      <w:bCs/>
      <w:kern w:val="44"/>
      <w:sz w:val="48"/>
      <w:szCs w:val="48"/>
      <w:lang w:eastAsia="zh-CN"/>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firstLineChars="200"/>
    </w:pPr>
    <w:rPr>
      <w:kern w:val="0"/>
    </w:rPr>
  </w:style>
  <w:style w:type="paragraph" w:styleId="3">
    <w:name w:val="Body Text Indent"/>
    <w:basedOn w:val="1"/>
    <w:unhideWhenUsed/>
    <w:qFormat/>
    <w:uiPriority w:val="99"/>
    <w:pPr>
      <w:spacing w:after="120"/>
      <w:ind w:left="420" w:leftChars="200"/>
    </w:pPr>
  </w:style>
  <w:style w:type="paragraph" w:styleId="5">
    <w:name w:val="Body Text"/>
    <w:basedOn w:val="1"/>
    <w:link w:val="15"/>
    <w:semiHidden/>
    <w:qFormat/>
    <w:uiPriority w:val="99"/>
    <w:rPr>
      <w:rFonts w:ascii="仿宋" w:hAnsi="仿宋" w:eastAsia="仿宋" w:cs="仿宋"/>
      <w:sz w:val="31"/>
      <w:szCs w:val="31"/>
    </w:rPr>
  </w:style>
  <w:style w:type="paragraph" w:styleId="6">
    <w:name w:val="footer"/>
    <w:basedOn w:val="1"/>
    <w:link w:val="16"/>
    <w:qFormat/>
    <w:uiPriority w:val="99"/>
    <w:pPr>
      <w:tabs>
        <w:tab w:val="center" w:pos="4153"/>
        <w:tab w:val="right" w:pos="8306"/>
      </w:tabs>
    </w:pPr>
    <w:rPr>
      <w:sz w:val="18"/>
      <w:szCs w:val="18"/>
    </w:rPr>
  </w:style>
  <w:style w:type="paragraph" w:styleId="7">
    <w:name w:val="header"/>
    <w:basedOn w:val="1"/>
    <w:link w:val="17"/>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spacing w:beforeAutospacing="1" w:afterAutospacing="1"/>
    </w:pPr>
    <w:rPr>
      <w:sz w:val="24"/>
      <w:szCs w:val="24"/>
      <w:lang w:eastAsia="zh-CN"/>
    </w:rPr>
  </w:style>
  <w:style w:type="table" w:styleId="10">
    <w:name w:val="Table Grid"/>
    <w:basedOn w:val="9"/>
    <w:qFormat/>
    <w:uiPriority w:val="99"/>
    <w:pPr>
      <w:kinsoku w:val="0"/>
      <w:autoSpaceDE w:val="0"/>
      <w:autoSpaceDN w:val="0"/>
      <w:adjustRightInd w:val="0"/>
      <w:snapToGrid w:val="0"/>
      <w:textAlignment w:val="baseline"/>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b/>
      <w:bCs/>
    </w:rPr>
  </w:style>
  <w:style w:type="character" w:styleId="13">
    <w:name w:val="Hyperlink"/>
    <w:basedOn w:val="11"/>
    <w:qFormat/>
    <w:uiPriority w:val="99"/>
    <w:rPr>
      <w:color w:val="0000FF"/>
      <w:u w:val="single"/>
    </w:rPr>
  </w:style>
  <w:style w:type="character" w:customStyle="1" w:styleId="14">
    <w:name w:val="Heading 1 Char"/>
    <w:basedOn w:val="11"/>
    <w:link w:val="4"/>
    <w:qFormat/>
    <w:locked/>
    <w:uiPriority w:val="99"/>
    <w:rPr>
      <w:rFonts w:ascii="Arial" w:hAnsi="Arial" w:cs="Arial"/>
      <w:b/>
      <w:bCs/>
      <w:color w:val="000000"/>
      <w:kern w:val="44"/>
      <w:sz w:val="44"/>
      <w:szCs w:val="44"/>
      <w:lang w:eastAsia="en-US"/>
    </w:rPr>
  </w:style>
  <w:style w:type="character" w:customStyle="1" w:styleId="15">
    <w:name w:val="Body Text Char"/>
    <w:basedOn w:val="11"/>
    <w:link w:val="5"/>
    <w:semiHidden/>
    <w:qFormat/>
    <w:locked/>
    <w:uiPriority w:val="99"/>
    <w:rPr>
      <w:rFonts w:ascii="Arial" w:hAnsi="Arial" w:cs="Arial"/>
      <w:color w:val="000000"/>
      <w:kern w:val="0"/>
      <w:sz w:val="21"/>
      <w:szCs w:val="21"/>
      <w:lang w:eastAsia="en-US"/>
    </w:rPr>
  </w:style>
  <w:style w:type="character" w:customStyle="1" w:styleId="16">
    <w:name w:val="Footer Char"/>
    <w:basedOn w:val="11"/>
    <w:link w:val="6"/>
    <w:semiHidden/>
    <w:qFormat/>
    <w:locked/>
    <w:uiPriority w:val="99"/>
    <w:rPr>
      <w:rFonts w:ascii="Arial" w:hAnsi="Arial" w:cs="Arial"/>
      <w:color w:val="000000"/>
      <w:kern w:val="0"/>
      <w:sz w:val="18"/>
      <w:szCs w:val="18"/>
      <w:lang w:eastAsia="en-US"/>
    </w:rPr>
  </w:style>
  <w:style w:type="character" w:customStyle="1" w:styleId="17">
    <w:name w:val="Header Char"/>
    <w:basedOn w:val="11"/>
    <w:link w:val="7"/>
    <w:semiHidden/>
    <w:qFormat/>
    <w:locked/>
    <w:uiPriority w:val="99"/>
    <w:rPr>
      <w:rFonts w:ascii="Arial" w:hAnsi="Arial" w:cs="Arial"/>
      <w:color w:val="000000"/>
      <w:kern w:val="0"/>
      <w:sz w:val="18"/>
      <w:szCs w:val="18"/>
      <w:lang w:eastAsia="en-US"/>
    </w:rPr>
  </w:style>
  <w:style w:type="table" w:customStyle="1" w:styleId="18">
    <w:name w:val="Table Normal1"/>
    <w:semiHidden/>
    <w:qFormat/>
    <w:uiPriority w:val="99"/>
    <w:rPr>
      <w:kern w:val="0"/>
      <w:sz w:val="20"/>
      <w:szCs w:val="20"/>
    </w:rPr>
    <w:tblPr>
      <w:tblCellMar>
        <w:top w:w="0" w:type="dxa"/>
        <w:left w:w="0" w:type="dxa"/>
        <w:bottom w:w="0" w:type="dxa"/>
        <w:right w:w="0" w:type="dxa"/>
      </w:tblCellMar>
    </w:tblPr>
  </w:style>
  <w:style w:type="character" w:customStyle="1" w:styleId="19">
    <w:name w:val="font71"/>
    <w:basedOn w:val="11"/>
    <w:qFormat/>
    <w:uiPriority w:val="0"/>
    <w:rPr>
      <w:rFonts w:hint="eastAsia" w:ascii="仿宋" w:hAnsi="仿宋" w:eastAsia="仿宋" w:cs="仿宋"/>
      <w:color w:val="000000"/>
      <w:sz w:val="28"/>
      <w:szCs w:val="28"/>
      <w:u w:val="none"/>
    </w:rPr>
  </w:style>
  <w:style w:type="character" w:customStyle="1" w:styleId="20">
    <w:name w:val="font01"/>
    <w:basedOn w:val="11"/>
    <w:qFormat/>
    <w:uiPriority w:val="0"/>
    <w:rPr>
      <w:rFonts w:ascii="Arial" w:hAnsi="Arial" w:cs="Arial"/>
      <w:color w:val="000000"/>
      <w:sz w:val="6"/>
      <w:szCs w:val="6"/>
      <w:u w:val="none"/>
    </w:rPr>
  </w:style>
  <w:style w:type="character" w:customStyle="1" w:styleId="21">
    <w:name w:val="font21"/>
    <w:basedOn w:val="11"/>
    <w:qFormat/>
    <w:uiPriority w:val="0"/>
    <w:rPr>
      <w:rFonts w:hint="eastAsia" w:ascii="仿宋" w:hAnsi="仿宋" w:eastAsia="仿宋" w:cs="仿宋"/>
      <w:color w:val="000000"/>
      <w:sz w:val="30"/>
      <w:szCs w:val="30"/>
      <w:u w:val="none"/>
    </w:rPr>
  </w:style>
  <w:style w:type="character" w:customStyle="1" w:styleId="22">
    <w:name w:val="font31"/>
    <w:basedOn w:val="11"/>
    <w:qFormat/>
    <w:uiPriority w:val="0"/>
    <w:rPr>
      <w:rFonts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1855</Words>
  <Characters>1905</Characters>
  <Lines>0</Lines>
  <Paragraphs>0</Paragraphs>
  <TotalTime>6</TotalTime>
  <ScaleCrop>false</ScaleCrop>
  <LinksUpToDate>false</LinksUpToDate>
  <CharactersWithSpaces>2027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2023-11-23T12:45:00Z</dcterms:created>
  <dc:creator>fjjsxxzx</dc:creator>
  <cp:lastModifiedBy>Administrator</cp:lastModifiedBy>
  <cp:lastPrinted>2024-12-05T02:48:07Z</cp:lastPrinted>
  <dcterms:modified xsi:type="dcterms:W3CDTF">2024-12-05T02:49:41Z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KSOProductBuildVer">
    <vt:lpwstr>2052-12.1.0.18912</vt:lpwstr>
  </property>
  <property fmtid="{D5CDD505-2E9C-101B-9397-08002B2CF9AE}" pid="4" name="ICV">
    <vt:lpwstr>0307E8CE47E14795A2C48EA54D1BEC6D_13</vt:lpwstr>
  </property>
</Properties>
</file>