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tabs>
          <w:tab w:val="left" w:pos="5490"/>
        </w:tabs>
        <w:kinsoku/>
        <w:wordWrap/>
        <w:overflowPunct/>
        <w:topLinePunct w:val="0"/>
        <w:autoSpaceDN/>
        <w:bidi w:val="0"/>
        <w:adjustRightInd/>
        <w:snapToGrid/>
        <w:spacing w:before="0" w:after="0" w:line="560" w:lineRule="exact"/>
        <w:ind w:left="0" w:leftChars="0" w:right="0" w:rightChars="0"/>
        <w:jc w:val="left"/>
        <w:rPr>
          <w:rFonts w:hint="eastAsia" w:ascii="仿宋" w:hAnsi="仿宋" w:eastAsia="仿宋"/>
        </w:rPr>
      </w:pPr>
    </w:p>
    <w:p>
      <w:pPr>
        <w:pStyle w:val="6"/>
        <w:keepNext w:val="0"/>
        <w:keepLines w:val="0"/>
        <w:pageBreakBefore w:val="0"/>
        <w:kinsoku/>
        <w:wordWrap/>
        <w:overflowPunct/>
        <w:topLinePunct w:val="0"/>
        <w:autoSpaceDN/>
        <w:bidi w:val="0"/>
        <w:adjustRightInd/>
        <w:snapToGrid/>
        <w:spacing w:before="0" w:after="0" w:line="560" w:lineRule="exact"/>
        <w:ind w:left="0" w:leftChars="0" w:right="0" w:rightChars="0"/>
        <w:jc w:val="center"/>
        <w:rPr>
          <w:rFonts w:hint="eastAsia" w:ascii="仿宋" w:hAnsi="仿宋" w:eastAsia="仿宋"/>
        </w:rPr>
      </w:pPr>
    </w:p>
    <w:p>
      <w:pPr>
        <w:pStyle w:val="6"/>
        <w:keepNext w:val="0"/>
        <w:keepLines w:val="0"/>
        <w:pageBreakBefore w:val="0"/>
        <w:kinsoku/>
        <w:wordWrap/>
        <w:overflowPunct/>
        <w:topLinePunct w:val="0"/>
        <w:autoSpaceDN/>
        <w:bidi w:val="0"/>
        <w:adjustRightInd/>
        <w:snapToGrid/>
        <w:spacing w:before="0" w:after="0" w:line="560" w:lineRule="exact"/>
        <w:ind w:left="0" w:leftChars="0" w:right="0" w:rightChars="0"/>
        <w:jc w:val="center"/>
        <w:rPr>
          <w:rFonts w:hint="eastAsia" w:ascii="仿宋" w:hAnsi="仿宋" w:eastAsia="仿宋"/>
        </w:rPr>
      </w:pPr>
    </w:p>
    <w:p>
      <w:pPr>
        <w:pStyle w:val="6"/>
        <w:keepNext w:val="0"/>
        <w:keepLines w:val="0"/>
        <w:pageBreakBefore w:val="0"/>
        <w:kinsoku/>
        <w:wordWrap/>
        <w:overflowPunct/>
        <w:topLinePunct w:val="0"/>
        <w:autoSpaceDN/>
        <w:bidi w:val="0"/>
        <w:adjustRightInd/>
        <w:snapToGrid/>
        <w:spacing w:before="0" w:after="0" w:line="560" w:lineRule="exact"/>
        <w:ind w:left="0" w:leftChars="0" w:right="0" w:rightChars="0"/>
        <w:jc w:val="center"/>
        <w:rPr>
          <w:rFonts w:hint="eastAsia" w:ascii="仿宋" w:hAnsi="仿宋" w:eastAsia="仿宋"/>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rPr>
          <w:rFonts w:hint="eastAsia" w:ascii="仿宋" w:hAnsi="仿宋" w:eastAsia="仿宋"/>
        </w:rPr>
      </w:pP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0" w:firstLineChars="0"/>
        <w:rPr>
          <w:rFonts w:hint="eastAsia"/>
        </w:rPr>
      </w:pPr>
    </w:p>
    <w:p>
      <w:pPr>
        <w:keepNext w:val="0"/>
        <w:keepLines w:val="0"/>
        <w:pageBreakBefore w:val="0"/>
        <w:kinsoku/>
        <w:wordWrap/>
        <w:overflowPunct/>
        <w:topLinePunct w:val="0"/>
        <w:autoSpaceDN/>
        <w:bidi w:val="0"/>
        <w:adjustRightInd/>
        <w:snapToGrid/>
        <w:spacing w:line="560" w:lineRule="exact"/>
        <w:ind w:left="0" w:leftChars="0" w:right="0" w:rightChars="0"/>
        <w:jc w:val="center"/>
        <w:rPr>
          <w:rFonts w:hint="eastAsia" w:ascii="仿宋_GB2312" w:hAnsi="Times New Roman" w:eastAsia="仿宋_GB2312" w:cs="Times New Roman"/>
          <w:kern w:val="0"/>
          <w:sz w:val="32"/>
          <w:lang w:bidi="ar"/>
        </w:rPr>
      </w:pPr>
      <w:r>
        <w:rPr>
          <w:rFonts w:hint="eastAsia" w:ascii="仿宋_GB2312" w:hAnsi="Times New Roman" w:eastAsia="仿宋_GB2312" w:cs="Times New Roman"/>
          <w:kern w:val="0"/>
          <w:sz w:val="32"/>
          <w:lang w:bidi="ar"/>
        </w:rPr>
        <w:t>德</w:t>
      </w:r>
      <w:r>
        <w:rPr>
          <w:rFonts w:hint="eastAsia" w:ascii="仿宋_GB2312" w:hAnsi="Times New Roman" w:eastAsia="仿宋_GB2312" w:cs="Times New Roman"/>
          <w:kern w:val="0"/>
          <w:sz w:val="32"/>
          <w:lang w:val="en-US" w:eastAsia="zh-CN" w:bidi="ar"/>
        </w:rPr>
        <w:t>建</w:t>
      </w:r>
      <w:r>
        <w:rPr>
          <w:rFonts w:hint="eastAsia" w:ascii="仿宋_GB2312" w:hAnsi="Times New Roman" w:eastAsia="仿宋_GB2312" w:cs="Times New Roman"/>
          <w:kern w:val="0"/>
          <w:sz w:val="32"/>
          <w:lang w:bidi="ar"/>
        </w:rPr>
        <w:t>〔202</w:t>
      </w:r>
      <w:r>
        <w:rPr>
          <w:rFonts w:hint="eastAsia" w:ascii="仿宋_GB2312" w:hAnsi="Times New Roman" w:eastAsia="仿宋_GB2312" w:cs="Times New Roman"/>
          <w:kern w:val="0"/>
          <w:sz w:val="32"/>
          <w:lang w:val="en-US" w:eastAsia="zh-CN" w:bidi="ar"/>
        </w:rPr>
        <w:t>4</w:t>
      </w:r>
      <w:r>
        <w:rPr>
          <w:rFonts w:hint="eastAsia" w:ascii="仿宋_GB2312" w:hAnsi="Times New Roman" w:eastAsia="仿宋_GB2312" w:cs="Times New Roman"/>
          <w:kern w:val="0"/>
          <w:sz w:val="32"/>
          <w:lang w:bidi="ar"/>
        </w:rPr>
        <w:t>〕</w:t>
      </w:r>
      <w:r>
        <w:rPr>
          <w:rFonts w:hint="eastAsia" w:ascii="仿宋_GB2312" w:hAnsi="Times New Roman" w:eastAsia="仿宋_GB2312" w:cs="Times New Roman"/>
          <w:kern w:val="0"/>
          <w:sz w:val="32"/>
          <w:lang w:val="en-US" w:eastAsia="zh-CN" w:bidi="ar"/>
        </w:rPr>
        <w:t xml:space="preserve"> </w:t>
      </w:r>
      <w:r>
        <w:rPr>
          <w:rFonts w:hint="eastAsia" w:ascii="仿宋_GB2312" w:hAnsi="Times New Roman" w:eastAsia="仿宋_GB2312" w:cs="Times New Roman"/>
          <w:kern w:val="0"/>
          <w:sz w:val="32"/>
          <w:lang w:bidi="ar"/>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ascii="方正小标宋简体" w:hAnsi="Times New Roman" w:eastAsia="方正小标宋简体" w:cs="Times New Roman"/>
          <w:sz w:val="44"/>
          <w:szCs w:val="44"/>
          <w:highlight w:val="none"/>
          <w:lang w:eastAsia="zh-CN"/>
        </w:rPr>
      </w:pPr>
    </w:p>
    <w:p>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center"/>
        <w:textAlignment w:val="auto"/>
        <w:rPr>
          <w:rFonts w:hint="eastAsia"/>
          <w:lang w:eastAsia="zh-CN"/>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德化县</w:t>
      </w:r>
      <w:r>
        <w:rPr>
          <w:rFonts w:hint="eastAsia" w:ascii="方正小标宋_GBK" w:hAnsi="方正小标宋_GBK" w:eastAsia="方正小标宋_GBK" w:cs="方正小标宋_GBK"/>
          <w:sz w:val="44"/>
          <w:szCs w:val="44"/>
          <w:lang w:val="en-US" w:eastAsia="zh-CN"/>
        </w:rPr>
        <w:t>住房和城乡建设局</w:t>
      </w: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德化县保障性租赁住房运营管理的通知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szCs w:val="32"/>
        </w:rPr>
      </w:pPr>
    </w:p>
    <w:p>
      <w:pPr>
        <w:keepNext w:val="0"/>
        <w:keepLines w:val="0"/>
        <w:pageBreakBefore w:val="0"/>
        <w:kinsoku/>
        <w:wordWrap/>
        <w:overflowPunct/>
        <w:topLinePunct w:val="0"/>
        <w:autoSpaceDN/>
        <w:bidi w:val="0"/>
        <w:adjustRightInd/>
        <w:snapToGrid/>
        <w:spacing w:line="560" w:lineRule="exact"/>
        <w:ind w:left="0" w:leftChars="0" w:right="0" w:rightChars="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各乡镇人民政府，县直有关单位：</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现将《德化县保障性租赁住房运营管理的通知》印发给你们，请认真贯彻执行。</w:t>
      </w: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640" w:firstLineChars="200"/>
        <w:rPr>
          <w:rFonts w:hint="eastAsia" w:ascii="Times New Roman" w:hAnsi="Times New Roman" w:eastAsia="仿宋_GB2312"/>
          <w:sz w:val="32"/>
          <w:szCs w:val="32"/>
        </w:rPr>
      </w:pP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640" w:firstLineChars="200"/>
        <w:rPr>
          <w:rFonts w:hint="eastAsia" w:ascii="Times New Roman" w:hAnsi="Times New Roman" w:eastAsia="仿宋_GB2312"/>
          <w:sz w:val="32"/>
          <w:szCs w:val="32"/>
        </w:rPr>
      </w:pP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640" w:firstLineChars="200"/>
        <w:rPr>
          <w:rFonts w:hint="eastAsia" w:ascii="Times New Roman" w:hAnsi="Times New Roman" w:eastAsia="仿宋_GB2312"/>
          <w:sz w:val="32"/>
          <w:szCs w:val="32"/>
        </w:rPr>
      </w:pP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640" w:firstLineChars="200"/>
        <w:jc w:val="righ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德化县</w:t>
      </w:r>
      <w:r>
        <w:rPr>
          <w:rFonts w:hint="eastAsia" w:ascii="Times New Roman" w:hAnsi="Times New Roman" w:eastAsia="仿宋_GB2312"/>
          <w:sz w:val="32"/>
          <w:szCs w:val="32"/>
          <w:lang w:val="en-US" w:eastAsia="zh-CN"/>
        </w:rPr>
        <w:t>住房和城乡建设局</w:t>
      </w: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5440" w:firstLineChars="1700"/>
        <w:rPr>
          <w:rFonts w:hint="eastAsia" w:ascii="仿宋_GB2312" w:hAnsi="Times New Roman" w:eastAsia="仿宋_GB2312"/>
          <w:sz w:val="44"/>
          <w:szCs w:val="44"/>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 xml:space="preserve">29 </w:t>
      </w:r>
      <w:r>
        <w:rPr>
          <w:rFonts w:hint="eastAsia" w:ascii="仿宋_GB2312" w:hAnsi="Times New Roman" w:eastAsia="仿宋_GB2312"/>
          <w:sz w:val="32"/>
          <w:szCs w:val="32"/>
        </w:rPr>
        <w:t>日</w:t>
      </w:r>
    </w:p>
    <w:p>
      <w:pPr>
        <w:pStyle w:val="12"/>
        <w:keepNext w:val="0"/>
        <w:keepLines w:val="0"/>
        <w:pageBreakBefore w:val="0"/>
        <w:kinsoku/>
        <w:wordWrap/>
        <w:overflowPunct/>
        <w:topLinePunct w:val="0"/>
        <w:autoSpaceDN/>
        <w:bidi w:val="0"/>
        <w:adjustRightInd/>
        <w:snapToGrid/>
        <w:spacing w:after="0" w:line="560" w:lineRule="exact"/>
        <w:ind w:left="0" w:leftChars="0" w:right="0" w:righ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（此件主动公开）</w:t>
      </w:r>
    </w:p>
    <w:p>
      <w:pPr>
        <w:pStyle w:val="2"/>
        <w:keepNext w:val="0"/>
        <w:keepLines w:val="0"/>
        <w:pageBreakBefore w:val="0"/>
        <w:kinsoku/>
        <w:wordWrap/>
        <w:overflowPunct/>
        <w:topLinePunct w:val="0"/>
        <w:autoSpaceDN/>
        <w:bidi w:val="0"/>
        <w:adjustRightInd/>
        <w:snapToGrid/>
        <w:spacing w:after="0" w:line="560" w:lineRule="exact"/>
        <w:ind w:left="0" w:leftChars="0" w:right="0" w:rightChars="0" w:firstLine="0" w:firstLineChars="0"/>
        <w:rPr>
          <w:rFonts w:hint="eastAsia" w:ascii="仿宋_GB2312" w:eastAsia="仿宋_GB2312" w:cstheme="minorBidi"/>
          <w:b/>
          <w:bCs/>
          <w:color w:val="auto"/>
          <w:kern w:val="2"/>
          <w:sz w:val="36"/>
          <w:szCs w:val="36"/>
          <w:highlight w:val="none"/>
          <w:lang w:val="en-US" w:eastAsia="zh-CN" w:bidi="ar-SA"/>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723" w:firstLineChars="200"/>
        <w:jc w:val="center"/>
        <w:textAlignment w:val="auto"/>
        <w:rPr>
          <w:rFonts w:hint="eastAsia" w:ascii="仿宋_GB2312" w:eastAsia="仿宋_GB2312" w:cstheme="minorBidi"/>
          <w:b/>
          <w:bCs/>
          <w:color w:val="auto"/>
          <w:kern w:val="2"/>
          <w:sz w:val="36"/>
          <w:szCs w:val="36"/>
          <w:highlight w:val="none"/>
          <w:lang w:val="en-US" w:eastAsia="zh-CN" w:bidi="ar-SA"/>
        </w:rPr>
      </w:pPr>
    </w:p>
    <w:p>
      <w:pPr>
        <w:pStyle w:val="2"/>
        <w:ind w:left="0" w:leftChars="0" w:firstLine="0" w:firstLineChars="0"/>
        <w:rPr>
          <w:rFonts w:hint="eastAsia" w:ascii="仿宋_GB2312" w:eastAsia="仿宋_GB2312" w:cstheme="minorBidi"/>
          <w:b/>
          <w:bCs/>
          <w:color w:val="auto"/>
          <w:kern w:val="2"/>
          <w:sz w:val="36"/>
          <w:szCs w:val="36"/>
          <w:highlight w:val="none"/>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jc w:val="center"/>
        <w:rPr>
          <w:rFonts w:hint="eastAsia" w:ascii="仿宋" w:hAnsi="仿宋" w:eastAsia="仿宋" w:cs="仿宋"/>
          <w:b/>
          <w:bCs/>
          <w:color w:val="auto"/>
          <w:kern w:val="2"/>
          <w:sz w:val="32"/>
          <w:szCs w:val="32"/>
          <w:highlight w:val="none"/>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德化县保障性租赁住房运营管理的通知</w:t>
      </w:r>
      <w:r>
        <w:rPr>
          <w:rFonts w:hint="eastAsia" w:ascii="微软雅黑" w:hAnsi="微软雅黑" w:eastAsia="微软雅黑" w:cs="微软雅黑"/>
          <w:b/>
          <w:bCs/>
          <w:i w:val="0"/>
          <w:iCs w:val="0"/>
          <w:caps w:val="0"/>
          <w:color w:val="000000"/>
          <w:spacing w:val="0"/>
          <w:sz w:val="27"/>
          <w:szCs w:val="27"/>
        </w:rPr>
        <w:t>　</w:t>
      </w: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left"/>
        <w:textAlignment w:val="auto"/>
        <w:rPr>
          <w:rFonts w:hint="eastAsia" w:ascii="仿宋" w:hAnsi="仿宋" w:eastAsia="仿宋" w:cs="仿宋"/>
          <w:color w:val="auto"/>
          <w:kern w:val="2"/>
          <w:sz w:val="32"/>
          <w:szCs w:val="32"/>
          <w:highlight w:val="none"/>
          <w:lang w:val="en-US" w:eastAsia="zh-CN" w:bidi="ar-SA"/>
        </w:rPr>
      </w:pPr>
    </w:p>
    <w:p>
      <w:pPr>
        <w:keepNext w:val="0"/>
        <w:keepLines w:val="0"/>
        <w:pageBreakBefore w:val="0"/>
        <w:widowControl w:val="0"/>
        <w:kinsoku/>
        <w:wordWrap/>
        <w:overflowPunct/>
        <w:topLinePunct w:val="0"/>
        <w:autoSpaceDE w:val="0"/>
        <w:autoSpaceDN/>
        <w:bidi w:val="0"/>
        <w:adjustRightInd/>
        <w:snapToGrid/>
        <w:spacing w:line="560" w:lineRule="exact"/>
        <w:ind w:left="0" w:leftChars="0" w:right="0" w:rightChars="0" w:firstLine="640" w:firstLineChars="200"/>
        <w:jc w:val="both"/>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为贯彻落实《国务院办公厅关于加快发展保障性租赁住房的意见》（国办发〔2021〕22 号）、《福建省住房和城乡建设厅印发&lt;关于加快发展保障性租赁住房的实施意见&gt;的通知》（闽建住〔2022〕2号）、《泉州市人民政府办公室关于加快发展保障性租赁住房的实施意见》（泉政办规〔2022〕4号）、《德化县人民政府办公室印发关于加快发展保障性租赁住房的实施意见的通知》（德政办规〔2023〕1号）、〈德化县住房和城乡建设局等5部门关于印发《德化县保障性租赁住房建设与管理规定》的通知&gt;（德建规〔2023〕1号 ）等文件精神，进一步规范保障性租赁住房运营管理，制定本通知。</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适用范围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通知适用于由我县财政或国企出资建设的保障性租赁住房房源管理、配租管理、费用管理、后期管理、监督管理等工作，包括德化县市政建设工程有限公司投资建设的德化县工业园区标准化试点园区建设项目（1#、2#楼）、城东四期古洋保障性租赁住房。</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Chars="200" w:right="0" w:rightChars="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　二、运营管理单位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运营管理单位统一确定由德化县市政建设工程有限公司承担（简称“运营管理单位”），负责保障性租赁住房运营管理工作，按照规定要求承担房源核查、房源发布、选房配租、签约备案、入住退出、日常巡查、隐患排查、使用监管等工作。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三、入库程序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jc w:val="both"/>
        <w:rPr>
          <w:rFonts w:hint="eastAsia" w:ascii="黑体" w:hAnsi="黑体" w:eastAsia="黑体" w:cs="黑体"/>
          <w:b w:val="0"/>
          <w:bCs w:val="0"/>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运营管理单位对房源信息进行调查核实后，负责将房源信息统一录入泉州市住房租赁服务监管平台，并提交县住房保障主管部门审核。审核通过后，纳入房源库进行管理。</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仿宋" w:hAnsi="仿宋" w:eastAsia="仿宋" w:cs="仿宋"/>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四、房源发布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纳入房源库管理的房源，应通过泉州市住房租赁服务监管平台统一对外发布。房源信息包括：房源地址、套型、户数、面积、实景图、配租方式、产权人、运营管理单位、收费事项及标准等。</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 配租对象</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jc w:val="both"/>
        <w:rPr>
          <w:rFonts w:hint="default" w:ascii="仿宋" w:hAnsi="仿宋" w:eastAsia="仿宋" w:cs="仿宋"/>
          <w:color w:val="auto"/>
          <w:kern w:val="2"/>
          <w:sz w:val="32"/>
          <w:szCs w:val="32"/>
          <w:highlight w:val="none"/>
          <w:lang w:val="en-US" w:eastAsia="zh-CN" w:bidi="ar-SA"/>
        </w:rPr>
      </w:pPr>
      <w:bookmarkStart w:id="0" w:name="_GoBack"/>
      <w:r>
        <w:rPr>
          <w:rFonts w:hint="eastAsia" w:ascii="仿宋" w:hAnsi="仿宋" w:eastAsia="仿宋" w:cs="仿宋"/>
          <w:color w:val="auto"/>
          <w:kern w:val="2"/>
          <w:sz w:val="32"/>
          <w:szCs w:val="32"/>
          <w:highlight w:val="none"/>
          <w:lang w:val="en-US" w:eastAsia="zh-CN" w:bidi="ar-SA"/>
        </w:rPr>
        <w:t>承租对象主要为在城区工作生活且无房的新市民、青年人，或在城区人均自有住房建筑面积少于20㎡的住房困难群体。</w:t>
      </w:r>
    </w:p>
    <w:bookmarkEnd w:id="0"/>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六、准入条件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配租对象应同时满足以下条件：</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（一）申请人及共同居住人须提供身份证。</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（二）申请人及共同居住人名下在城区无住房（含自有住房、租住的公房、普通商品住房）或在城区人均自有住房建筑面积少于20㎡，并签订授权核查书。</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（三）申请人及共同居住人未享受公租房政策。</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（四）申请人及共同居住人未享受过经济适用住房（含已上市的经济适用住房和已退回经济适用住房补贴款）等政策。 </w:t>
      </w:r>
      <w:r>
        <w:rPr>
          <w:rFonts w:hint="eastAsia" w:ascii="仿宋" w:hAnsi="仿宋" w:eastAsia="仿宋" w:cs="仿宋"/>
          <w:color w:val="auto"/>
          <w:kern w:val="2"/>
          <w:sz w:val="32"/>
          <w:szCs w:val="32"/>
          <w:highlight w:val="none"/>
          <w:lang w:val="en-US" w:eastAsia="zh-CN" w:bidi="ar-SA"/>
        </w:rPr>
        <w:br w:type="textWrapping"/>
      </w:r>
      <w:r>
        <w:rPr>
          <w:rFonts w:hint="eastAsia" w:ascii="仿宋" w:hAnsi="仿宋" w:eastAsia="仿宋" w:cs="仿宋"/>
          <w:color w:val="auto"/>
          <w:kern w:val="2"/>
          <w:sz w:val="32"/>
          <w:szCs w:val="32"/>
          <w:highlight w:val="none"/>
          <w:lang w:val="en-US" w:eastAsia="zh-CN" w:bidi="ar-SA"/>
        </w:rPr>
        <w:t>     （五）申请人及共同居住人未享受共有产权住房政策。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w:t>
      </w: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七、申请审核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所有保租房项目均纳入泉州市住房租赁服务监管平台统一管理，保租房房源公布、申请、配租、合同签订和合同登记备案。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申请人通过网上或现场两种方式申请保障性租赁住房资格，提交姓名、身份证号码等信息，通过管理服务平台自动比对审核，审核通过后，申请人取得配租资格，全程在泉州市住房租赁服务监管平台上办理。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八、配租流程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配租流程按照公开、公平、公正的原则进行，运营管理单位与承租人达成租赁意向后即可办理签约备案和入住。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九、合同期限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合同期限不超过3年，合同期满后，符合条件的方可续租，但承租人应提前1个月向运营管理单位提出续租申请。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租赁合同期限内，承租人出现不符合住房保障条件的情形，应当腾退所承租的房屋。腾退确有困难的，可给予不超过2个月的腾退期，腾退期内租金按照市场租金标准执行。</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十、其他配租对象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在满足第六条的配租对象配租完成后，若有多余房源运营管理单位可以面向机关事业单位、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短期整体配租，解决机关事业单位、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员工住房困难。有租赁需求的机关事业单位、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可直接向运营管理单位提交相关报名材料（营业执照、员工劳动合同、身份证等信息）集中申请，由运营管理单位审核并按以下顺序进行配租：1.机关事业单位、规上企业；2.非规上企业且近两年累计纳税额达100万元以上；3.近两年累计纳税额达50万元及以上100万元以下的企业；4.近两年累计纳税额在50万元以下的企业。其中，德化市政公司投资建设的</w:t>
      </w:r>
      <w:r>
        <w:rPr>
          <w:rFonts w:hint="default" w:ascii="仿宋" w:hAnsi="仿宋" w:eastAsia="仿宋" w:cs="仿宋"/>
          <w:color w:val="auto"/>
          <w:kern w:val="2"/>
          <w:sz w:val="32"/>
          <w:szCs w:val="32"/>
          <w:highlight w:val="none"/>
          <w:lang w:eastAsia="zh-CN" w:bidi="ar-SA"/>
        </w:rPr>
        <w:t>德化县工业园区标准化试点园区建设项目（1#、2#楼）、城东四期古洋保障性租赁住房</w:t>
      </w:r>
      <w:r>
        <w:rPr>
          <w:rFonts w:hint="eastAsia" w:ascii="仿宋" w:hAnsi="仿宋" w:eastAsia="仿宋" w:cs="仿宋"/>
          <w:color w:val="auto"/>
          <w:kern w:val="2"/>
          <w:sz w:val="32"/>
          <w:szCs w:val="32"/>
          <w:highlight w:val="none"/>
          <w:lang w:val="en-US" w:eastAsia="zh-CN" w:bidi="ar-SA"/>
        </w:rPr>
        <w:t>可以优先保障凤洋、古洋标准化厂房入驻企业。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firstLineChars="20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整租租赁期限不超过1年，租赁期限满后，在保障第六条配租对象的住房需求的基础上，多余房源方可续租。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十一、租金标准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5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运营管理单位应根据不同房源类型合理确定保障性租赁住房租金标准，但不得超过合同签订时最新发布的同地段、同类型、同品质租赁住房市场租金标准的90%，并实行动态管理。　　</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十二、租金调整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黑体" w:hAnsi="黑体" w:eastAsia="黑体" w:cs="黑体"/>
          <w:b w:val="0"/>
          <w:bCs w:val="0"/>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保障性租赁住房的租金稳定三年不变，三年后根据我县市场的变化情况，参照周边公寓出租价格作调整。</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十三、租金收取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租金按月收缴。承租人应及时通过租金缴纳系统进行缴纳，逾期未缴纳，运营管理单位将按照租赁合同具体约定采取相关措施。租赁押金不得超过1个月租金。租赁期限内，产权人或承租人需提前解除租赁合同的，租金、违约金按合同约定执行。</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rightChars="0"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十四、其他费用标准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物业服务费、水电气费、停车费等相关费用的收取及标准按租赁合同和物业服务合同约定执行。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十五、运营管理单位职责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(一)按照规定要求做好运营管理服务工作，及时将房屋交付承租人;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(二)建立健全运营服务保障机制，负责保障性租赁住房房源核查、房源发布、选房配租、签约备案、入住退出、日常巡查、隐患排查、使用监管等工作，确保保障性租赁住房的规范使用、正常使用;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(三)对承租人租赁行为进行宣传引导，开展消防、用电、燃气等安全隐患巡查，发现隐患及时报告相应主管部门，配合做好租金、水、电、气、物业管理等费用查验;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(五)履行国家和省、市保障性租赁住房政策规定、委托协议及合同约定的其他职责。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十六、承租人职责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(一)配合运营管理单位开展房屋租赁工作;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(二)按照合同约定规范租住保障性租赁住房，所租赁房屋仅能用于居住，不得改变房屋用途、违法改建，不得将承租的房屋转租、转借、分租;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三)遵守国家和省、市有关保障性租赁住房的规定，按照租赁合同约定合理使用房屋及设施设备，自觉维护公共安全、公共秩序及环境卫生，发现消防、燃气、治安等安全隐患及时报告，并按规定及合同约定由相应责任主体进行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(四)按照合同约定及时缴纳租金及水、电、气、网络、物业管理费等费用。合同解除后，及时搬离所承租房屋;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(五)不得在保障性租赁住房内从事违法活动;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(六)履行国家和省、市保障性租赁住房政策规定和合同约定的其他职责。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0"/>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　　</w:t>
      </w:r>
      <w:r>
        <w:rPr>
          <w:rFonts w:hint="eastAsia" w:ascii="黑体" w:hAnsi="黑体" w:eastAsia="黑体" w:cs="黑体"/>
          <w:b w:val="0"/>
          <w:bCs w:val="0"/>
          <w:color w:val="auto"/>
          <w:kern w:val="2"/>
          <w:sz w:val="32"/>
          <w:szCs w:val="32"/>
          <w:highlight w:val="none"/>
          <w:lang w:val="en-US" w:eastAsia="zh-CN" w:bidi="ar-SA"/>
        </w:rPr>
        <w:t>十七、承租人违规处理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承租人违反国家、省、市和本通知有关规定，采取隐报、瞒报或提供虚假材料等不正当手段，骗取保障性租赁住房入住资格，或者违规使用房屋。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（一）正在申请入住资格的，不予受理;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（二）已取得入住资格未配租保障性租赁住房的，不予配租;</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（三）已承租保障性租赁住房的，收回所承租房屋；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（四）违规使用承租房屋，对房屋造成损失的，依法承担赔偿责任;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left="0" w:leftChars="0" w:right="0" w:rightChars="0" w:firstLine="64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（五）机关事业单位、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整租的违约处理。承租单位是保租房租后管理第一责任人，要负责做好本单位、本企业员工的入住和退出，整租期满应负责组织员工及时搬离。若不配合，运营管理单位将上报政府相关部门</w:t>
      </w:r>
      <w:r>
        <w:rPr>
          <w:rFonts w:hint="default" w:ascii="仿宋" w:hAnsi="仿宋" w:eastAsia="仿宋" w:cs="仿宋"/>
          <w:color w:val="auto"/>
          <w:kern w:val="2"/>
          <w:sz w:val="32"/>
          <w:szCs w:val="32"/>
          <w:highlight w:val="none"/>
          <w:lang w:eastAsia="zh-CN" w:bidi="ar-SA"/>
        </w:rPr>
        <w:t>从税收、资金奖补、信用等级、融资贷款等联合机制进行制约管理。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0"/>
        <w:jc w:val="both"/>
        <w:textAlignment w:val="auto"/>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（六）构成犯罪的，移送司法机关处理并收回所承租房屋。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 w:hAnsi="仿宋" w:eastAsia="仿宋" w:cs="仿宋"/>
          <w:b/>
          <w:bCs/>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十八、解释机关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本通知由德化县住房和城乡建设局承担具体解释工作。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本通知自印发之日起施行。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           </w:t>
      </w:r>
    </w:p>
    <w:sectPr>
      <w:footerReference r:id="rId3" w:type="default"/>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061721"/>
    <w:multiLevelType w:val="singleLevel"/>
    <w:tmpl w:val="D3061721"/>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OGI3OGQ4NmJkMDBmMjM1ZTdjMTY3MjlmODQ3YTQifQ=="/>
  </w:docVars>
  <w:rsids>
    <w:rsidRoot w:val="00000000"/>
    <w:rsid w:val="01C007B9"/>
    <w:rsid w:val="04745C7C"/>
    <w:rsid w:val="04AC4334"/>
    <w:rsid w:val="04CC17E8"/>
    <w:rsid w:val="05D07F48"/>
    <w:rsid w:val="079F0DD1"/>
    <w:rsid w:val="0895194F"/>
    <w:rsid w:val="096C0135"/>
    <w:rsid w:val="0AA91E21"/>
    <w:rsid w:val="0BB14B96"/>
    <w:rsid w:val="0C6A36D6"/>
    <w:rsid w:val="0CDF1C08"/>
    <w:rsid w:val="0CFE0F67"/>
    <w:rsid w:val="0DA474CB"/>
    <w:rsid w:val="0E0674F2"/>
    <w:rsid w:val="0EC555D7"/>
    <w:rsid w:val="0F062090"/>
    <w:rsid w:val="104D2FB0"/>
    <w:rsid w:val="122D3693"/>
    <w:rsid w:val="13416457"/>
    <w:rsid w:val="14425501"/>
    <w:rsid w:val="15E02921"/>
    <w:rsid w:val="16406787"/>
    <w:rsid w:val="17AF57DF"/>
    <w:rsid w:val="18590296"/>
    <w:rsid w:val="195722A2"/>
    <w:rsid w:val="1A0A54E1"/>
    <w:rsid w:val="1A601DD8"/>
    <w:rsid w:val="1A7813A2"/>
    <w:rsid w:val="1AC8306E"/>
    <w:rsid w:val="1AEC64B5"/>
    <w:rsid w:val="1C415848"/>
    <w:rsid w:val="1DA665FF"/>
    <w:rsid w:val="1DCD7CE1"/>
    <w:rsid w:val="1FA7572C"/>
    <w:rsid w:val="1FBB10B7"/>
    <w:rsid w:val="203D5D48"/>
    <w:rsid w:val="207861AB"/>
    <w:rsid w:val="2091718D"/>
    <w:rsid w:val="2107069C"/>
    <w:rsid w:val="219245B1"/>
    <w:rsid w:val="24FF6AD8"/>
    <w:rsid w:val="25BE5190"/>
    <w:rsid w:val="263D11C5"/>
    <w:rsid w:val="270631AD"/>
    <w:rsid w:val="28235FAE"/>
    <w:rsid w:val="28E77BB9"/>
    <w:rsid w:val="2A4A5A40"/>
    <w:rsid w:val="2A4B4EB8"/>
    <w:rsid w:val="2BD52518"/>
    <w:rsid w:val="2C2422F5"/>
    <w:rsid w:val="2C4C65F0"/>
    <w:rsid w:val="2CBE503B"/>
    <w:rsid w:val="2CCE676A"/>
    <w:rsid w:val="2D3B32DB"/>
    <w:rsid w:val="2D874010"/>
    <w:rsid w:val="2DD80E21"/>
    <w:rsid w:val="2EDD2196"/>
    <w:rsid w:val="31930B44"/>
    <w:rsid w:val="31C874CE"/>
    <w:rsid w:val="32770019"/>
    <w:rsid w:val="33467E96"/>
    <w:rsid w:val="33B276B7"/>
    <w:rsid w:val="350F11F7"/>
    <w:rsid w:val="35E40EA6"/>
    <w:rsid w:val="3645448B"/>
    <w:rsid w:val="384E5B72"/>
    <w:rsid w:val="38B9272C"/>
    <w:rsid w:val="398D2270"/>
    <w:rsid w:val="3A371D3E"/>
    <w:rsid w:val="3BC15E2A"/>
    <w:rsid w:val="40C1474B"/>
    <w:rsid w:val="41C061C4"/>
    <w:rsid w:val="420112D4"/>
    <w:rsid w:val="422E72C2"/>
    <w:rsid w:val="42674635"/>
    <w:rsid w:val="44C42741"/>
    <w:rsid w:val="463C2D9E"/>
    <w:rsid w:val="4B64304A"/>
    <w:rsid w:val="4B956CB2"/>
    <w:rsid w:val="4C456EBF"/>
    <w:rsid w:val="4D5014E2"/>
    <w:rsid w:val="4D7031FE"/>
    <w:rsid w:val="5033094D"/>
    <w:rsid w:val="50DD2CDB"/>
    <w:rsid w:val="51531998"/>
    <w:rsid w:val="5340513A"/>
    <w:rsid w:val="53700317"/>
    <w:rsid w:val="539566F5"/>
    <w:rsid w:val="541E25F0"/>
    <w:rsid w:val="55DC74AF"/>
    <w:rsid w:val="55E37669"/>
    <w:rsid w:val="57E57A31"/>
    <w:rsid w:val="59436539"/>
    <w:rsid w:val="5B5C580E"/>
    <w:rsid w:val="5C837831"/>
    <w:rsid w:val="5D52191C"/>
    <w:rsid w:val="5D527386"/>
    <w:rsid w:val="5FFD0DF6"/>
    <w:rsid w:val="60924F56"/>
    <w:rsid w:val="61804252"/>
    <w:rsid w:val="61D73BC5"/>
    <w:rsid w:val="62410858"/>
    <w:rsid w:val="624567C6"/>
    <w:rsid w:val="63EB5FC3"/>
    <w:rsid w:val="678B56A0"/>
    <w:rsid w:val="69267763"/>
    <w:rsid w:val="693A77A4"/>
    <w:rsid w:val="69D06ED2"/>
    <w:rsid w:val="69DB32EB"/>
    <w:rsid w:val="6AB43B4F"/>
    <w:rsid w:val="6BF52B85"/>
    <w:rsid w:val="6C1A6117"/>
    <w:rsid w:val="6C3C7DDA"/>
    <w:rsid w:val="6D545D8F"/>
    <w:rsid w:val="6D8D21EE"/>
    <w:rsid w:val="6F5E1851"/>
    <w:rsid w:val="715C1BD1"/>
    <w:rsid w:val="71DF3F39"/>
    <w:rsid w:val="72326A2F"/>
    <w:rsid w:val="73F51B42"/>
    <w:rsid w:val="75887E76"/>
    <w:rsid w:val="75995FAA"/>
    <w:rsid w:val="75DA250D"/>
    <w:rsid w:val="762F3DC5"/>
    <w:rsid w:val="79581787"/>
    <w:rsid w:val="79E73EC6"/>
    <w:rsid w:val="7C136AA6"/>
    <w:rsid w:val="7E711768"/>
    <w:rsid w:val="7EA314FE"/>
    <w:rsid w:val="7F496164"/>
    <w:rsid w:val="7FAD0C36"/>
    <w:rsid w:val="AAED0D10"/>
    <w:rsid w:val="F7F8B96D"/>
    <w:rsid w:val="FDFDFF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1I2"/>
    <w:basedOn w:val="3"/>
    <w:autoRedefine/>
    <w:qFormat/>
    <w:uiPriority w:val="0"/>
    <w:pPr>
      <w:ind w:firstLine="420" w:firstLineChars="200"/>
    </w:pPr>
  </w:style>
  <w:style w:type="paragraph" w:customStyle="1" w:styleId="3">
    <w:name w:val="BodyTextIndent"/>
    <w:basedOn w:val="1"/>
    <w:next w:val="4"/>
    <w:autoRedefine/>
    <w:qFormat/>
    <w:uiPriority w:val="0"/>
    <w:pPr>
      <w:spacing w:after="120"/>
      <w:ind w:left="420" w:leftChars="200"/>
      <w:textAlignment w:val="baseline"/>
    </w:pPr>
    <w:rPr>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index 5"/>
    <w:basedOn w:val="1"/>
    <w:next w:val="1"/>
    <w:autoRedefine/>
    <w:qFormat/>
    <w:uiPriority w:val="0"/>
    <w:pPr>
      <w:ind w:left="1680"/>
    </w:pPr>
  </w:style>
  <w:style w:type="paragraph" w:styleId="6">
    <w:name w:val="Body Text"/>
    <w:basedOn w:val="1"/>
    <w:next w:val="1"/>
    <w:autoRedefine/>
    <w:qFormat/>
    <w:uiPriority w:val="0"/>
    <w:pPr>
      <w:widowControl w:val="0"/>
      <w:autoSpaceDE/>
      <w:autoSpaceDN/>
      <w:spacing w:before="0" w:after="120" w:line="240" w:lineRule="auto"/>
      <w:ind w:left="0" w:firstLine="0"/>
      <w:jc w:val="both"/>
    </w:pPr>
    <w:rPr>
      <w:rFonts w:ascii="Times New Roman" w:eastAsia="宋体"/>
      <w:sz w:val="21"/>
    </w:rPr>
  </w:style>
  <w:style w:type="paragraph" w:styleId="7">
    <w:name w:val="Body Text Indent"/>
    <w:basedOn w:val="1"/>
    <w:next w:val="4"/>
    <w:autoRedefine/>
    <w:qFormat/>
    <w:uiPriority w:val="0"/>
    <w:pPr>
      <w:spacing w:after="120"/>
      <w:ind w:left="420" w:leftChars="200"/>
    </w:pPr>
  </w:style>
  <w:style w:type="paragraph" w:styleId="8">
    <w:name w:val="Balloon Text"/>
    <w:basedOn w:val="1"/>
    <w:next w:val="5"/>
    <w:autoRedefine/>
    <w:unhideWhenUsed/>
    <w:qFormat/>
    <w:uiPriority w:val="0"/>
    <w:rPr>
      <w:rFonts w:eastAsia="宋体"/>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next w:val="1"/>
    <w:unhideWhenUsed/>
    <w:qFormat/>
    <w:uiPriority w:val="99"/>
    <w:pPr>
      <w:ind w:firstLine="420" w:firstLineChars="100"/>
    </w:pPr>
  </w:style>
  <w:style w:type="paragraph" w:styleId="12">
    <w:name w:val="Body Text First Indent 2"/>
    <w:basedOn w:val="7"/>
    <w:autoRedefine/>
    <w:qFormat/>
    <w:uiPriority w:val="0"/>
    <w:pPr>
      <w:ind w:firstLine="420" w:firstLineChars="200"/>
    </w:pPr>
  </w:style>
  <w:style w:type="character" w:styleId="15">
    <w:name w:val="Strong"/>
    <w:basedOn w:val="14"/>
    <w:qFormat/>
    <w:uiPriority w:val="0"/>
    <w:rPr>
      <w:b/>
    </w:rPr>
  </w:style>
  <w:style w:type="character" w:styleId="16">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2770</Words>
  <Characters>2801</Characters>
  <Lines>0</Lines>
  <Paragraphs>0</Paragraphs>
  <TotalTime>7</TotalTime>
  <ScaleCrop>false</ScaleCrop>
  <LinksUpToDate>false</LinksUpToDate>
  <CharactersWithSpaces>2940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2023-07-18T19:12:00Z</dcterms:created>
  <dc:creator>Administrator</dc:creator>
  <cp:lastModifiedBy>HP</cp:lastModifiedBy>
  <cp:lastPrinted>2023-11-15T23:10:00Z</cp:lastPrinted>
  <dcterms:modified xsi:type="dcterms:W3CDTF">2024-02-02T07:27:53Z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B0ECDD5462DA484E86AE29309FFEF1B6_13</vt:lpwstr>
  </property>
</Properties>
</file>