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4C464">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eastAsia="zh-CN"/>
        </w:rPr>
        <w:t>德化县工业用地土地与厂房征收补偿安置</w:t>
      </w:r>
    </w:p>
    <w:p w14:paraId="158C6E8D">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eastAsia="zh-CN"/>
        </w:rPr>
        <w:t>实施方案</w:t>
      </w:r>
    </w:p>
    <w:p w14:paraId="31EC6D05">
      <w:pPr>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w:t>
      </w:r>
      <w:r>
        <w:rPr>
          <w:rFonts w:hint="eastAsia" w:ascii="Times New Roman" w:hAnsi="Times New Roman" w:eastAsia="楷体_GB2312" w:cs="Times New Roman"/>
          <w:color w:val="auto"/>
          <w:sz w:val="32"/>
          <w:szCs w:val="32"/>
          <w:highlight w:val="none"/>
          <w:lang w:eastAsia="zh-CN"/>
        </w:rPr>
        <w:t>征求意见</w:t>
      </w:r>
      <w:r>
        <w:rPr>
          <w:rFonts w:hint="default" w:ascii="Times New Roman" w:hAnsi="Times New Roman" w:eastAsia="楷体_GB2312" w:cs="Times New Roman"/>
          <w:color w:val="auto"/>
          <w:sz w:val="32"/>
          <w:szCs w:val="32"/>
          <w:highlight w:val="none"/>
          <w:lang w:eastAsia="zh-CN"/>
        </w:rPr>
        <w:t>稿）</w:t>
      </w:r>
    </w:p>
    <w:p w14:paraId="36286121">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default" w:ascii="Times New Roman" w:hAnsi="Times New Roman" w:eastAsia="楷体_GB2312" w:cs="Times New Roman"/>
          <w:color w:val="auto"/>
          <w:sz w:val="32"/>
          <w:szCs w:val="32"/>
          <w:highlight w:val="none"/>
          <w:lang w:eastAsia="zh-CN"/>
        </w:rPr>
      </w:pPr>
    </w:p>
    <w:p w14:paraId="240D9E5E">
      <w:pPr>
        <w:pStyle w:val="5"/>
        <w:keepNext w:val="0"/>
        <w:keepLines w:val="0"/>
        <w:pageBreakBefore w:val="0"/>
        <w:widowControl w:val="0"/>
        <w:kinsoku/>
        <w:wordWrap/>
        <w:overflowPunct/>
        <w:topLinePunct w:val="0"/>
        <w:autoSpaceDE w:val="0"/>
        <w:autoSpaceDN w:val="0"/>
        <w:bidi w:val="0"/>
        <w:adjustRightInd w:val="0"/>
        <w:snapToGrid w:val="0"/>
        <w:spacing w:line="500" w:lineRule="exact"/>
        <w:ind w:left="0" w:right="0"/>
        <w:jc w:val="both"/>
        <w:textAlignment w:val="center"/>
        <w:rPr>
          <w:rFonts w:hint="default" w:ascii="Times New Roman" w:hAnsi="Times New Roman" w:eastAsia="楷体_GB2312" w:cs="Times New Roman"/>
          <w:color w:val="auto"/>
          <w:sz w:val="32"/>
          <w:szCs w:val="32"/>
          <w:highlight w:val="none"/>
          <w:lang w:eastAsia="zh-CN"/>
        </w:rPr>
      </w:pPr>
      <w:r>
        <w:rPr>
          <w:rFonts w:hint="eastAsia" w:ascii="仿宋_GB2312" w:hAnsi="仿宋_GB2312" w:eastAsia="仿宋_GB2312" w:cs="仿宋_GB2312"/>
          <w:spacing w:val="-2"/>
          <w:sz w:val="32"/>
          <w:szCs w:val="32"/>
        </w:rPr>
        <w:t>各乡镇人民政府</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县直有关单位</w:t>
      </w:r>
      <w:r>
        <w:rPr>
          <w:rFonts w:hint="eastAsia" w:ascii="仿宋_GB2312" w:hAnsi="仿宋_GB2312" w:eastAsia="仿宋_GB2312" w:cs="仿宋_GB2312"/>
          <w:spacing w:val="-2"/>
          <w:sz w:val="32"/>
          <w:szCs w:val="32"/>
          <w:lang w:eastAsia="zh-CN"/>
        </w:rPr>
        <w:t>：</w:t>
      </w:r>
    </w:p>
    <w:p w14:paraId="358779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为规范德化县工业用地土地与厂房征收补偿安置管理，盘活存量土地资产、优化资源配置、提升土地利用效能，支持企业稳健发展，根据有关法律法规及政策文件，结合德化县发展实际，制定本方案。</w:t>
      </w:r>
    </w:p>
    <w:p w14:paraId="02D73184">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政策依据</w:t>
      </w:r>
    </w:p>
    <w:p w14:paraId="0179A0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《中华人民共和国土地管理法》</w:t>
      </w:r>
      <w:r>
        <w:rPr>
          <w:rFonts w:hint="default" w:ascii="Times New Roman" w:hAnsi="Times New Roman" w:eastAsia="仿宋_GB2312" w:cs="Times New Roman"/>
          <w:color w:val="auto"/>
          <w:sz w:val="32"/>
          <w:szCs w:val="32"/>
          <w:highlight w:val="none"/>
          <w:lang w:eastAsia="zh-CN"/>
        </w:rPr>
        <w:t>；</w:t>
      </w:r>
    </w:p>
    <w:p w14:paraId="6C0F1D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《国有土地上房屋征收与补偿条例》（国务院令第590号）</w:t>
      </w:r>
      <w:r>
        <w:rPr>
          <w:rFonts w:hint="default" w:ascii="Times New Roman" w:hAnsi="Times New Roman" w:eastAsia="仿宋_GB2312" w:cs="Times New Roman"/>
          <w:color w:val="auto"/>
          <w:sz w:val="32"/>
          <w:szCs w:val="32"/>
          <w:highlight w:val="none"/>
          <w:lang w:eastAsia="zh-CN"/>
        </w:rPr>
        <w:t>；</w:t>
      </w:r>
    </w:p>
    <w:p w14:paraId="6F0C93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《德化县土地和房屋征收补偿安置实施方案》（德委〔2022〕77号）</w:t>
      </w:r>
      <w:r>
        <w:rPr>
          <w:rFonts w:hint="default" w:ascii="Times New Roman" w:hAnsi="Times New Roman" w:eastAsia="仿宋_GB2312" w:cs="Times New Roman"/>
          <w:color w:val="auto"/>
          <w:sz w:val="32"/>
          <w:szCs w:val="32"/>
          <w:highlight w:val="none"/>
          <w:lang w:eastAsia="zh-CN"/>
        </w:rPr>
        <w:t>；</w:t>
      </w:r>
    </w:p>
    <w:p w14:paraId="198ACBF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《德化县土地收购储备管理规定》（德政〔2016〕288号）</w:t>
      </w:r>
      <w:r>
        <w:rPr>
          <w:rFonts w:hint="default" w:ascii="Times New Roman" w:hAnsi="Times New Roman" w:eastAsia="仿宋_GB2312" w:cs="Times New Roman"/>
          <w:color w:val="auto"/>
          <w:sz w:val="32"/>
          <w:szCs w:val="32"/>
          <w:highlight w:val="none"/>
          <w:lang w:eastAsia="zh-CN"/>
        </w:rPr>
        <w:t>；</w:t>
      </w:r>
    </w:p>
    <w:p w14:paraId="280147F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5.其他相关法律法规</w:t>
      </w:r>
      <w:r>
        <w:rPr>
          <w:rFonts w:hint="default" w:ascii="Times New Roman" w:hAnsi="Times New Roman" w:eastAsia="仿宋_GB2312" w:cs="Times New Roman"/>
          <w:color w:val="auto"/>
          <w:sz w:val="32"/>
          <w:szCs w:val="32"/>
          <w:highlight w:val="none"/>
        </w:rPr>
        <w:t>及</w:t>
      </w:r>
      <w:r>
        <w:rPr>
          <w:rFonts w:hint="default" w:ascii="Times New Roman" w:hAnsi="Times New Roman" w:eastAsia="仿宋_GB2312" w:cs="Times New Roman"/>
          <w:color w:val="auto"/>
          <w:sz w:val="32"/>
          <w:szCs w:val="32"/>
          <w:highlight w:val="none"/>
          <w:lang w:eastAsia="zh-CN"/>
        </w:rPr>
        <w:t>配套</w:t>
      </w:r>
      <w:r>
        <w:rPr>
          <w:rFonts w:hint="default" w:ascii="Times New Roman" w:hAnsi="Times New Roman" w:eastAsia="仿宋_GB2312" w:cs="Times New Roman"/>
          <w:color w:val="auto"/>
          <w:sz w:val="32"/>
          <w:szCs w:val="32"/>
          <w:highlight w:val="none"/>
        </w:rPr>
        <w:t>政策</w:t>
      </w:r>
      <w:r>
        <w:rPr>
          <w:rFonts w:hint="default" w:ascii="Times New Roman" w:hAnsi="Times New Roman" w:eastAsia="仿宋_GB2312" w:cs="Times New Roman"/>
          <w:color w:val="auto"/>
          <w:sz w:val="32"/>
          <w:szCs w:val="32"/>
          <w:highlight w:val="none"/>
          <w:lang w:eastAsia="zh-CN"/>
        </w:rPr>
        <w:t>。</w:t>
      </w:r>
    </w:p>
    <w:p w14:paraId="25F69C0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二、基本原则</w:t>
      </w:r>
    </w:p>
    <w:p w14:paraId="72D624F6">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按照</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自主选择、依法依规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公平公正、规范管理</w:t>
      </w:r>
      <w:r>
        <w:rPr>
          <w:rFonts w:hint="default" w:ascii="Times New Roman" w:hAnsi="Times New Roman" w:eastAsia="仿宋_GB2312" w:cs="Times New Roman"/>
          <w:color w:val="auto"/>
          <w:sz w:val="32"/>
          <w:szCs w:val="32"/>
          <w:highlight w:val="none"/>
        </w:rPr>
        <w:t>”的</w:t>
      </w:r>
      <w:r>
        <w:rPr>
          <w:rFonts w:hint="default" w:ascii="Times New Roman" w:hAnsi="Times New Roman" w:eastAsia="仿宋_GB2312" w:cs="Times New Roman"/>
          <w:color w:val="auto"/>
          <w:sz w:val="32"/>
          <w:szCs w:val="32"/>
          <w:highlight w:val="none"/>
          <w:lang w:eastAsia="zh-CN"/>
        </w:rPr>
        <w:t>基本</w:t>
      </w:r>
      <w:r>
        <w:rPr>
          <w:rFonts w:hint="default" w:ascii="Times New Roman" w:hAnsi="Times New Roman" w:eastAsia="仿宋_GB2312" w:cs="Times New Roman"/>
          <w:color w:val="auto"/>
          <w:sz w:val="32"/>
          <w:szCs w:val="32"/>
          <w:highlight w:val="none"/>
        </w:rPr>
        <w:t>原则，</w:t>
      </w:r>
      <w:r>
        <w:rPr>
          <w:rFonts w:hint="default" w:ascii="Times New Roman" w:hAnsi="Times New Roman" w:eastAsia="仿宋_GB2312" w:cs="Times New Roman"/>
          <w:color w:val="auto"/>
          <w:sz w:val="32"/>
          <w:szCs w:val="32"/>
          <w:highlight w:val="none"/>
          <w:lang w:eastAsia="zh-CN"/>
        </w:rPr>
        <w:t>开展实施我县工业用地土地与厂房</w:t>
      </w:r>
      <w:r>
        <w:rPr>
          <w:rFonts w:hint="default" w:ascii="Times New Roman" w:hAnsi="Times New Roman" w:eastAsia="仿宋_GB2312" w:cs="Times New Roman"/>
          <w:color w:val="auto"/>
          <w:sz w:val="32"/>
          <w:szCs w:val="32"/>
          <w:highlight w:val="none"/>
        </w:rPr>
        <w:t>征收与补偿工作</w:t>
      </w:r>
      <w:r>
        <w:rPr>
          <w:rFonts w:hint="default" w:ascii="Times New Roman" w:hAnsi="Times New Roman" w:eastAsia="仿宋_GB2312" w:cs="Times New Roman"/>
          <w:color w:val="auto"/>
          <w:sz w:val="32"/>
          <w:szCs w:val="32"/>
          <w:highlight w:val="none"/>
          <w:lang w:eastAsia="zh-CN"/>
        </w:rPr>
        <w:t>，切实维护公共利益，充分保障被征收人的合法权益。</w:t>
      </w:r>
    </w:p>
    <w:p w14:paraId="2B8470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（二）工业用地土地与厂房征收工作实行“六公开、两监督”</w:t>
      </w:r>
      <w:r>
        <w:rPr>
          <w:rFonts w:hint="eastAsia" w:ascii="Times New Roman" w:hAnsi="Times New Roman" w:eastAsia="仿宋_GB2312" w:cs="Times New Roman"/>
          <w:color w:val="auto"/>
          <w:sz w:val="32"/>
          <w:szCs w:val="32"/>
          <w:highlight w:val="none"/>
          <w:lang w:eastAsia="zh-CN"/>
        </w:rPr>
        <w:t>。</w:t>
      </w:r>
    </w:p>
    <w:p w14:paraId="1B88FB2C">
      <w:pPr>
        <w:keepNext w:val="0"/>
        <w:keepLines w:val="0"/>
        <w:pageBreakBefore w:val="0"/>
        <w:widowControl w:val="0"/>
        <w:kinsoku/>
        <w:wordWrap/>
        <w:overflowPunct/>
        <w:topLinePunct w:val="0"/>
        <w:autoSpaceDE/>
        <w:autoSpaceDN/>
        <w:bidi w:val="0"/>
        <w:adjustRightInd/>
        <w:snapToGrid/>
        <w:spacing w:line="500" w:lineRule="exact"/>
        <w:ind w:left="0" w:leftChars="0" w:firstLine="643" w:firstLineChars="200"/>
        <w:jc w:val="both"/>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六公开</w:t>
      </w:r>
    </w:p>
    <w:p w14:paraId="667EBB02">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（1）工业用地土地与厂房征收与补偿有关政策公开；</w:t>
      </w:r>
    </w:p>
    <w:p w14:paraId="5064357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（2）工业用地土地与厂房征收与补偿工作程序公开；</w:t>
      </w:r>
    </w:p>
    <w:p w14:paraId="4D15823B">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（3）被征收的</w:t>
      </w:r>
      <w:r>
        <w:rPr>
          <w:rFonts w:hint="eastAsia" w:ascii="Times New Roman" w:hAnsi="Times New Roman" w:eastAsia="仿宋_GB2312" w:cs="Times New Roman"/>
          <w:color w:val="auto"/>
          <w:sz w:val="32"/>
          <w:szCs w:val="32"/>
          <w:highlight w:val="none"/>
          <w:lang w:eastAsia="zh-CN"/>
        </w:rPr>
        <w:t>厂房</w:t>
      </w:r>
      <w:r>
        <w:rPr>
          <w:rFonts w:hint="default" w:ascii="Times New Roman" w:hAnsi="Times New Roman" w:eastAsia="仿宋_GB2312" w:cs="Times New Roman"/>
          <w:color w:val="auto"/>
          <w:sz w:val="32"/>
          <w:szCs w:val="32"/>
          <w:highlight w:val="none"/>
          <w:lang w:eastAsia="zh-CN"/>
        </w:rPr>
        <w:t>坐落、结构、建筑面积、各种附属物和土地情况公开；</w:t>
      </w:r>
    </w:p>
    <w:p w14:paraId="719666AF">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w:t>
      </w:r>
      <w:r>
        <w:rPr>
          <w:rFonts w:hint="eastAsia" w:ascii="Times New Roman" w:hAnsi="Times New Roman" w:eastAsia="仿宋_GB2312" w:cs="Times New Roman"/>
          <w:color w:val="auto"/>
          <w:sz w:val="32"/>
          <w:szCs w:val="32"/>
          <w:highlight w:val="none"/>
          <w:lang w:eastAsia="zh-CN"/>
        </w:rPr>
        <w:t>可</w:t>
      </w:r>
      <w:r>
        <w:rPr>
          <w:rFonts w:hint="default" w:ascii="Times New Roman" w:hAnsi="Times New Roman" w:eastAsia="仿宋_GB2312" w:cs="Times New Roman"/>
          <w:color w:val="auto"/>
          <w:sz w:val="32"/>
          <w:szCs w:val="32"/>
          <w:highlight w:val="none"/>
          <w:lang w:eastAsia="zh-CN"/>
        </w:rPr>
        <w:t>调换</w:t>
      </w:r>
      <w:r>
        <w:rPr>
          <w:rFonts w:hint="eastAsia" w:ascii="Times New Roman" w:hAnsi="Times New Roman" w:eastAsia="仿宋_GB2312" w:cs="Times New Roman"/>
          <w:color w:val="auto"/>
          <w:sz w:val="32"/>
          <w:szCs w:val="32"/>
          <w:highlight w:val="none"/>
          <w:lang w:eastAsia="zh-CN"/>
        </w:rPr>
        <w:t>厂房</w:t>
      </w:r>
      <w:r>
        <w:rPr>
          <w:rFonts w:hint="default" w:ascii="Times New Roman" w:hAnsi="Times New Roman" w:eastAsia="仿宋_GB2312" w:cs="Times New Roman"/>
          <w:color w:val="auto"/>
          <w:sz w:val="32"/>
          <w:szCs w:val="32"/>
          <w:highlight w:val="none"/>
          <w:lang w:eastAsia="zh-CN"/>
        </w:rPr>
        <w:t>的地段、坐落、户型、层次、面积公开；</w:t>
      </w:r>
    </w:p>
    <w:p w14:paraId="588F7E57">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（5）被征收人搬迁验收时间、选房公开；</w:t>
      </w:r>
    </w:p>
    <w:p w14:paraId="4FF3F5AC">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（6）被征收人的补偿安置情况及</w:t>
      </w:r>
      <w:r>
        <w:rPr>
          <w:rFonts w:hint="eastAsia" w:ascii="Times New Roman" w:hAnsi="Times New Roman" w:eastAsia="仿宋_GB2312" w:cs="Times New Roman"/>
          <w:color w:val="auto"/>
          <w:sz w:val="32"/>
          <w:szCs w:val="32"/>
          <w:highlight w:val="none"/>
          <w:lang w:eastAsia="zh-CN"/>
        </w:rPr>
        <w:t>厂房</w:t>
      </w:r>
      <w:r>
        <w:rPr>
          <w:rFonts w:hint="default" w:ascii="Times New Roman" w:hAnsi="Times New Roman" w:eastAsia="仿宋_GB2312" w:cs="Times New Roman"/>
          <w:color w:val="auto"/>
          <w:sz w:val="32"/>
          <w:szCs w:val="32"/>
          <w:highlight w:val="none"/>
          <w:lang w:eastAsia="zh-CN"/>
        </w:rPr>
        <w:t>搬迁过渡情况公开。</w:t>
      </w:r>
    </w:p>
    <w:p w14:paraId="0E2D42D9">
      <w:pPr>
        <w:keepNext w:val="0"/>
        <w:keepLines w:val="0"/>
        <w:pageBreakBefore w:val="0"/>
        <w:widowControl w:val="0"/>
        <w:kinsoku/>
        <w:wordWrap/>
        <w:overflowPunct/>
        <w:topLinePunct w:val="0"/>
        <w:autoSpaceDE/>
        <w:autoSpaceDN/>
        <w:bidi w:val="0"/>
        <w:adjustRightInd/>
        <w:snapToGrid/>
        <w:spacing w:line="500" w:lineRule="exact"/>
        <w:ind w:left="0" w:leftChars="0" w:firstLine="643" w:firstLineChars="200"/>
        <w:jc w:val="both"/>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2.两监督</w:t>
      </w:r>
    </w:p>
    <w:p w14:paraId="45B4D7F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（1）接受有关部门和社会的监督；</w:t>
      </w:r>
    </w:p>
    <w:p w14:paraId="04980372">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（2）接受被征收人的监督。</w:t>
      </w:r>
    </w:p>
    <w:p w14:paraId="67F946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三、适用范围</w:t>
      </w:r>
    </w:p>
    <w:p w14:paraId="4E9AB5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德化</w:t>
      </w:r>
      <w:r>
        <w:rPr>
          <w:rFonts w:hint="eastAsia" w:ascii="Times New Roman" w:hAnsi="Times New Roman" w:eastAsia="仿宋_GB2312" w:cs="Times New Roman"/>
          <w:color w:val="auto"/>
          <w:sz w:val="32"/>
          <w:szCs w:val="32"/>
          <w:highlight w:val="none"/>
          <w:lang w:eastAsia="zh-CN"/>
        </w:rPr>
        <w:t>县城区规划范围之内。</w:t>
      </w:r>
    </w:p>
    <w:p w14:paraId="095E9D3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四</w:t>
      </w:r>
      <w:r>
        <w:rPr>
          <w:rFonts w:hint="default" w:ascii="Times New Roman" w:hAnsi="Times New Roman" w:eastAsia="黑体" w:cs="Times New Roman"/>
          <w:color w:val="auto"/>
          <w:sz w:val="32"/>
          <w:szCs w:val="32"/>
          <w:highlight w:val="none"/>
        </w:rPr>
        <w:t>、厂房征收补偿方式</w:t>
      </w:r>
    </w:p>
    <w:p w14:paraId="7612FC6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（一）提供货币补偿</w:t>
      </w:r>
      <w:r>
        <w:rPr>
          <w:rFonts w:hint="default" w:ascii="Times New Roman" w:hAnsi="Times New Roman" w:eastAsia="仿宋_GB2312" w:cs="Times New Roman"/>
          <w:color w:val="auto"/>
          <w:sz w:val="32"/>
          <w:szCs w:val="32"/>
          <w:highlight w:val="none"/>
          <w:lang w:eastAsia="zh-CN"/>
        </w:rPr>
        <w:t>、以旧换新</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厂</w:t>
      </w:r>
      <w:r>
        <w:rPr>
          <w:rFonts w:hint="default" w:ascii="Times New Roman" w:hAnsi="Times New Roman" w:eastAsia="仿宋_GB2312" w:cs="Times New Roman"/>
          <w:color w:val="auto"/>
          <w:sz w:val="32"/>
          <w:szCs w:val="32"/>
          <w:highlight w:val="none"/>
        </w:rPr>
        <w:t>票补偿</w:t>
      </w:r>
      <w:r>
        <w:rPr>
          <w:rFonts w:hint="default" w:ascii="Times New Roman" w:hAnsi="Times New Roman" w:eastAsia="仿宋_GB2312" w:cs="Times New Roman"/>
          <w:color w:val="auto"/>
          <w:sz w:val="32"/>
          <w:szCs w:val="32"/>
          <w:highlight w:val="none"/>
          <w:lang w:eastAsia="zh-CN"/>
        </w:rPr>
        <w:t>等三</w:t>
      </w:r>
      <w:r>
        <w:rPr>
          <w:rFonts w:hint="default" w:ascii="Times New Roman" w:hAnsi="Times New Roman" w:eastAsia="仿宋_GB2312" w:cs="Times New Roman"/>
          <w:color w:val="auto"/>
          <w:sz w:val="32"/>
          <w:szCs w:val="32"/>
          <w:highlight w:val="none"/>
        </w:rPr>
        <w:t>种方式，企业可根据生产经营需求自主选择。</w:t>
      </w:r>
    </w:p>
    <w:p w14:paraId="184BBCD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w:t>
      </w:r>
      <w:r>
        <w:rPr>
          <w:rFonts w:hint="default" w:ascii="Times New Roman" w:hAnsi="Times New Roman" w:eastAsia="仿宋_GB2312" w:cs="Times New Roman"/>
          <w:color w:val="auto"/>
          <w:sz w:val="32"/>
          <w:szCs w:val="32"/>
          <w:highlight w:val="none"/>
          <w:lang w:eastAsia="zh-CN"/>
        </w:rPr>
        <w:t>被征收厂房</w:t>
      </w:r>
      <w:r>
        <w:rPr>
          <w:rFonts w:hint="default" w:ascii="Times New Roman" w:hAnsi="Times New Roman" w:eastAsia="仿宋_GB2312" w:cs="Times New Roman"/>
          <w:color w:val="auto"/>
          <w:sz w:val="32"/>
          <w:szCs w:val="32"/>
          <w:highlight w:val="none"/>
        </w:rPr>
        <w:t>，需满足产权合法、权属清晰要求，提供不动产权证书、土地出让合同等有效权属证明；权属不清或存在纠纷的，需先厘清权属后再办理补偿手续。</w:t>
      </w:r>
      <w:r>
        <w:rPr>
          <w:rFonts w:hint="eastAsia" w:ascii="Times New Roman" w:hAnsi="Times New Roman" w:eastAsia="仿宋_GB2312" w:cs="Times New Roman"/>
          <w:color w:val="auto"/>
          <w:sz w:val="32"/>
          <w:szCs w:val="32"/>
          <w:highlight w:val="none"/>
          <w:lang w:eastAsia="zh-CN"/>
        </w:rPr>
        <w:t>涉及违法（章）建设的，参照《德化县土地和房屋征收补偿安置实施方案》（德委〔2022〕77号）关于违法（章）建筑处理办法执行。</w:t>
      </w:r>
    </w:p>
    <w:p w14:paraId="00920E70">
      <w:pPr>
        <w:keepNext w:val="0"/>
        <w:keepLines w:val="0"/>
        <w:pageBreakBefore w:val="0"/>
        <w:widowControl w:val="0"/>
        <w:kinsoku/>
        <w:wordWrap/>
        <w:topLinePunct w:val="0"/>
        <w:autoSpaceDE/>
        <w:bidi w:val="0"/>
        <w:spacing w:line="500" w:lineRule="exact"/>
        <w:ind w:left="0" w:leftChars="0"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（三）</w:t>
      </w:r>
      <w:r>
        <w:rPr>
          <w:rFonts w:hint="eastAsia" w:ascii="Times New Roman" w:hAnsi="Times New Roman" w:eastAsia="仿宋_GB2312" w:cs="Times New Roman"/>
          <w:color w:val="auto"/>
          <w:sz w:val="32"/>
          <w:szCs w:val="32"/>
          <w:highlight w:val="none"/>
          <w:lang w:eastAsia="zh-CN"/>
        </w:rPr>
        <w:t>有</w:t>
      </w:r>
      <w:r>
        <w:rPr>
          <w:rFonts w:ascii="Times New Roman" w:hAnsi="Times New Roman" w:eastAsia="仿宋_GB2312" w:cs="Times New Roman"/>
          <w:color w:val="auto"/>
          <w:sz w:val="32"/>
          <w:szCs w:val="32"/>
          <w:highlight w:val="none"/>
        </w:rPr>
        <w:t>自主经营企业可以选择货币补偿、以旧换新、厂票补偿等3种方式结合</w:t>
      </w:r>
      <w:r>
        <w:rPr>
          <w:rFonts w:hint="eastAsia" w:ascii="Times New Roman" w:hAnsi="Times New Roman" w:eastAsia="仿宋_GB2312" w:cs="Times New Roman"/>
          <w:color w:val="auto"/>
          <w:sz w:val="32"/>
          <w:szCs w:val="32"/>
          <w:highlight w:val="none"/>
          <w:lang w:eastAsia="zh-CN"/>
        </w:rPr>
        <w:t>。同等条件下，</w:t>
      </w:r>
      <w:r>
        <w:rPr>
          <w:rFonts w:hint="eastAsia" w:ascii="Times New Roman" w:hAnsi="Times New Roman" w:eastAsia="仿宋_GB2312" w:cs="Times New Roman"/>
          <w:color w:val="auto"/>
          <w:sz w:val="32"/>
          <w:szCs w:val="32"/>
          <w:highlight w:val="none"/>
        </w:rPr>
        <w:t>规上企业</w:t>
      </w:r>
      <w:r>
        <w:rPr>
          <w:rFonts w:hint="eastAsia" w:ascii="Times New Roman" w:hAnsi="Times New Roman" w:eastAsia="仿宋_GB2312" w:cs="Times New Roman"/>
          <w:color w:val="auto"/>
          <w:sz w:val="32"/>
          <w:szCs w:val="32"/>
          <w:highlight w:val="none"/>
          <w:lang w:eastAsia="zh-CN"/>
        </w:rPr>
        <w:t>在以旧换新方式中可优先选择</w:t>
      </w:r>
      <w:r>
        <w:rPr>
          <w:rFonts w:hint="eastAsia" w:ascii="Times New Roman" w:hAnsi="Times New Roman" w:eastAsia="仿宋_GB2312" w:cs="Times New Roman"/>
          <w:color w:val="auto"/>
          <w:sz w:val="32"/>
          <w:szCs w:val="32"/>
          <w:highlight w:val="none"/>
        </w:rPr>
        <w:t>。</w:t>
      </w:r>
    </w:p>
    <w:p w14:paraId="434B0DAB">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无自主经营企业</w:t>
      </w:r>
      <w:r>
        <w:rPr>
          <w:rFonts w:hint="eastAsia" w:ascii="Times New Roman" w:hAnsi="Times New Roman" w:eastAsia="仿宋_GB2312" w:cs="Times New Roman"/>
          <w:color w:val="auto"/>
          <w:sz w:val="32"/>
          <w:szCs w:val="32"/>
          <w:highlight w:val="none"/>
          <w:lang w:val="en-US" w:eastAsia="zh-CN"/>
        </w:rPr>
        <w:t>，仅能</w:t>
      </w:r>
      <w:r>
        <w:rPr>
          <w:rFonts w:hint="default" w:ascii="Times New Roman" w:hAnsi="Times New Roman" w:eastAsia="仿宋_GB2312" w:cs="Times New Roman"/>
          <w:color w:val="auto"/>
          <w:sz w:val="32"/>
          <w:szCs w:val="32"/>
          <w:highlight w:val="none"/>
          <w:lang w:val="en-US" w:eastAsia="zh-CN"/>
        </w:rPr>
        <w:t>选择货币补偿、厂票</w:t>
      </w:r>
      <w:r>
        <w:rPr>
          <w:rFonts w:ascii="Times New Roman" w:hAnsi="Times New Roman" w:eastAsia="仿宋_GB2312" w:cs="Times New Roman"/>
          <w:color w:val="auto"/>
          <w:sz w:val="32"/>
          <w:szCs w:val="32"/>
          <w:highlight w:val="none"/>
        </w:rPr>
        <w:t>补偿</w:t>
      </w:r>
      <w:r>
        <w:rPr>
          <w:rFonts w:hint="eastAsia" w:ascii="Times New Roman" w:hAnsi="Times New Roman" w:eastAsia="仿宋_GB2312" w:cs="Times New Roman"/>
          <w:color w:val="auto"/>
          <w:sz w:val="32"/>
          <w:szCs w:val="32"/>
          <w:highlight w:val="none"/>
          <w:lang w:val="en-US" w:eastAsia="zh-CN"/>
        </w:rPr>
        <w:t>等2种方式</w:t>
      </w:r>
      <w:r>
        <w:rPr>
          <w:rFonts w:hint="default" w:ascii="Times New Roman" w:hAnsi="Times New Roman" w:eastAsia="仿宋_GB2312" w:cs="Times New Roman"/>
          <w:color w:val="auto"/>
          <w:sz w:val="32"/>
          <w:szCs w:val="32"/>
          <w:highlight w:val="none"/>
          <w:lang w:val="en-US" w:eastAsia="zh-CN"/>
        </w:rPr>
        <w:t>。</w:t>
      </w:r>
    </w:p>
    <w:p w14:paraId="77C9E3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rPr>
        <w:t>、厂房征收补偿安置办法</w:t>
      </w:r>
    </w:p>
    <w:p w14:paraId="5269D3E7">
      <w:pPr>
        <w:keepNext w:val="0"/>
        <w:keepLines w:val="0"/>
        <w:pageBreakBefore w:val="0"/>
        <w:widowControl w:val="0"/>
        <w:kinsoku/>
        <w:wordWrap/>
        <w:overflowPunct/>
        <w:topLinePunct w:val="0"/>
        <w:autoSpaceDE/>
        <w:autoSpaceDN/>
        <w:bidi w:val="0"/>
        <w:adjustRightInd/>
        <w:snapToGrid/>
        <w:spacing w:line="5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（一）货币补偿</w:t>
      </w:r>
    </w:p>
    <w:p w14:paraId="0CF8D7A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中共德化县委 德化县人民政府关于印发</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德化县土地和房屋征收补偿安置实施方案</w:t>
      </w:r>
      <w:r>
        <w:rPr>
          <w:rFonts w:hint="default" w:ascii="Times New Roman" w:hAnsi="Times New Roman" w:eastAsia="仿宋_GB2312" w:cs="Times New Roman"/>
          <w:color w:val="auto"/>
          <w:sz w:val="32"/>
          <w:szCs w:val="32"/>
          <w:highlight w:val="none"/>
          <w:lang w:eastAsia="zh-CN"/>
        </w:rPr>
        <w:t>〉的通知》（</w:t>
      </w:r>
      <w:r>
        <w:rPr>
          <w:rFonts w:hint="default" w:ascii="Times New Roman" w:hAnsi="Times New Roman" w:eastAsia="仿宋_GB2312" w:cs="Times New Roman"/>
          <w:color w:val="auto"/>
          <w:sz w:val="32"/>
          <w:szCs w:val="32"/>
          <w:highlight w:val="none"/>
        </w:rPr>
        <w:t>德委〔2022〕77号</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《德化县人民政府关于印发德化县土地收购储备管理规定的通知》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德政〔2016〕288号</w:t>
      </w:r>
      <w:r>
        <w:rPr>
          <w:rFonts w:hint="default" w:ascii="Times New Roman" w:hAnsi="Times New Roman" w:eastAsia="仿宋_GB2312" w:cs="Times New Roman"/>
          <w:color w:val="auto"/>
          <w:sz w:val="32"/>
          <w:szCs w:val="32"/>
          <w:highlight w:val="none"/>
          <w:lang w:eastAsia="zh-CN"/>
        </w:rPr>
        <w:t>）文件规定，</w:t>
      </w:r>
      <w:r>
        <w:rPr>
          <w:rFonts w:hint="default" w:ascii="Times New Roman" w:hAnsi="Times New Roman" w:eastAsia="仿宋_GB2312" w:cs="Times New Roman"/>
          <w:color w:val="auto"/>
          <w:sz w:val="32"/>
          <w:szCs w:val="32"/>
          <w:highlight w:val="none"/>
        </w:rPr>
        <w:t>企业厂房、仓库等土地</w:t>
      </w:r>
      <w:r>
        <w:rPr>
          <w:rFonts w:hint="default" w:ascii="Times New Roman" w:hAnsi="Times New Roman" w:eastAsia="仿宋_GB2312" w:cs="Times New Roman"/>
          <w:color w:val="auto"/>
          <w:sz w:val="32"/>
          <w:szCs w:val="32"/>
          <w:highlight w:val="none"/>
          <w:lang w:eastAsia="zh-CN"/>
        </w:rPr>
        <w:t>和房屋征收</w:t>
      </w:r>
      <w:r>
        <w:rPr>
          <w:rFonts w:hint="default" w:ascii="Times New Roman" w:hAnsi="Times New Roman" w:eastAsia="仿宋_GB2312" w:cs="Times New Roman"/>
          <w:color w:val="auto"/>
          <w:sz w:val="32"/>
          <w:szCs w:val="32"/>
          <w:highlight w:val="none"/>
        </w:rPr>
        <w:t>，由有资质的房地产评估机构对工业用地所处地段的土地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厂房、其他地上建筑物、构筑物及无法搬迁的生产设备等进行综合评估后，提交项目领导小组集体研究决定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一次性给予</w:t>
      </w:r>
      <w:r>
        <w:rPr>
          <w:rFonts w:hint="default" w:ascii="Times New Roman" w:hAnsi="Times New Roman" w:eastAsia="仿宋_GB2312" w:cs="Times New Roman"/>
          <w:color w:val="auto"/>
          <w:sz w:val="32"/>
          <w:szCs w:val="32"/>
          <w:highlight w:val="none"/>
          <w:lang w:eastAsia="zh-CN"/>
        </w:rPr>
        <w:t>征收货币</w:t>
      </w:r>
      <w:r>
        <w:rPr>
          <w:rFonts w:hint="default" w:ascii="Times New Roman" w:hAnsi="Times New Roman" w:eastAsia="仿宋_GB2312" w:cs="Times New Roman"/>
          <w:color w:val="auto"/>
          <w:sz w:val="32"/>
          <w:szCs w:val="32"/>
          <w:highlight w:val="none"/>
        </w:rPr>
        <w:t>补偿。</w:t>
      </w:r>
    </w:p>
    <w:p w14:paraId="07976F24">
      <w:pPr>
        <w:keepNext w:val="0"/>
        <w:keepLines w:val="0"/>
        <w:pageBreakBefore w:val="0"/>
        <w:widowControl w:val="0"/>
        <w:numPr>
          <w:ilvl w:val="0"/>
          <w:numId w:val="0"/>
        </w:numPr>
        <w:kinsoku/>
        <w:wordWrap/>
        <w:overflowPunct w:val="0"/>
        <w:topLinePunct w:val="0"/>
        <w:autoSpaceDE/>
        <w:autoSpaceDN w:val="0"/>
        <w:bidi w:val="0"/>
        <w:adjustRightInd w:val="0"/>
        <w:snapToGrid w:val="0"/>
        <w:spacing w:line="500" w:lineRule="exact"/>
        <w:ind w:left="0" w:leftChars="0" w:right="0" w:rightChars="0" w:firstLine="643" w:firstLineChars="200"/>
        <w:jc w:val="both"/>
        <w:textAlignment w:val="baseline"/>
        <w:rPr>
          <w:rFonts w:hint="default" w:ascii="Times New Roman" w:hAnsi="Times New Roman" w:eastAsia="楷体_GB2312" w:cs="Times New Roman"/>
          <w:b/>
          <w:bCs/>
          <w:color w:val="auto"/>
          <w:sz w:val="32"/>
          <w:szCs w:val="32"/>
          <w:highlight w:val="none"/>
          <w:lang w:eastAsia="zh-CN"/>
        </w:rPr>
      </w:pPr>
      <w:r>
        <w:rPr>
          <w:rFonts w:hint="default" w:ascii="Times New Roman" w:hAnsi="Times New Roman" w:eastAsia="楷体_GB2312" w:cs="Times New Roman"/>
          <w:b/>
          <w:bCs/>
          <w:color w:val="auto"/>
          <w:sz w:val="32"/>
          <w:szCs w:val="32"/>
          <w:highlight w:val="none"/>
          <w:lang w:eastAsia="zh-CN"/>
        </w:rPr>
        <w:t>（二）以旧换新</w:t>
      </w:r>
    </w:p>
    <w:p w14:paraId="610F8B8F">
      <w:pPr>
        <w:keepNext w:val="0"/>
        <w:keepLines w:val="0"/>
        <w:pageBreakBefore w:val="0"/>
        <w:widowControl w:val="0"/>
        <w:kinsoku/>
        <w:wordWrap/>
        <w:topLinePunct w:val="0"/>
        <w:autoSpaceDE/>
        <w:bidi w:val="0"/>
        <w:spacing w:line="500" w:lineRule="exact"/>
        <w:ind w:left="0" w:leftChars="0"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被征收厂房的产权面积大于1000平方米，被征收人可遵循“以旧换新”原则，按照产权面积进行等面积调换县国企开发的标准化厂房，新旧厂房土地面积差异按现行基准地价互补。调换面积应符合所选标准化厂房规划报建时的消防单元最小面积标准。调换后剩余的被征收厂房面积，按以下规定处理：1.若剩余面积不足再次调换所选标准化厂房消防单元最小面积的50%，不予调换，剩余部分按市场综合评估价给予一次性货币补偿；2.若剩余面积达到上述比例的，可按市场评估价扩购至所选标准化厂房消防单元最小面积。</w:t>
      </w:r>
    </w:p>
    <w:p w14:paraId="3CBD038C">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eastAsia="zh-CN"/>
        </w:rPr>
        <w:t>（三）</w:t>
      </w:r>
      <w:r>
        <w:rPr>
          <w:rFonts w:hint="default" w:ascii="Times New Roman" w:hAnsi="Times New Roman" w:eastAsia="楷体_GB2312" w:cs="Times New Roman"/>
          <w:b/>
          <w:bCs/>
          <w:color w:val="auto"/>
          <w:sz w:val="32"/>
          <w:szCs w:val="32"/>
          <w:highlight w:val="none"/>
          <w:lang w:eastAsia="zh-CN"/>
        </w:rPr>
        <w:t>厂票补偿</w:t>
      </w:r>
    </w:p>
    <w:p w14:paraId="2636B25F">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厂票安置是指征收厂房时，将厂房征收补偿权益货币量化后，计入厂票面值并发放给被征收人</w:t>
      </w:r>
      <w:r>
        <w:rPr>
          <w:rFonts w:hint="eastAsia" w:ascii="Times New Roman" w:hAnsi="Times New Roman" w:eastAsia="仿宋_GB2312" w:cs="Times New Roman"/>
          <w:color w:val="auto"/>
          <w:sz w:val="32"/>
          <w:szCs w:val="32"/>
          <w:highlight w:val="none"/>
          <w:lang w:eastAsia="zh-CN"/>
        </w:rPr>
        <w:t>，由</w:t>
      </w:r>
      <w:r>
        <w:rPr>
          <w:rFonts w:hint="default" w:ascii="Times New Roman" w:hAnsi="Times New Roman" w:eastAsia="仿宋_GB2312" w:cs="Times New Roman"/>
          <w:color w:val="auto"/>
          <w:sz w:val="32"/>
          <w:szCs w:val="32"/>
          <w:highlight w:val="none"/>
          <w:lang w:eastAsia="zh-CN"/>
        </w:rPr>
        <w:t>被征收人持厂票自行购买符合条件的房源</w:t>
      </w:r>
      <w:r>
        <w:rPr>
          <w:rFonts w:hint="eastAsia" w:ascii="Times New Roman" w:hAnsi="Times New Roman" w:eastAsia="仿宋_GB2312" w:cs="Times New Roman"/>
          <w:color w:val="auto"/>
          <w:sz w:val="32"/>
          <w:szCs w:val="32"/>
          <w:highlight w:val="none"/>
          <w:lang w:eastAsia="zh-CN"/>
        </w:rPr>
        <w:t>或工业用地</w:t>
      </w:r>
      <w:r>
        <w:rPr>
          <w:rFonts w:hint="default" w:ascii="Times New Roman" w:hAnsi="Times New Roman" w:eastAsia="仿宋_GB2312" w:cs="Times New Roman"/>
          <w:color w:val="auto"/>
          <w:sz w:val="32"/>
          <w:szCs w:val="32"/>
          <w:highlight w:val="none"/>
          <w:lang w:eastAsia="zh-CN"/>
        </w:rPr>
        <w:t>实现补偿安置的方式。</w:t>
      </w:r>
    </w:p>
    <w:p w14:paraId="54F2EE13">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仿宋_GB2312" w:hAnsi="仿宋_GB2312" w:eastAsia="仿宋_GB2312" w:cs="仿宋_GB2312"/>
          <w:b/>
          <w:bCs/>
          <w:color w:val="auto"/>
          <w:spacing w:val="7"/>
          <w:sz w:val="32"/>
          <w:szCs w:val="32"/>
          <w:highlight w:val="none"/>
          <w:lang w:val="en-US" w:eastAsia="zh-CN"/>
        </w:rPr>
      </w:pPr>
      <w:r>
        <w:rPr>
          <w:rFonts w:hint="eastAsia" w:ascii="仿宋_GB2312" w:hAnsi="仿宋_GB2312" w:eastAsia="仿宋_GB2312" w:cs="仿宋_GB2312"/>
          <w:b/>
          <w:bCs/>
          <w:color w:val="auto"/>
          <w:spacing w:val="7"/>
          <w:sz w:val="32"/>
          <w:szCs w:val="32"/>
          <w:highlight w:val="none"/>
          <w:lang w:val="en-US" w:eastAsia="zh-CN"/>
        </w:rPr>
        <w:t>1.</w:t>
      </w:r>
      <w:r>
        <w:rPr>
          <w:rFonts w:hint="default" w:ascii="仿宋_GB2312" w:hAnsi="仿宋_GB2312" w:eastAsia="仿宋_GB2312" w:cs="仿宋_GB2312"/>
          <w:b/>
          <w:bCs/>
          <w:color w:val="auto"/>
          <w:spacing w:val="7"/>
          <w:sz w:val="32"/>
          <w:szCs w:val="32"/>
          <w:highlight w:val="none"/>
          <w:lang w:val="en-US" w:eastAsia="zh-CN"/>
        </w:rPr>
        <w:t>厂票面值</w:t>
      </w:r>
    </w:p>
    <w:p w14:paraId="0AAE456F">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29"/>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厂票初始面值总额由厂票货币补偿金额、厂票政策性奖励金额和按期签约腾空奖励金额三部分组成，不计利息。</w:t>
      </w:r>
    </w:p>
    <w:p w14:paraId="610FF574">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eastAsia" w:ascii="Times New Roman" w:hAnsi="Times New Roman" w:eastAsia="仿宋_GB2312" w:cs="Times New Roman"/>
          <w:strike/>
          <w:color w:val="auto"/>
          <w:sz w:val="32"/>
          <w:szCs w:val="32"/>
          <w:highlight w:val="none"/>
          <w:u w:val="single" w:color="FF0000"/>
          <w:lang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厂票货币补偿金额。</w:t>
      </w:r>
      <w:r>
        <w:rPr>
          <w:rFonts w:ascii="Times New Roman" w:hAnsi="Times New Roman" w:eastAsia="仿宋_GB2312" w:cs="Times New Roman"/>
          <w:color w:val="auto"/>
          <w:sz w:val="32"/>
          <w:szCs w:val="32"/>
          <w:highlight w:val="none"/>
        </w:rPr>
        <w:t>由有资质的房地产评估机构对工业用地所处地段的土地、厂房、其他地上建筑物、构筑物及无法搬迁的生产设备等进行综合评估后，</w:t>
      </w:r>
      <w:r>
        <w:rPr>
          <w:rFonts w:hint="eastAsia" w:ascii="Times New Roman" w:hAnsi="Times New Roman" w:eastAsia="仿宋_GB2312" w:cs="Times New Roman"/>
          <w:color w:val="auto"/>
          <w:sz w:val="32"/>
          <w:szCs w:val="32"/>
          <w:highlight w:val="none"/>
        </w:rPr>
        <w:t>经</w:t>
      </w:r>
      <w:r>
        <w:rPr>
          <w:rFonts w:ascii="Times New Roman" w:hAnsi="Times New Roman" w:eastAsia="仿宋_GB2312" w:cs="Times New Roman"/>
          <w:color w:val="auto"/>
          <w:sz w:val="32"/>
          <w:szCs w:val="32"/>
          <w:highlight w:val="none"/>
        </w:rPr>
        <w:t>项目领导小组集体研究决定</w:t>
      </w:r>
      <w:r>
        <w:rPr>
          <w:rFonts w:hint="eastAsia" w:ascii="Times New Roman" w:hAnsi="Times New Roman" w:eastAsia="仿宋_GB2312" w:cs="Times New Roman"/>
          <w:color w:val="auto"/>
          <w:sz w:val="32"/>
          <w:szCs w:val="32"/>
          <w:highlight w:val="none"/>
        </w:rPr>
        <w:t>后的</w:t>
      </w:r>
      <w:r>
        <w:rPr>
          <w:rFonts w:ascii="Times New Roman" w:hAnsi="Times New Roman" w:eastAsia="仿宋_GB2312" w:cs="Times New Roman"/>
          <w:color w:val="auto"/>
          <w:sz w:val="32"/>
          <w:szCs w:val="32"/>
          <w:highlight w:val="none"/>
        </w:rPr>
        <w:t>征收货币补偿</w:t>
      </w:r>
      <w:r>
        <w:rPr>
          <w:rFonts w:hint="eastAsia" w:ascii="Times New Roman" w:hAnsi="Times New Roman" w:eastAsia="仿宋_GB2312" w:cs="Times New Roman"/>
          <w:color w:val="auto"/>
          <w:sz w:val="32"/>
          <w:szCs w:val="32"/>
          <w:highlight w:val="none"/>
        </w:rPr>
        <w:t>金额。</w:t>
      </w:r>
    </w:p>
    <w:p w14:paraId="7EC1AB9B">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29"/>
        <w:jc w:val="both"/>
        <w:textAlignment w:val="baseline"/>
        <w:rPr>
          <w:rFonts w:hint="default" w:ascii="Times New Roman" w:hAnsi="Times New Roman" w:eastAsia="仿宋_GB2312" w:cs="Times New Roman"/>
          <w:strike w:val="0"/>
          <w:dstrike w:val="0"/>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厂票政策性奖励金额。即选择使用厂票购买厂票房源，被征收人可额外获得厂票货币补偿金额</w:t>
      </w:r>
      <w:r>
        <w:rPr>
          <w:rFonts w:hint="eastAsia"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val="en-US" w:eastAsia="zh-CN"/>
        </w:rPr>
        <w:t>%的奖励。</w:t>
      </w:r>
    </w:p>
    <w:p w14:paraId="190B710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strike w:val="0"/>
          <w:dstrike w:val="0"/>
          <w:color w:val="auto"/>
          <w:sz w:val="32"/>
          <w:szCs w:val="32"/>
          <w:highlight w:val="none"/>
          <w:u w:val="none" w:color="auto"/>
          <w:lang w:val="en-US" w:eastAsia="zh-CN"/>
        </w:rPr>
      </w:pPr>
      <w:r>
        <w:rPr>
          <w:rFonts w:hint="eastAsia" w:ascii="Times New Roman" w:hAnsi="Times New Roman" w:eastAsia="仿宋_GB2312" w:cs="Times New Roman"/>
          <w:strike w:val="0"/>
          <w:dstrike w:val="0"/>
          <w:color w:val="auto"/>
          <w:sz w:val="32"/>
          <w:szCs w:val="32"/>
          <w:highlight w:val="none"/>
          <w:u w:val="none" w:color="auto"/>
          <w:lang w:val="en-US" w:eastAsia="zh-CN"/>
        </w:rPr>
        <w:t>（3）按</w:t>
      </w:r>
      <w:r>
        <w:rPr>
          <w:rFonts w:hint="default" w:ascii="Times New Roman" w:hAnsi="Times New Roman" w:eastAsia="仿宋_GB2312" w:cs="Times New Roman"/>
          <w:strike w:val="0"/>
          <w:dstrike w:val="0"/>
          <w:color w:val="auto"/>
          <w:sz w:val="32"/>
          <w:szCs w:val="32"/>
          <w:highlight w:val="none"/>
          <w:u w:val="none" w:color="auto"/>
          <w:lang w:val="en-US" w:eastAsia="zh-CN"/>
        </w:rPr>
        <w:t>期签约腾空奖励金额。</w:t>
      </w:r>
      <w:r>
        <w:rPr>
          <w:rFonts w:hint="default" w:ascii="Times New Roman" w:hAnsi="Times New Roman" w:eastAsia="仿宋_GB2312" w:cs="Times New Roman"/>
          <w:color w:val="auto"/>
          <w:sz w:val="32"/>
          <w:szCs w:val="32"/>
          <w:highlight w:val="none"/>
        </w:rPr>
        <w:t>在征收公告规定的签约期限</w:t>
      </w:r>
      <w:r>
        <w:rPr>
          <w:rFonts w:hint="default" w:ascii="Times New Roman" w:hAnsi="Times New Roman" w:eastAsia="仿宋_GB2312" w:cs="Times New Roman"/>
          <w:color w:val="auto"/>
          <w:sz w:val="32"/>
          <w:szCs w:val="32"/>
          <w:highlight w:val="none"/>
          <w:lang w:eastAsia="zh-CN"/>
        </w:rPr>
        <w:t>内</w:t>
      </w:r>
      <w:r>
        <w:rPr>
          <w:rFonts w:hint="default" w:ascii="Times New Roman" w:hAnsi="Times New Roman" w:eastAsia="仿宋_GB2312" w:cs="Times New Roman"/>
          <w:color w:val="auto"/>
          <w:sz w:val="32"/>
          <w:szCs w:val="32"/>
          <w:highlight w:val="none"/>
        </w:rPr>
        <w:t>完</w:t>
      </w:r>
      <w:r>
        <w:rPr>
          <w:rFonts w:hint="default" w:ascii="Times New Roman" w:hAnsi="Times New Roman" w:eastAsia="仿宋_GB2312" w:cs="Times New Roman"/>
          <w:color w:val="auto"/>
          <w:sz w:val="32"/>
          <w:szCs w:val="32"/>
          <w:highlight w:val="none"/>
          <w:lang w:eastAsia="zh-CN"/>
        </w:rPr>
        <w:t>成签约并经</w:t>
      </w:r>
      <w:r>
        <w:rPr>
          <w:rFonts w:hint="default" w:ascii="Times New Roman" w:hAnsi="Times New Roman" w:eastAsia="仿宋_GB2312" w:cs="Times New Roman"/>
          <w:color w:val="auto"/>
          <w:sz w:val="32"/>
          <w:szCs w:val="32"/>
          <w:highlight w:val="none"/>
          <w:lang w:val="en-US" w:eastAsia="zh-CN"/>
        </w:rPr>
        <w:t>腾空验收合格</w:t>
      </w:r>
      <w:r>
        <w:rPr>
          <w:rFonts w:hint="default" w:ascii="Times New Roman" w:hAnsi="Times New Roman" w:eastAsia="仿宋_GB2312" w:cs="Times New Roman"/>
          <w:color w:val="auto"/>
          <w:sz w:val="32"/>
          <w:szCs w:val="32"/>
          <w:highlight w:val="none"/>
          <w:lang w:eastAsia="zh-CN"/>
        </w:rPr>
        <w:t>的被征收人，可享受厂票货币补偿金额</w:t>
      </w:r>
      <w:r>
        <w:rPr>
          <w:rFonts w:hint="eastAsia"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作为</w:t>
      </w:r>
      <w:r>
        <w:rPr>
          <w:rFonts w:hint="default" w:ascii="Times New Roman" w:hAnsi="Times New Roman" w:eastAsia="仿宋_GB2312" w:cs="Times New Roman"/>
          <w:color w:val="auto"/>
          <w:sz w:val="32"/>
          <w:szCs w:val="32"/>
          <w:highlight w:val="none"/>
        </w:rPr>
        <w:t>奖励</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trike w:val="0"/>
          <w:dstrike w:val="0"/>
          <w:color w:val="auto"/>
          <w:sz w:val="32"/>
          <w:szCs w:val="32"/>
          <w:highlight w:val="none"/>
          <w:u w:val="none" w:color="auto"/>
          <w:lang w:val="en-US" w:eastAsia="zh-CN"/>
        </w:rPr>
        <w:t>具体由</w:t>
      </w:r>
      <w:r>
        <w:rPr>
          <w:rFonts w:hint="eastAsia" w:ascii="Times New Roman" w:hAnsi="Times New Roman" w:eastAsia="仿宋_GB2312" w:cs="Times New Roman"/>
          <w:strike w:val="0"/>
          <w:dstrike w:val="0"/>
          <w:color w:val="auto"/>
          <w:sz w:val="32"/>
          <w:szCs w:val="32"/>
          <w:highlight w:val="none"/>
          <w:u w:val="none" w:color="auto"/>
          <w:lang w:val="en-US" w:eastAsia="zh-CN"/>
        </w:rPr>
        <w:t>项目领导小组</w:t>
      </w:r>
      <w:r>
        <w:rPr>
          <w:rFonts w:hint="default" w:ascii="Times New Roman" w:hAnsi="Times New Roman" w:eastAsia="仿宋_GB2312" w:cs="Times New Roman"/>
          <w:strike w:val="0"/>
          <w:dstrike w:val="0"/>
          <w:color w:val="auto"/>
          <w:sz w:val="32"/>
          <w:szCs w:val="32"/>
          <w:highlight w:val="none"/>
          <w:u w:val="none" w:color="auto"/>
          <w:lang w:val="en-US" w:eastAsia="zh-CN"/>
        </w:rPr>
        <w:t>结合实际确定。</w:t>
      </w:r>
    </w:p>
    <w:p w14:paraId="39E5017B">
      <w:pPr>
        <w:keepNext w:val="0"/>
        <w:keepLines w:val="0"/>
        <w:pageBreakBefore w:val="0"/>
        <w:widowControl w:val="0"/>
        <w:kinsoku/>
        <w:wordWrap/>
        <w:overflowPunct/>
        <w:topLinePunct w:val="0"/>
        <w:autoSpaceDE/>
        <w:autoSpaceDN/>
        <w:bidi w:val="0"/>
        <w:adjustRightInd/>
        <w:snapToGrid/>
        <w:spacing w:line="500" w:lineRule="exact"/>
        <w:ind w:left="0" w:leftChars="0" w:firstLine="671"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仿宋_GB2312" w:hAnsi="仿宋_GB2312" w:eastAsia="仿宋_GB2312" w:cs="仿宋_GB2312"/>
          <w:b/>
          <w:bCs/>
          <w:color w:val="auto"/>
          <w:spacing w:val="7"/>
          <w:sz w:val="32"/>
          <w:szCs w:val="32"/>
          <w:highlight w:val="none"/>
          <w:lang w:val="en-US" w:eastAsia="zh-CN"/>
        </w:rPr>
        <w:t>2.</w:t>
      </w:r>
      <w:r>
        <w:rPr>
          <w:rFonts w:hint="default" w:ascii="Times New Roman" w:hAnsi="Times New Roman" w:eastAsia="仿宋_GB2312" w:cs="Times New Roman"/>
          <w:b/>
          <w:bCs/>
          <w:color w:val="auto"/>
          <w:sz w:val="32"/>
          <w:szCs w:val="32"/>
          <w:highlight w:val="none"/>
          <w:lang w:val="en-US" w:eastAsia="zh-CN"/>
        </w:rPr>
        <w:t>厂票发放</w:t>
      </w:r>
    </w:p>
    <w:p w14:paraId="512E5FCA">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firstLine="630"/>
        <w:textAlignment w:val="baseline"/>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厂票票样由</w:t>
      </w:r>
      <w:r>
        <w:rPr>
          <w:rFonts w:hint="default" w:ascii="Times New Roman" w:hAnsi="Times New Roman" w:eastAsia="仿宋_GB2312" w:cs="Times New Roman"/>
          <w:color w:val="auto"/>
          <w:sz w:val="32"/>
          <w:szCs w:val="32"/>
          <w:highlight w:val="none"/>
          <w:lang w:eastAsia="zh-CN"/>
        </w:rPr>
        <w:t>县</w:t>
      </w:r>
      <w:r>
        <w:rPr>
          <w:rFonts w:hint="eastAsia" w:ascii="Times New Roman" w:hAnsi="Times New Roman" w:eastAsia="仿宋_GB2312" w:cs="Times New Roman"/>
          <w:color w:val="auto"/>
          <w:sz w:val="32"/>
          <w:szCs w:val="32"/>
          <w:highlight w:val="none"/>
          <w:lang w:eastAsia="zh-CN"/>
        </w:rPr>
        <w:t>住建局</w:t>
      </w:r>
      <w:r>
        <w:rPr>
          <w:rFonts w:hint="default" w:ascii="Times New Roman" w:hAnsi="Times New Roman" w:eastAsia="仿宋_GB2312" w:cs="Times New Roman"/>
          <w:color w:val="auto"/>
          <w:sz w:val="32"/>
          <w:szCs w:val="32"/>
          <w:highlight w:val="none"/>
        </w:rPr>
        <w:t>统一设计，厂票带有唯一识别码，载明被征收人名称、票面金额、征收补偿协议编号等信息，并与征收补偿协议的相关要素信息保持一致。被征收人签订厂票安置征收补偿协议并经腾空验收合格后，由</w:t>
      </w:r>
      <w:r>
        <w:rPr>
          <w:rFonts w:hint="default"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rPr>
        <w:t>住建局和项目征收实施单位共同核发厂票。</w:t>
      </w:r>
      <w:r>
        <w:rPr>
          <w:rFonts w:hint="default" w:ascii="Times New Roman" w:hAnsi="Times New Roman" w:eastAsia="仿宋_GB2312" w:cs="Times New Roman"/>
          <w:color w:val="auto"/>
          <w:sz w:val="32"/>
          <w:szCs w:val="32"/>
          <w:highlight w:val="none"/>
          <w:lang w:eastAsia="zh-CN"/>
        </w:rPr>
        <w:t>县</w:t>
      </w:r>
      <w:r>
        <w:rPr>
          <w:rFonts w:hint="eastAsia" w:ascii="Times New Roman" w:hAnsi="Times New Roman" w:eastAsia="仿宋_GB2312" w:cs="Times New Roman"/>
          <w:color w:val="auto"/>
          <w:sz w:val="32"/>
          <w:szCs w:val="32"/>
          <w:highlight w:val="none"/>
          <w:lang w:eastAsia="zh-CN"/>
        </w:rPr>
        <w:t>住建局牵头委托第三方</w:t>
      </w:r>
      <w:r>
        <w:rPr>
          <w:rFonts w:hint="default" w:ascii="Times New Roman" w:hAnsi="Times New Roman" w:eastAsia="仿宋_GB2312" w:cs="Times New Roman"/>
          <w:strike w:val="0"/>
          <w:dstrike w:val="0"/>
          <w:color w:val="auto"/>
          <w:sz w:val="32"/>
          <w:szCs w:val="32"/>
          <w:highlight w:val="none"/>
        </w:rPr>
        <w:t>开发或租用数字化厂票应用系统</w:t>
      </w:r>
      <w:r>
        <w:rPr>
          <w:rFonts w:hint="default" w:ascii="Times New Roman" w:hAnsi="Times New Roman" w:eastAsia="仿宋_GB2312" w:cs="Times New Roman"/>
          <w:color w:val="auto"/>
          <w:sz w:val="32"/>
          <w:szCs w:val="32"/>
          <w:highlight w:val="none"/>
        </w:rPr>
        <w:t>（以下简称“厂票系统”）</w:t>
      </w:r>
      <w:r>
        <w:rPr>
          <w:rFonts w:hint="eastAsia" w:ascii="Times New Roman" w:hAnsi="Times New Roman" w:eastAsia="仿宋_GB2312" w:cs="Times New Roman"/>
          <w:color w:val="auto"/>
          <w:sz w:val="32"/>
          <w:szCs w:val="32"/>
          <w:highlight w:val="none"/>
          <w:lang w:eastAsia="zh-CN"/>
        </w:rPr>
        <w:t>，并进行后期管理和维护，由县陶管会和有关项目指挥部具体操作使用。</w:t>
      </w:r>
      <w:r>
        <w:rPr>
          <w:rFonts w:hint="default" w:ascii="Times New Roman" w:hAnsi="Times New Roman" w:eastAsia="仿宋_GB2312" w:cs="Times New Roman"/>
          <w:color w:val="auto"/>
          <w:sz w:val="32"/>
          <w:szCs w:val="32"/>
          <w:highlight w:val="none"/>
        </w:rPr>
        <w:t>厂票在厂票系统内采取封闭管理，纸质厂票不得脱离厂票系统独立运行。</w:t>
      </w:r>
    </w:p>
    <w:p w14:paraId="0C85537A">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strike w:val="0"/>
          <w:dstrike w:val="0"/>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厂票</w:t>
      </w:r>
      <w:r>
        <w:rPr>
          <w:rFonts w:hint="default" w:ascii="Times New Roman" w:hAnsi="Times New Roman" w:eastAsia="仿宋_GB2312" w:cs="Times New Roman"/>
          <w:color w:val="auto"/>
          <w:sz w:val="32"/>
          <w:szCs w:val="32"/>
          <w:highlight w:val="none"/>
        </w:rPr>
        <w:t>票面金额为被征收厂房</w:t>
      </w:r>
      <w:r>
        <w:rPr>
          <w:rFonts w:hint="default" w:ascii="Times New Roman" w:hAnsi="Times New Roman" w:eastAsia="仿宋_GB2312" w:cs="Times New Roman"/>
          <w:color w:val="auto"/>
          <w:sz w:val="32"/>
          <w:szCs w:val="32"/>
          <w:highlight w:val="none"/>
          <w:lang w:eastAsia="zh-CN"/>
        </w:rPr>
        <w:t>货币</w:t>
      </w:r>
      <w:r>
        <w:rPr>
          <w:rFonts w:hint="default" w:ascii="Times New Roman" w:hAnsi="Times New Roman" w:eastAsia="仿宋_GB2312" w:cs="Times New Roman"/>
          <w:color w:val="auto"/>
          <w:sz w:val="32"/>
          <w:szCs w:val="32"/>
          <w:highlight w:val="none"/>
        </w:rPr>
        <w:t>补偿</w:t>
      </w:r>
      <w:r>
        <w:rPr>
          <w:rFonts w:hint="default" w:ascii="Times New Roman" w:hAnsi="Times New Roman" w:eastAsia="仿宋_GB2312" w:cs="Times New Roman"/>
          <w:color w:val="auto"/>
          <w:sz w:val="32"/>
          <w:szCs w:val="32"/>
          <w:highlight w:val="none"/>
          <w:lang w:eastAsia="zh-CN"/>
        </w:rPr>
        <w:t>及</w:t>
      </w:r>
      <w:r>
        <w:rPr>
          <w:rFonts w:hint="default" w:ascii="Times New Roman" w:hAnsi="Times New Roman" w:eastAsia="仿宋_GB2312" w:cs="Times New Roman"/>
          <w:color w:val="auto"/>
          <w:sz w:val="32"/>
          <w:szCs w:val="32"/>
          <w:highlight w:val="none"/>
        </w:rPr>
        <w:t>奖励</w:t>
      </w:r>
      <w:r>
        <w:rPr>
          <w:rFonts w:hint="default" w:ascii="Times New Roman" w:hAnsi="Times New Roman" w:eastAsia="仿宋_GB2312" w:cs="Times New Roman"/>
          <w:color w:val="auto"/>
          <w:sz w:val="32"/>
          <w:szCs w:val="32"/>
          <w:highlight w:val="none"/>
          <w:lang w:eastAsia="zh-CN"/>
        </w:rPr>
        <w:t>金额</w:t>
      </w:r>
      <w:r>
        <w:rPr>
          <w:rFonts w:hint="default" w:ascii="Times New Roman" w:hAnsi="Times New Roman" w:eastAsia="仿宋_GB2312" w:cs="Times New Roman"/>
          <w:color w:val="auto"/>
          <w:sz w:val="32"/>
          <w:szCs w:val="32"/>
          <w:highlight w:val="none"/>
        </w:rPr>
        <w:t>，可用于购买</w:t>
      </w:r>
      <w:r>
        <w:rPr>
          <w:rFonts w:hint="default" w:ascii="Times New Roman" w:hAnsi="Times New Roman" w:eastAsia="仿宋_GB2312" w:cs="Times New Roman"/>
          <w:color w:val="auto"/>
          <w:sz w:val="32"/>
          <w:szCs w:val="32"/>
          <w:highlight w:val="none"/>
          <w:lang w:eastAsia="zh-CN"/>
        </w:rPr>
        <w:t>厂票房源</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使用期限为自</w:t>
      </w:r>
      <w:r>
        <w:rPr>
          <w:rFonts w:hint="default" w:ascii="Times New Roman" w:hAnsi="Times New Roman" w:eastAsia="仿宋_GB2312" w:cs="Times New Roman"/>
          <w:color w:val="auto"/>
          <w:sz w:val="32"/>
          <w:szCs w:val="32"/>
          <w:highlight w:val="none"/>
          <w:lang w:eastAsia="zh-CN"/>
        </w:rPr>
        <w:t>厂票核发</w:t>
      </w:r>
      <w:r>
        <w:rPr>
          <w:rFonts w:hint="default" w:ascii="Times New Roman" w:hAnsi="Times New Roman" w:eastAsia="仿宋_GB2312" w:cs="Times New Roman"/>
          <w:color w:val="auto"/>
          <w:sz w:val="32"/>
          <w:szCs w:val="32"/>
          <w:highlight w:val="none"/>
        </w:rPr>
        <w:t>之日起</w:t>
      </w:r>
      <w:r>
        <w:rPr>
          <w:rFonts w:hint="eastAsia" w:ascii="Times New Roman" w:hAnsi="Times New Roman" w:eastAsia="仿宋_GB2312" w:cs="Times New Roman"/>
          <w:strike w:val="0"/>
          <w:dstrike w:val="0"/>
          <w:color w:val="auto"/>
          <w:sz w:val="32"/>
          <w:szCs w:val="32"/>
          <w:highlight w:val="none"/>
          <w:lang w:val="en-US" w:eastAsia="zh-CN"/>
        </w:rPr>
        <w:t>48</w:t>
      </w:r>
      <w:r>
        <w:rPr>
          <w:rFonts w:hint="default" w:ascii="Times New Roman" w:hAnsi="Times New Roman" w:eastAsia="仿宋_GB2312" w:cs="Times New Roman"/>
          <w:strike w:val="0"/>
          <w:dstrike w:val="0"/>
          <w:color w:val="auto"/>
          <w:sz w:val="32"/>
          <w:szCs w:val="32"/>
          <w:highlight w:val="none"/>
        </w:rPr>
        <w:t>个月</w:t>
      </w:r>
      <w:r>
        <w:rPr>
          <w:rFonts w:hint="default" w:ascii="Times New Roman" w:hAnsi="Times New Roman" w:eastAsia="仿宋_GB2312" w:cs="Times New Roman"/>
          <w:strike w:val="0"/>
          <w:dstrike w:val="0"/>
          <w:color w:val="auto"/>
          <w:sz w:val="32"/>
          <w:szCs w:val="32"/>
          <w:highlight w:val="none"/>
          <w:lang w:eastAsia="zh-CN"/>
        </w:rPr>
        <w:t>。</w:t>
      </w:r>
    </w:p>
    <w:p w14:paraId="080543AD">
      <w:pPr>
        <w:keepNext w:val="0"/>
        <w:keepLines w:val="0"/>
        <w:pageBreakBefore w:val="0"/>
        <w:widowControl w:val="0"/>
        <w:numPr>
          <w:ilvl w:val="0"/>
          <w:numId w:val="0"/>
        </w:numPr>
        <w:kinsoku/>
        <w:wordWrap/>
        <w:overflowPunct w:val="0"/>
        <w:topLinePunct w:val="0"/>
        <w:autoSpaceDE/>
        <w:autoSpaceDN w:val="0"/>
        <w:bidi w:val="0"/>
        <w:adjustRightInd w:val="0"/>
        <w:snapToGrid w:val="0"/>
        <w:spacing w:line="500" w:lineRule="exact"/>
        <w:ind w:left="0" w:leftChars="0" w:right="0" w:rightChars="0" w:firstLine="643" w:firstLineChars="200"/>
        <w:jc w:val="both"/>
        <w:textAlignment w:val="baseline"/>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eastAsia="zh-CN"/>
        </w:rPr>
        <w:t>厂票使用</w:t>
      </w:r>
    </w:p>
    <w:p w14:paraId="50635B2E">
      <w:pPr>
        <w:keepNext w:val="0"/>
        <w:keepLines w:val="0"/>
        <w:pageBreakBefore w:val="0"/>
        <w:widowControl w:val="0"/>
        <w:numPr>
          <w:ilvl w:val="0"/>
          <w:numId w:val="0"/>
        </w:numPr>
        <w:kinsoku/>
        <w:wordWrap/>
        <w:overflowPunct w:val="0"/>
        <w:topLinePunct w:val="0"/>
        <w:autoSpaceDE/>
        <w:autoSpaceDN w:val="0"/>
        <w:bidi w:val="0"/>
        <w:adjustRightInd w:val="0"/>
        <w:snapToGrid w:val="0"/>
        <w:spacing w:line="500" w:lineRule="exact"/>
        <w:ind w:left="0" w:leftChars="0" w:right="0" w:rightChars="0" w:firstLine="640" w:firstLineChars="200"/>
        <w:jc w:val="both"/>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厂票使用范围包括：</w:t>
      </w:r>
    </w:p>
    <w:p w14:paraId="02F4088A">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德化县行政区域范围内已办理预售许可、现售备案的新建</w:t>
      </w:r>
      <w:r>
        <w:rPr>
          <w:rFonts w:hint="eastAsia" w:ascii="Times New Roman" w:hAnsi="Times New Roman" w:eastAsia="仿宋_GB2312" w:cs="Times New Roman"/>
          <w:color w:val="auto"/>
          <w:sz w:val="32"/>
          <w:szCs w:val="32"/>
          <w:highlight w:val="none"/>
          <w:lang w:eastAsia="zh-CN"/>
        </w:rPr>
        <w:t>商品房（包括住宅、商业、办公、车位）、县政府购买的存量商品房</w:t>
      </w:r>
      <w:r>
        <w:rPr>
          <w:rFonts w:hint="default" w:ascii="Times New Roman" w:hAnsi="Times New Roman" w:eastAsia="仿宋_GB2312" w:cs="Times New Roman"/>
          <w:color w:val="auto"/>
          <w:sz w:val="32"/>
          <w:szCs w:val="32"/>
          <w:highlight w:val="none"/>
          <w:lang w:eastAsia="zh-CN"/>
        </w:rPr>
        <w:t>等所有未办理网签备案的房源</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房源交易以买卖双方自愿为原则。</w:t>
      </w:r>
    </w:p>
    <w:p w14:paraId="26FB32D7">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firstLine="640" w:firstLineChars="200"/>
        <w:textAlignment w:val="baseline"/>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w:t>
      </w:r>
      <w:bookmarkStart w:id="0" w:name="OLE_LINK23"/>
      <w:bookmarkStart w:id="1" w:name="OLE_LINK24"/>
      <w:r>
        <w:rPr>
          <w:rFonts w:hint="eastAsia" w:ascii="Times New Roman" w:hAnsi="Times New Roman" w:eastAsia="仿宋_GB2312" w:cs="Times New Roman"/>
          <w:color w:val="auto"/>
          <w:sz w:val="32"/>
          <w:szCs w:val="32"/>
          <w:highlight w:val="none"/>
          <w:lang w:eastAsia="zh-CN"/>
        </w:rPr>
        <w:t>县国企及</w:t>
      </w:r>
      <w:r>
        <w:rPr>
          <w:rFonts w:hint="eastAsia" w:ascii="Times New Roman" w:hAnsi="Times New Roman" w:eastAsia="仿宋_GB2312" w:cs="Times New Roman"/>
          <w:color w:val="auto"/>
          <w:sz w:val="32"/>
          <w:szCs w:val="32"/>
          <w:highlight w:val="none"/>
        </w:rPr>
        <w:t>社会资本方</w:t>
      </w:r>
      <w:bookmarkEnd w:id="0"/>
      <w:bookmarkEnd w:id="1"/>
      <w:r>
        <w:rPr>
          <w:rFonts w:ascii="Times New Roman" w:hAnsi="Times New Roman" w:eastAsia="仿宋_GB2312" w:cs="Times New Roman"/>
          <w:color w:val="auto"/>
          <w:sz w:val="32"/>
          <w:szCs w:val="32"/>
          <w:highlight w:val="none"/>
        </w:rPr>
        <w:t>开发的可分割销售</w:t>
      </w:r>
      <w:r>
        <w:rPr>
          <w:rFonts w:hint="eastAsia" w:ascii="Times New Roman" w:hAnsi="Times New Roman" w:eastAsia="仿宋_GB2312" w:cs="Times New Roman"/>
          <w:color w:val="auto"/>
          <w:sz w:val="32"/>
          <w:szCs w:val="32"/>
          <w:highlight w:val="none"/>
        </w:rPr>
        <w:t>的</w:t>
      </w:r>
      <w:r>
        <w:rPr>
          <w:rFonts w:ascii="Times New Roman" w:hAnsi="Times New Roman" w:eastAsia="仿宋_GB2312" w:cs="Times New Roman"/>
          <w:color w:val="auto"/>
          <w:sz w:val="32"/>
          <w:szCs w:val="32"/>
          <w:highlight w:val="none"/>
        </w:rPr>
        <w:t>标准化厂房</w:t>
      </w:r>
      <w:r>
        <w:rPr>
          <w:rFonts w:hint="eastAsia" w:ascii="Times New Roman" w:hAnsi="Times New Roman" w:eastAsia="仿宋_GB2312" w:cs="Times New Roman"/>
          <w:color w:val="auto"/>
          <w:sz w:val="32"/>
          <w:szCs w:val="32"/>
          <w:highlight w:val="none"/>
        </w:rPr>
        <w:t>；</w:t>
      </w:r>
    </w:p>
    <w:p w14:paraId="13288110">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firstLine="640" w:firstLineChars="200"/>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（3）参与本县工业用地公开竞价</w:t>
      </w:r>
      <w:r>
        <w:rPr>
          <w:rFonts w:hint="eastAsia" w:ascii="Times New Roman" w:hAnsi="Times New Roman" w:eastAsia="仿宋_GB2312" w:cs="Times New Roman"/>
          <w:color w:val="auto"/>
          <w:sz w:val="32"/>
          <w:szCs w:val="32"/>
          <w:highlight w:val="none"/>
        </w:rPr>
        <w:t>，成交后按出让公告的要求足额将土地出让金缴纳入库，县财政局在资金到位后，会同相关部门对竞得的企业进行持有</w:t>
      </w:r>
      <w:r>
        <w:rPr>
          <w:rFonts w:hint="eastAsia" w:ascii="Times New Roman" w:hAnsi="Times New Roman" w:eastAsia="仿宋_GB2312" w:cs="Times New Roman"/>
          <w:color w:val="auto"/>
          <w:sz w:val="32"/>
          <w:szCs w:val="32"/>
          <w:highlight w:val="none"/>
          <w:lang w:eastAsia="zh-CN"/>
        </w:rPr>
        <w:t>厂</w:t>
      </w:r>
      <w:r>
        <w:rPr>
          <w:rFonts w:hint="eastAsia" w:ascii="Times New Roman" w:hAnsi="Times New Roman" w:eastAsia="仿宋_GB2312" w:cs="Times New Roman"/>
          <w:color w:val="auto"/>
          <w:sz w:val="32"/>
          <w:szCs w:val="32"/>
          <w:highlight w:val="none"/>
        </w:rPr>
        <w:t>票金额的不计息兑付。</w:t>
      </w:r>
    </w:p>
    <w:p w14:paraId="6DD52D79">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40" w:firstLineChars="200"/>
        <w:jc w:val="both"/>
        <w:textAlignment w:val="baseline"/>
        <w:rPr>
          <w:rFonts w:hint="eastAsia" w:eastAsiaTheme="minorEastAsia"/>
          <w:color w:val="auto"/>
          <w:highlight w:val="none"/>
          <w:lang w:eastAsia="zh-CN"/>
        </w:rPr>
      </w:pPr>
      <w:r>
        <w:rPr>
          <w:rFonts w:hint="eastAsia" w:ascii="Times New Roman" w:hAnsi="Times New Roman" w:eastAsia="仿宋_GB2312" w:cs="Times New Roman"/>
          <w:color w:val="auto"/>
          <w:sz w:val="32"/>
          <w:szCs w:val="32"/>
          <w:highlight w:val="none"/>
          <w:lang w:val="en-US" w:eastAsia="zh-CN"/>
        </w:rPr>
        <w:t>被征收人可使用厂票，一次或多次购买一套或多套厂票房源。</w:t>
      </w:r>
      <w:r>
        <w:rPr>
          <w:rFonts w:hint="eastAsia" w:ascii="Times New Roman" w:hAnsi="Times New Roman" w:eastAsia="仿宋_GB2312" w:cs="Times New Roman"/>
          <w:color w:val="auto"/>
          <w:sz w:val="32"/>
          <w:szCs w:val="32"/>
          <w:highlight w:val="none"/>
          <w:lang w:eastAsia="zh-CN"/>
        </w:rPr>
        <w:t>厂票只可转让一次，但不得变更用途。</w:t>
      </w:r>
    </w:p>
    <w:p w14:paraId="5E5E301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71" w:firstLineChars="200"/>
        <w:jc w:val="both"/>
        <w:textAlignment w:val="auto"/>
        <w:rPr>
          <w:color w:val="auto"/>
          <w:highlight w:val="none"/>
        </w:rPr>
      </w:pPr>
      <w:r>
        <w:rPr>
          <w:rFonts w:hint="eastAsia" w:ascii="仿宋_GB2312" w:hAnsi="仿宋_GB2312" w:eastAsia="仿宋_GB2312" w:cs="仿宋_GB2312"/>
          <w:b/>
          <w:bCs/>
          <w:color w:val="auto"/>
          <w:spacing w:val="7"/>
          <w:sz w:val="32"/>
          <w:szCs w:val="32"/>
          <w:highlight w:val="none"/>
          <w:lang w:val="en-US" w:eastAsia="zh-CN"/>
        </w:rPr>
        <w:t xml:space="preserve">4.厂票兑现结算  </w:t>
      </w:r>
    </w:p>
    <w:p w14:paraId="59E11017">
      <w:pPr>
        <w:keepNext w:val="0"/>
        <w:keepLines w:val="0"/>
        <w:pageBreakBefore w:val="0"/>
        <w:widowControl w:val="0"/>
        <w:kinsoku/>
        <w:wordWrap/>
        <w:overflowPunct/>
        <w:topLinePunct w:val="0"/>
        <w:autoSpaceDE/>
        <w:autoSpaceDN/>
        <w:bidi w:val="0"/>
        <w:adjustRightInd/>
        <w:snapToGrid/>
        <w:spacing w:line="500" w:lineRule="exact"/>
        <w:ind w:left="0" w:leftChars="0" w:firstLine="643"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（1）被征收人或厂票受让人资金结算。</w:t>
      </w:r>
    </w:p>
    <w:p w14:paraId="7560A7A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厂票有效期满后，</w:t>
      </w:r>
      <w:r>
        <w:rPr>
          <w:rFonts w:hint="eastAsia" w:ascii="仿宋_GB2312" w:hAnsi="仿宋_GB2312" w:eastAsia="仿宋_GB2312" w:cs="仿宋_GB2312"/>
          <w:b w:val="0"/>
          <w:bCs w:val="0"/>
          <w:color w:val="auto"/>
          <w:spacing w:val="7"/>
          <w:sz w:val="32"/>
          <w:szCs w:val="32"/>
          <w:highlight w:val="none"/>
          <w:lang w:val="en-US" w:eastAsia="zh-CN"/>
        </w:rPr>
        <w:t>被征收人或厂票受让人</w:t>
      </w:r>
      <w:r>
        <w:rPr>
          <w:rFonts w:hint="default" w:ascii="Times New Roman" w:hAnsi="Times New Roman" w:eastAsia="仿宋_GB2312" w:cs="Times New Roman"/>
          <w:color w:val="auto"/>
          <w:sz w:val="32"/>
          <w:szCs w:val="32"/>
          <w:highlight w:val="none"/>
          <w:lang w:eastAsia="zh-CN"/>
        </w:rPr>
        <w:t>未使用厂票或者使用</w:t>
      </w:r>
      <w:r>
        <w:rPr>
          <w:rFonts w:hint="default" w:ascii="Times New Roman" w:hAnsi="Times New Roman" w:eastAsia="仿宋_GB2312" w:cs="Times New Roman"/>
          <w:color w:val="auto"/>
          <w:sz w:val="32"/>
          <w:szCs w:val="32"/>
          <w:highlight w:val="none"/>
          <w:lang w:val="en-US" w:eastAsia="zh-CN"/>
        </w:rPr>
        <w:t>厂票金额不足初始票面价值的，在扣除余下厂票金额中相应的</w:t>
      </w:r>
      <w:r>
        <w:rPr>
          <w:rFonts w:hint="eastAsia" w:ascii="Times New Roman" w:hAnsi="Times New Roman" w:eastAsia="仿宋_GB2312" w:cs="Times New Roman"/>
          <w:color w:val="auto"/>
          <w:sz w:val="32"/>
          <w:szCs w:val="32"/>
          <w:highlight w:val="none"/>
          <w:lang w:val="en-US" w:eastAsia="zh-CN"/>
        </w:rPr>
        <w:t>政策性奖励及按期签约腾空</w:t>
      </w:r>
      <w:r>
        <w:rPr>
          <w:rFonts w:hint="default" w:ascii="Times New Roman" w:hAnsi="Times New Roman" w:eastAsia="仿宋_GB2312" w:cs="Times New Roman"/>
          <w:color w:val="auto"/>
          <w:sz w:val="32"/>
          <w:szCs w:val="32"/>
          <w:highlight w:val="none"/>
          <w:lang w:val="en-US" w:eastAsia="zh-CN"/>
        </w:rPr>
        <w:t>奖励金额后</w:t>
      </w:r>
      <w:r>
        <w:rPr>
          <w:rFonts w:hint="eastAsia" w:ascii="Times New Roman" w:hAnsi="Times New Roman" w:eastAsia="仿宋_GB2312" w:cs="Times New Roman"/>
          <w:color w:val="auto"/>
          <w:sz w:val="32"/>
          <w:szCs w:val="32"/>
          <w:highlight w:val="none"/>
          <w:lang w:val="en-US" w:eastAsia="zh-CN"/>
        </w:rPr>
        <w:t>在厂票系统</w:t>
      </w:r>
      <w:r>
        <w:rPr>
          <w:rFonts w:hint="default" w:ascii="Times New Roman" w:hAnsi="Times New Roman" w:eastAsia="仿宋_GB2312" w:cs="Times New Roman"/>
          <w:color w:val="auto"/>
          <w:sz w:val="32"/>
          <w:szCs w:val="32"/>
          <w:highlight w:val="none"/>
          <w:lang w:val="en-US" w:eastAsia="zh-CN"/>
        </w:rPr>
        <w:t>申请</w:t>
      </w:r>
      <w:r>
        <w:rPr>
          <w:rFonts w:hint="eastAsia" w:ascii="Times New Roman" w:hAnsi="Times New Roman" w:eastAsia="仿宋_GB2312" w:cs="Times New Roman"/>
          <w:color w:val="auto"/>
          <w:sz w:val="32"/>
          <w:szCs w:val="32"/>
          <w:highlight w:val="none"/>
          <w:lang w:val="en-US" w:eastAsia="zh-CN"/>
        </w:rPr>
        <w:t>余额结算</w:t>
      </w:r>
      <w:r>
        <w:rPr>
          <w:rFonts w:hint="default" w:ascii="Times New Roman" w:hAnsi="Times New Roman" w:eastAsia="仿宋_GB2312" w:cs="Times New Roman"/>
          <w:color w:val="auto"/>
          <w:sz w:val="32"/>
          <w:szCs w:val="32"/>
          <w:highlight w:val="none"/>
          <w:lang w:val="en-US" w:eastAsia="zh-CN"/>
        </w:rPr>
        <w:t>。</w:t>
      </w:r>
    </w:p>
    <w:p w14:paraId="5C7B98FD">
      <w:pPr>
        <w:keepNext w:val="0"/>
        <w:keepLines w:val="0"/>
        <w:pageBreakBefore w:val="0"/>
        <w:widowControl w:val="0"/>
        <w:kinsoku/>
        <w:wordWrap/>
        <w:overflowPunct/>
        <w:topLinePunct w:val="0"/>
        <w:autoSpaceDE/>
        <w:autoSpaceDN/>
        <w:bidi w:val="0"/>
        <w:adjustRightInd/>
        <w:snapToGrid/>
        <w:spacing w:line="500" w:lineRule="exact"/>
        <w:ind w:left="0" w:leftChars="0" w:firstLine="643"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（2）开发企业资金结算。</w:t>
      </w:r>
    </w:p>
    <w:p w14:paraId="738D729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①房地产开发企业。在</w:t>
      </w:r>
      <w:r>
        <w:rPr>
          <w:rFonts w:hint="default" w:ascii="Times New Roman" w:hAnsi="Times New Roman" w:eastAsia="仿宋_GB2312" w:cs="Times New Roman"/>
          <w:color w:val="auto"/>
          <w:sz w:val="32"/>
          <w:szCs w:val="32"/>
          <w:highlight w:val="none"/>
          <w:lang w:val="en-US" w:eastAsia="zh-CN"/>
        </w:rPr>
        <w:t>办理商品房买卖合同备案时，可将</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票视同预售款存入商品房预售资金监管专用账户的凭证。备案完成后，在</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票系统申请资金结算（在预售资金监管状态下，按照商品房预售资金监管有关规定，</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票结算资金直接兑付到商品房预售资金监管专用账户）。</w:t>
      </w:r>
      <w:r>
        <w:rPr>
          <w:rFonts w:hint="eastAsia" w:ascii="Times New Roman" w:hAnsi="Times New Roman" w:eastAsia="仿宋_GB2312" w:cs="Times New Roman"/>
          <w:color w:val="auto"/>
          <w:sz w:val="32"/>
          <w:szCs w:val="32"/>
          <w:highlight w:val="none"/>
          <w:lang w:val="en-US" w:eastAsia="zh-CN"/>
        </w:rPr>
        <w:t>具体如下</w:t>
      </w:r>
      <w:r>
        <w:rPr>
          <w:rFonts w:hint="default" w:ascii="Times New Roman" w:hAnsi="Times New Roman" w:eastAsia="仿宋_GB2312" w:cs="Times New Roman"/>
          <w:color w:val="auto"/>
          <w:sz w:val="32"/>
          <w:szCs w:val="32"/>
          <w:highlight w:val="none"/>
          <w:lang w:val="en-US" w:eastAsia="zh-CN"/>
        </w:rPr>
        <w:t>：</w:t>
      </w:r>
    </w:p>
    <w:p w14:paraId="506A5BF4">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一是</w:t>
      </w:r>
      <w:r>
        <w:rPr>
          <w:rFonts w:hint="default" w:ascii="Times New Roman" w:hAnsi="Times New Roman" w:eastAsia="仿宋_GB2312" w:cs="Times New Roman"/>
          <w:color w:val="auto"/>
          <w:sz w:val="32"/>
          <w:szCs w:val="32"/>
          <w:highlight w:val="none"/>
          <w:lang w:val="en-US" w:eastAsia="zh-CN"/>
        </w:rPr>
        <w:t>完成商品房买卖合同网签备案之日起</w:t>
      </w:r>
      <w:r>
        <w:rPr>
          <w:rFonts w:hint="default" w:ascii="Times New Roman" w:hAnsi="Times New Roman" w:eastAsia="仿宋_GB2312" w:cs="Times New Roman"/>
          <w:strike w:val="0"/>
          <w:dstrike w:val="0"/>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个月内，结算</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票使用面值的</w:t>
      </w:r>
      <w:r>
        <w:rPr>
          <w:rFonts w:hint="default" w:ascii="Times New Roman" w:hAnsi="Times New Roman" w:eastAsia="仿宋_GB2312" w:cs="Times New Roman"/>
          <w:strike w:val="0"/>
          <w:dstrike w:val="0"/>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0%；</w:t>
      </w:r>
    </w:p>
    <w:p w14:paraId="390727AF">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strike/>
          <w:dstrike w:val="0"/>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二是</w:t>
      </w:r>
      <w:r>
        <w:rPr>
          <w:rFonts w:hint="default" w:ascii="Times New Roman" w:hAnsi="Times New Roman" w:eastAsia="仿宋_GB2312" w:cs="Times New Roman"/>
          <w:color w:val="auto"/>
          <w:sz w:val="32"/>
          <w:szCs w:val="32"/>
          <w:highlight w:val="none"/>
          <w:lang w:val="en-US" w:eastAsia="zh-CN"/>
        </w:rPr>
        <w:t>完成商品房主体结构封顶后</w:t>
      </w:r>
      <w:r>
        <w:rPr>
          <w:rFonts w:hint="default" w:ascii="Times New Roman" w:hAnsi="Times New Roman" w:eastAsia="仿宋_GB2312" w:cs="Times New Roman"/>
          <w:strike w:val="0"/>
          <w:dstrike w:val="0"/>
          <w:color w:val="auto"/>
          <w:sz w:val="32"/>
          <w:szCs w:val="32"/>
          <w:highlight w:val="none"/>
          <w:u w:val="none" w:color="auto"/>
          <w:lang w:val="en-US" w:eastAsia="zh-CN"/>
        </w:rPr>
        <w:t>2个月内，结算</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w:t>
      </w:r>
      <w:r>
        <w:rPr>
          <w:rFonts w:hint="default" w:ascii="Times New Roman" w:hAnsi="Times New Roman" w:eastAsia="仿宋_GB2312" w:cs="Times New Roman"/>
          <w:strike w:val="0"/>
          <w:dstrike w:val="0"/>
          <w:color w:val="auto"/>
          <w:sz w:val="32"/>
          <w:szCs w:val="32"/>
          <w:highlight w:val="none"/>
          <w:u w:val="none" w:color="auto"/>
          <w:lang w:val="en-US" w:eastAsia="zh-CN"/>
        </w:rPr>
        <w:t>面值30%</w:t>
      </w:r>
      <w:r>
        <w:rPr>
          <w:rFonts w:hint="default" w:ascii="Times New Roman" w:hAnsi="Times New Roman" w:eastAsia="仿宋_GB2312" w:cs="Times New Roman"/>
          <w:strike w:val="0"/>
          <w:dstrike w:val="0"/>
          <w:color w:val="auto"/>
          <w:sz w:val="32"/>
          <w:szCs w:val="32"/>
          <w:highlight w:val="none"/>
          <w:lang w:val="en-US" w:eastAsia="zh-CN"/>
        </w:rPr>
        <w:t>；</w:t>
      </w:r>
    </w:p>
    <w:p w14:paraId="0C9F6AA6">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三是</w:t>
      </w:r>
      <w:r>
        <w:rPr>
          <w:rFonts w:hint="default" w:ascii="Times New Roman" w:hAnsi="Times New Roman" w:eastAsia="仿宋_GB2312" w:cs="Times New Roman"/>
          <w:color w:val="auto"/>
          <w:sz w:val="32"/>
          <w:szCs w:val="32"/>
          <w:highlight w:val="none"/>
          <w:lang w:val="en-US" w:eastAsia="zh-CN"/>
        </w:rPr>
        <w:t>房屋验收后</w:t>
      </w:r>
      <w:r>
        <w:rPr>
          <w:rFonts w:hint="eastAsia" w:ascii="Times New Roman" w:hAnsi="Times New Roman" w:eastAsia="仿宋_GB2312" w:cs="Times New Roman"/>
          <w:strike w:val="0"/>
          <w:dstrike w:val="0"/>
          <w:color w:val="auto"/>
          <w:sz w:val="32"/>
          <w:szCs w:val="32"/>
          <w:highlight w:val="none"/>
          <w:u w:val="none" w:color="auto"/>
          <w:lang w:val="en-US" w:eastAsia="zh-CN"/>
        </w:rPr>
        <w:t>2</w:t>
      </w:r>
      <w:r>
        <w:rPr>
          <w:rFonts w:hint="default" w:ascii="Times New Roman" w:hAnsi="Times New Roman" w:eastAsia="仿宋_GB2312" w:cs="Times New Roman"/>
          <w:color w:val="auto"/>
          <w:sz w:val="32"/>
          <w:szCs w:val="32"/>
          <w:highlight w:val="none"/>
          <w:lang w:val="en-US" w:eastAsia="zh-CN"/>
        </w:rPr>
        <w:t>个月内，结算</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票使用面值20%；</w:t>
      </w:r>
    </w:p>
    <w:p w14:paraId="461A1483">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四是实物交付</w:t>
      </w:r>
      <w:r>
        <w:rPr>
          <w:rFonts w:hint="default" w:ascii="Times New Roman" w:hAnsi="Times New Roman" w:eastAsia="仿宋_GB2312" w:cs="Times New Roman"/>
          <w:strike w:val="0"/>
          <w:dstrike w:val="0"/>
          <w:color w:val="auto"/>
          <w:sz w:val="32"/>
          <w:szCs w:val="32"/>
          <w:highlight w:val="none"/>
          <w:u w:val="none" w:color="auto"/>
          <w:lang w:val="en-US" w:eastAsia="zh-CN"/>
        </w:rPr>
        <w:t>后</w:t>
      </w:r>
      <w:r>
        <w:rPr>
          <w:rFonts w:hint="eastAsia" w:ascii="Times New Roman" w:hAnsi="Times New Roman" w:eastAsia="仿宋_GB2312" w:cs="Times New Roman"/>
          <w:strike w:val="0"/>
          <w:dstrike w:val="0"/>
          <w:color w:val="auto"/>
          <w:sz w:val="32"/>
          <w:szCs w:val="32"/>
          <w:highlight w:val="none"/>
          <w:u w:val="none" w:color="auto"/>
          <w:lang w:val="en-US" w:eastAsia="zh-CN"/>
        </w:rPr>
        <w:t>2</w:t>
      </w:r>
      <w:r>
        <w:rPr>
          <w:rFonts w:hint="default" w:ascii="Times New Roman" w:hAnsi="Times New Roman" w:eastAsia="仿宋_GB2312" w:cs="Times New Roman"/>
          <w:strike w:val="0"/>
          <w:dstrike w:val="0"/>
          <w:color w:val="auto"/>
          <w:sz w:val="32"/>
          <w:szCs w:val="32"/>
          <w:highlight w:val="none"/>
          <w:u w:val="none" w:color="auto"/>
          <w:lang w:val="en-US" w:eastAsia="zh-CN"/>
        </w:rPr>
        <w:t>个</w:t>
      </w:r>
      <w:r>
        <w:rPr>
          <w:rFonts w:hint="default" w:ascii="Times New Roman" w:hAnsi="Times New Roman" w:eastAsia="仿宋_GB2312" w:cs="Times New Roman"/>
          <w:color w:val="auto"/>
          <w:sz w:val="32"/>
          <w:szCs w:val="32"/>
          <w:highlight w:val="none"/>
          <w:lang w:val="en-US" w:eastAsia="zh-CN"/>
        </w:rPr>
        <w:t>月内，结清</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票使用面值。</w:t>
      </w:r>
    </w:p>
    <w:p w14:paraId="766491A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②</w:t>
      </w:r>
      <w:r>
        <w:rPr>
          <w:rFonts w:hint="eastAsia" w:ascii="Times New Roman" w:hAnsi="Times New Roman" w:eastAsia="仿宋_GB2312" w:cs="Times New Roman"/>
          <w:color w:val="auto"/>
          <w:sz w:val="32"/>
          <w:szCs w:val="32"/>
          <w:highlight w:val="none"/>
        </w:rPr>
        <w:t>厂房开发企</w:t>
      </w:r>
      <w:r>
        <w:rPr>
          <w:rFonts w:hint="eastAsia" w:ascii="Times New Roman" w:hAnsi="Times New Roman" w:eastAsia="仿宋_GB2312" w:cs="Times New Roman"/>
          <w:color w:val="auto"/>
          <w:sz w:val="32"/>
          <w:szCs w:val="32"/>
          <w:highlight w:val="none"/>
          <w:lang w:val="en-US" w:eastAsia="zh-CN"/>
        </w:rPr>
        <w:t>业。按以下流程申请资金结算</w:t>
      </w:r>
      <w:r>
        <w:rPr>
          <w:rFonts w:hint="default" w:ascii="Times New Roman" w:hAnsi="Times New Roman" w:eastAsia="仿宋_GB2312" w:cs="Times New Roman"/>
          <w:color w:val="auto"/>
          <w:sz w:val="32"/>
          <w:szCs w:val="32"/>
          <w:highlight w:val="none"/>
          <w:lang w:val="en-US" w:eastAsia="zh-CN"/>
        </w:rPr>
        <w:t>：</w:t>
      </w:r>
    </w:p>
    <w:p w14:paraId="1A24DA9F">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strike/>
          <w:dstrike w:val="0"/>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一是</w:t>
      </w:r>
      <w:r>
        <w:rPr>
          <w:rFonts w:hint="default" w:ascii="Times New Roman" w:hAnsi="Times New Roman" w:eastAsia="仿宋_GB2312" w:cs="Times New Roman"/>
          <w:color w:val="auto"/>
          <w:sz w:val="32"/>
          <w:szCs w:val="32"/>
          <w:highlight w:val="none"/>
          <w:lang w:val="en-US" w:eastAsia="zh-CN"/>
        </w:rPr>
        <w:t>完成</w:t>
      </w:r>
      <w:r>
        <w:rPr>
          <w:rFonts w:hint="eastAsia" w:ascii="Times New Roman" w:hAnsi="Times New Roman" w:eastAsia="仿宋_GB2312" w:cs="Times New Roman"/>
          <w:color w:val="auto"/>
          <w:sz w:val="32"/>
          <w:szCs w:val="32"/>
          <w:highlight w:val="none"/>
          <w:lang w:val="en-US" w:eastAsia="zh-CN"/>
        </w:rPr>
        <w:t>标准化厂</w:t>
      </w:r>
      <w:r>
        <w:rPr>
          <w:rFonts w:hint="default" w:ascii="Times New Roman" w:hAnsi="Times New Roman" w:eastAsia="仿宋_GB2312" w:cs="Times New Roman"/>
          <w:color w:val="auto"/>
          <w:sz w:val="32"/>
          <w:szCs w:val="32"/>
          <w:highlight w:val="none"/>
          <w:lang w:val="en-US" w:eastAsia="zh-CN"/>
        </w:rPr>
        <w:t>房主体结构封顶后</w:t>
      </w:r>
      <w:r>
        <w:rPr>
          <w:rFonts w:hint="default" w:ascii="Times New Roman" w:hAnsi="Times New Roman" w:eastAsia="仿宋_GB2312" w:cs="Times New Roman"/>
          <w:strike w:val="0"/>
          <w:dstrike w:val="0"/>
          <w:color w:val="auto"/>
          <w:sz w:val="32"/>
          <w:szCs w:val="32"/>
          <w:highlight w:val="none"/>
          <w:u w:val="none" w:color="auto"/>
          <w:lang w:val="en-US" w:eastAsia="zh-CN"/>
        </w:rPr>
        <w:t>2个月内，结算</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w:t>
      </w:r>
      <w:r>
        <w:rPr>
          <w:rFonts w:hint="default" w:ascii="Times New Roman" w:hAnsi="Times New Roman" w:eastAsia="仿宋_GB2312" w:cs="Times New Roman"/>
          <w:strike w:val="0"/>
          <w:dstrike w:val="0"/>
          <w:color w:val="auto"/>
          <w:sz w:val="32"/>
          <w:szCs w:val="32"/>
          <w:highlight w:val="none"/>
          <w:u w:val="none" w:color="auto"/>
          <w:lang w:val="en-US" w:eastAsia="zh-CN"/>
        </w:rPr>
        <w:t>面值</w:t>
      </w:r>
      <w:r>
        <w:rPr>
          <w:rFonts w:hint="eastAsia" w:ascii="Times New Roman" w:hAnsi="Times New Roman" w:eastAsia="仿宋_GB2312" w:cs="Times New Roman"/>
          <w:strike w:val="0"/>
          <w:dstrike w:val="0"/>
          <w:color w:val="auto"/>
          <w:sz w:val="32"/>
          <w:szCs w:val="32"/>
          <w:highlight w:val="none"/>
          <w:u w:val="none" w:color="auto"/>
          <w:lang w:val="en-US" w:eastAsia="zh-CN"/>
        </w:rPr>
        <w:t>5</w:t>
      </w:r>
      <w:r>
        <w:rPr>
          <w:rFonts w:hint="default" w:ascii="Times New Roman" w:hAnsi="Times New Roman" w:eastAsia="仿宋_GB2312" w:cs="Times New Roman"/>
          <w:strike w:val="0"/>
          <w:dstrike w:val="0"/>
          <w:color w:val="auto"/>
          <w:sz w:val="32"/>
          <w:szCs w:val="32"/>
          <w:highlight w:val="none"/>
          <w:u w:val="none" w:color="auto"/>
          <w:lang w:val="en-US" w:eastAsia="zh-CN"/>
        </w:rPr>
        <w:t>0%</w:t>
      </w:r>
      <w:r>
        <w:rPr>
          <w:rFonts w:hint="default" w:ascii="Times New Roman" w:hAnsi="Times New Roman" w:eastAsia="仿宋_GB2312" w:cs="Times New Roman"/>
          <w:strike w:val="0"/>
          <w:dstrike w:val="0"/>
          <w:color w:val="auto"/>
          <w:sz w:val="32"/>
          <w:szCs w:val="32"/>
          <w:highlight w:val="none"/>
          <w:lang w:val="en-US" w:eastAsia="zh-CN"/>
        </w:rPr>
        <w:t>；</w:t>
      </w:r>
    </w:p>
    <w:p w14:paraId="4BDBE129">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二是标准化厂</w:t>
      </w:r>
      <w:r>
        <w:rPr>
          <w:rFonts w:hint="default" w:ascii="Times New Roman" w:hAnsi="Times New Roman" w:eastAsia="仿宋_GB2312" w:cs="Times New Roman"/>
          <w:color w:val="auto"/>
          <w:sz w:val="32"/>
          <w:szCs w:val="32"/>
          <w:highlight w:val="none"/>
          <w:lang w:val="en-US" w:eastAsia="zh-CN"/>
        </w:rPr>
        <w:t>房验收后</w:t>
      </w:r>
      <w:r>
        <w:rPr>
          <w:rFonts w:hint="eastAsia" w:ascii="Times New Roman" w:hAnsi="Times New Roman" w:eastAsia="仿宋_GB2312" w:cs="Times New Roman"/>
          <w:strike w:val="0"/>
          <w:dstrike w:val="0"/>
          <w:color w:val="auto"/>
          <w:sz w:val="32"/>
          <w:szCs w:val="32"/>
          <w:highlight w:val="none"/>
          <w:u w:val="none" w:color="auto"/>
          <w:lang w:val="en-US" w:eastAsia="zh-CN"/>
        </w:rPr>
        <w:t>2</w:t>
      </w:r>
      <w:r>
        <w:rPr>
          <w:rFonts w:hint="default" w:ascii="Times New Roman" w:hAnsi="Times New Roman" w:eastAsia="仿宋_GB2312" w:cs="Times New Roman"/>
          <w:color w:val="auto"/>
          <w:sz w:val="32"/>
          <w:szCs w:val="32"/>
          <w:highlight w:val="none"/>
          <w:lang w:val="en-US" w:eastAsia="zh-CN"/>
        </w:rPr>
        <w:t>个月内，结算</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票使用面值</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0%；</w:t>
      </w:r>
    </w:p>
    <w:p w14:paraId="4011FC34">
      <w:pPr>
        <w:keepNext w:val="0"/>
        <w:keepLines w:val="0"/>
        <w:pageBreakBefore w:val="0"/>
        <w:widowControl w:val="0"/>
        <w:kinsoku/>
        <w:wordWrap/>
        <w:overflowPunct w:val="0"/>
        <w:topLinePunct w:val="0"/>
        <w:autoSpaceDE/>
        <w:autoSpaceDN w:val="0"/>
        <w:bidi w:val="0"/>
        <w:adjustRightInd w:val="0"/>
        <w:snapToGrid w:val="0"/>
        <w:spacing w:line="500" w:lineRule="exact"/>
        <w:ind w:left="0" w:leftChars="0" w:right="0" w:firstLine="630"/>
        <w:jc w:val="both"/>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三是厂票使用人办理不动产证</w:t>
      </w:r>
      <w:r>
        <w:rPr>
          <w:rFonts w:hint="default" w:ascii="Times New Roman" w:hAnsi="Times New Roman" w:eastAsia="仿宋_GB2312" w:cs="Times New Roman"/>
          <w:color w:val="auto"/>
          <w:sz w:val="32"/>
          <w:szCs w:val="32"/>
          <w:highlight w:val="none"/>
          <w:lang w:val="en-US" w:eastAsia="zh-CN"/>
        </w:rPr>
        <w:t>后</w:t>
      </w:r>
      <w:r>
        <w:rPr>
          <w:rFonts w:hint="eastAsia" w:ascii="Times New Roman" w:hAnsi="Times New Roman" w:eastAsia="仿宋_GB2312" w:cs="Times New Roman"/>
          <w:strike w:val="0"/>
          <w:dstrike w:val="0"/>
          <w:color w:val="auto"/>
          <w:sz w:val="32"/>
          <w:szCs w:val="32"/>
          <w:highlight w:val="none"/>
          <w:u w:val="none" w:color="auto"/>
          <w:lang w:val="en-US" w:eastAsia="zh-CN"/>
        </w:rPr>
        <w:t>2</w:t>
      </w:r>
      <w:r>
        <w:rPr>
          <w:rFonts w:hint="default" w:ascii="Times New Roman" w:hAnsi="Times New Roman" w:eastAsia="仿宋_GB2312" w:cs="Times New Roman"/>
          <w:strike w:val="0"/>
          <w:dstrike w:val="0"/>
          <w:color w:val="auto"/>
          <w:sz w:val="32"/>
          <w:szCs w:val="32"/>
          <w:highlight w:val="none"/>
          <w:u w:val="none" w:color="auto"/>
          <w:lang w:val="en-US" w:eastAsia="zh-CN"/>
        </w:rPr>
        <w:t>个</w:t>
      </w:r>
      <w:r>
        <w:rPr>
          <w:rFonts w:hint="default" w:ascii="Times New Roman" w:hAnsi="Times New Roman" w:eastAsia="仿宋_GB2312" w:cs="Times New Roman"/>
          <w:color w:val="auto"/>
          <w:sz w:val="32"/>
          <w:szCs w:val="32"/>
          <w:highlight w:val="none"/>
          <w:lang w:val="en-US" w:eastAsia="zh-CN"/>
        </w:rPr>
        <w:t>月内，结清</w:t>
      </w:r>
      <w:r>
        <w:rPr>
          <w:rFonts w:hint="eastAsia" w:ascii="Times New Roman" w:hAnsi="Times New Roman" w:eastAsia="仿宋_GB2312" w:cs="Times New Roman"/>
          <w:color w:val="auto"/>
          <w:sz w:val="32"/>
          <w:szCs w:val="32"/>
          <w:highlight w:val="none"/>
          <w:lang w:val="en-US" w:eastAsia="zh-CN"/>
        </w:rPr>
        <w:t>厂</w:t>
      </w:r>
      <w:r>
        <w:rPr>
          <w:rFonts w:hint="default" w:ascii="Times New Roman" w:hAnsi="Times New Roman" w:eastAsia="仿宋_GB2312" w:cs="Times New Roman"/>
          <w:color w:val="auto"/>
          <w:sz w:val="32"/>
          <w:szCs w:val="32"/>
          <w:highlight w:val="none"/>
          <w:lang w:val="en-US" w:eastAsia="zh-CN"/>
        </w:rPr>
        <w:t>票使用面值。</w:t>
      </w:r>
    </w:p>
    <w:p w14:paraId="5463597A">
      <w:pPr>
        <w:keepNext w:val="0"/>
        <w:keepLines w:val="0"/>
        <w:pageBreakBefore w:val="0"/>
        <w:widowControl w:val="0"/>
        <w:numPr>
          <w:ilvl w:val="0"/>
          <w:numId w:val="0"/>
        </w:numPr>
        <w:kinsoku/>
        <w:wordWrap/>
        <w:overflowPunct w:val="0"/>
        <w:topLinePunct w:val="0"/>
        <w:autoSpaceDE/>
        <w:autoSpaceDN w:val="0"/>
        <w:bidi w:val="0"/>
        <w:adjustRightInd/>
        <w:snapToGrid/>
        <w:spacing w:line="500" w:lineRule="exact"/>
        <w:ind w:left="0" w:leftChars="0" w:right="0" w:firstLine="668" w:firstLineChars="200"/>
        <w:textAlignment w:val="auto"/>
        <w:rPr>
          <w:rFonts w:hint="default" w:ascii="Times New Roman" w:hAnsi="Times New Roman" w:eastAsia="黑体" w:cs="Times New Roman"/>
          <w:color w:val="auto"/>
          <w:spacing w:val="7"/>
          <w:sz w:val="32"/>
          <w:szCs w:val="32"/>
          <w:highlight w:val="none"/>
          <w:lang w:val="en-US" w:eastAsia="zh-CN"/>
        </w:rPr>
      </w:pPr>
      <w:r>
        <w:rPr>
          <w:rFonts w:hint="eastAsia" w:ascii="Times New Roman" w:hAnsi="Times New Roman" w:eastAsia="黑体" w:cs="Times New Roman"/>
          <w:color w:val="auto"/>
          <w:spacing w:val="7"/>
          <w:sz w:val="32"/>
          <w:szCs w:val="32"/>
          <w:highlight w:val="none"/>
          <w:lang w:val="en-US" w:eastAsia="zh-CN"/>
        </w:rPr>
        <w:t>六</w:t>
      </w:r>
      <w:r>
        <w:rPr>
          <w:rFonts w:hint="default" w:ascii="Times New Roman" w:hAnsi="Times New Roman" w:eastAsia="黑体" w:cs="Times New Roman"/>
          <w:color w:val="auto"/>
          <w:spacing w:val="7"/>
          <w:sz w:val="32"/>
          <w:szCs w:val="32"/>
          <w:highlight w:val="none"/>
          <w:lang w:val="en-US" w:eastAsia="zh-CN"/>
        </w:rPr>
        <w:t>、工作要求</w:t>
      </w:r>
    </w:p>
    <w:p w14:paraId="16A55E55">
      <w:pPr>
        <w:keepNext w:val="0"/>
        <w:keepLines w:val="0"/>
        <w:pageBreakBefore w:val="0"/>
        <w:widowControl w:val="0"/>
        <w:kinsoku/>
        <w:wordWrap/>
        <w:overflowPunct/>
        <w:topLinePunct w:val="0"/>
        <w:autoSpaceDE/>
        <w:autoSpaceDN/>
        <w:bidi w:val="0"/>
        <w:adjustRightInd/>
        <w:snapToGrid/>
        <w:spacing w:line="500" w:lineRule="exact"/>
        <w:ind w:left="0" w:leftChars="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（一）强化组织领导。</w:t>
      </w:r>
      <w:r>
        <w:rPr>
          <w:rFonts w:hint="default" w:ascii="Times New Roman" w:hAnsi="Times New Roman" w:eastAsia="仿宋_GB2312" w:cs="Times New Roman"/>
          <w:color w:val="auto"/>
          <w:sz w:val="32"/>
          <w:szCs w:val="32"/>
          <w:highlight w:val="none"/>
          <w:lang w:val="en-US" w:eastAsia="zh-CN"/>
        </w:rPr>
        <w:t>各有关部门要高度重视</w:t>
      </w:r>
      <w:r>
        <w:rPr>
          <w:rFonts w:hint="eastAsia" w:ascii="Times New Roman" w:hAnsi="Times New Roman" w:eastAsia="仿宋_GB2312" w:cs="Times New Roman"/>
          <w:color w:val="auto"/>
          <w:sz w:val="32"/>
          <w:szCs w:val="32"/>
          <w:highlight w:val="none"/>
          <w:lang w:val="en-US" w:eastAsia="zh-CN"/>
        </w:rPr>
        <w:t>工业</w:t>
      </w:r>
      <w:r>
        <w:rPr>
          <w:rFonts w:hint="default" w:ascii="Times New Roman" w:hAnsi="Times New Roman" w:eastAsia="仿宋_GB2312" w:cs="Times New Roman"/>
          <w:color w:val="auto"/>
          <w:sz w:val="32"/>
          <w:szCs w:val="32"/>
          <w:highlight w:val="none"/>
          <w:lang w:val="en-US" w:eastAsia="zh-CN"/>
        </w:rPr>
        <w:t>厂</w:t>
      </w:r>
      <w:r>
        <w:rPr>
          <w:rFonts w:hint="eastAsia" w:ascii="Times New Roman" w:hAnsi="Times New Roman" w:eastAsia="仿宋_GB2312" w:cs="Times New Roman"/>
          <w:color w:val="auto"/>
          <w:sz w:val="32"/>
          <w:szCs w:val="32"/>
          <w:highlight w:val="none"/>
          <w:lang w:val="en-US" w:eastAsia="zh-CN"/>
        </w:rPr>
        <w:t>房征收补偿</w:t>
      </w:r>
      <w:r>
        <w:rPr>
          <w:rFonts w:hint="default" w:ascii="Times New Roman" w:hAnsi="Times New Roman" w:eastAsia="仿宋_GB2312" w:cs="Times New Roman"/>
          <w:color w:val="auto"/>
          <w:sz w:val="32"/>
          <w:szCs w:val="32"/>
          <w:highlight w:val="none"/>
          <w:lang w:val="en-US" w:eastAsia="zh-CN"/>
        </w:rPr>
        <w:t>安置工作，强化组织领导，统筹推进厂票制度实施。县财政局负责统筹保障厂房征收补偿资金</w:t>
      </w:r>
      <w:r>
        <w:rPr>
          <w:rFonts w:hint="eastAsia" w:ascii="Times New Roman" w:hAnsi="Times New Roman" w:eastAsia="仿宋_GB2312"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lang w:val="en-US" w:eastAsia="zh-CN"/>
        </w:rPr>
        <w:t>结算</w:t>
      </w:r>
      <w:r>
        <w:rPr>
          <w:rFonts w:hint="eastAsia"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lang w:val="en-US" w:eastAsia="zh-CN"/>
        </w:rPr>
        <w:t>工作；</w:t>
      </w:r>
      <w:r>
        <w:rPr>
          <w:rFonts w:hint="default" w:ascii="Times New Roman" w:hAnsi="Times New Roman" w:eastAsia="仿宋_GB2312" w:cs="Times New Roman"/>
          <w:color w:val="auto"/>
          <w:sz w:val="32"/>
          <w:szCs w:val="32"/>
          <w:highlight w:val="none"/>
        </w:rPr>
        <w:t>县自然资源局负责实施土地收购、储备以及供应的技术性、辅助性、事务性等工作</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县陶管会会同</w:t>
      </w:r>
      <w:r>
        <w:rPr>
          <w:rFonts w:hint="eastAsia" w:ascii="Times New Roman" w:hAnsi="Times New Roman" w:eastAsia="仿宋_GB2312" w:cs="Times New Roman"/>
          <w:color w:val="auto"/>
          <w:sz w:val="32"/>
          <w:szCs w:val="32"/>
          <w:highlight w:val="none"/>
          <w:lang w:eastAsia="zh-CN"/>
        </w:rPr>
        <w:t>住建局</w:t>
      </w:r>
      <w:r>
        <w:rPr>
          <w:rFonts w:hint="default" w:ascii="Times New Roman" w:hAnsi="Times New Roman" w:eastAsia="仿宋_GB2312" w:cs="Times New Roman"/>
          <w:color w:val="auto"/>
          <w:sz w:val="32"/>
          <w:szCs w:val="32"/>
          <w:highlight w:val="none"/>
          <w:lang w:val="en-US" w:eastAsia="zh-CN"/>
        </w:rPr>
        <w:t>制定厂票补偿相关配套政策，</w:t>
      </w:r>
      <w:r>
        <w:rPr>
          <w:rFonts w:hint="default" w:ascii="Times New Roman" w:hAnsi="Times New Roman" w:eastAsia="仿宋_GB2312" w:cs="Times New Roman"/>
          <w:color w:val="auto"/>
          <w:sz w:val="32"/>
          <w:szCs w:val="32"/>
          <w:highlight w:val="none"/>
        </w:rPr>
        <w:t>制定实施细则，</w:t>
      </w:r>
      <w:r>
        <w:rPr>
          <w:rFonts w:hint="default" w:ascii="Times New Roman" w:hAnsi="Times New Roman" w:eastAsia="仿宋_GB2312" w:cs="Times New Roman"/>
          <w:color w:val="auto"/>
          <w:sz w:val="32"/>
          <w:szCs w:val="32"/>
          <w:highlight w:val="none"/>
          <w:lang w:val="en-US" w:eastAsia="zh-CN"/>
        </w:rPr>
        <w:t>指导征收实施单位推动开展厂票安置工作</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企业规范使用厂票</w:t>
      </w:r>
      <w:r>
        <w:rPr>
          <w:rFonts w:hint="default" w:ascii="Times New Roman" w:hAnsi="Times New Roman" w:eastAsia="仿宋_GB2312" w:cs="Times New Roman"/>
          <w:color w:val="auto"/>
          <w:sz w:val="32"/>
          <w:szCs w:val="32"/>
          <w:highlight w:val="none"/>
          <w:lang w:eastAsia="zh-CN"/>
        </w:rPr>
        <w:t>；县</w:t>
      </w:r>
      <w:r>
        <w:rPr>
          <w:rFonts w:hint="eastAsia" w:ascii="Times New Roman" w:hAnsi="Times New Roman" w:eastAsia="仿宋_GB2312" w:cs="Times New Roman"/>
          <w:color w:val="auto"/>
          <w:sz w:val="32"/>
          <w:szCs w:val="32"/>
          <w:highlight w:val="none"/>
          <w:lang w:eastAsia="zh-CN"/>
        </w:rPr>
        <w:t>统计局、</w:t>
      </w:r>
      <w:r>
        <w:rPr>
          <w:rFonts w:hint="default" w:ascii="Times New Roman" w:hAnsi="Times New Roman" w:eastAsia="仿宋_GB2312" w:cs="Times New Roman"/>
          <w:color w:val="auto"/>
          <w:sz w:val="32"/>
          <w:szCs w:val="32"/>
          <w:highlight w:val="none"/>
          <w:lang w:eastAsia="zh-CN"/>
        </w:rPr>
        <w:t>工</w:t>
      </w:r>
      <w:r>
        <w:rPr>
          <w:rFonts w:hint="eastAsia" w:ascii="Times New Roman" w:hAnsi="Times New Roman" w:eastAsia="仿宋_GB2312" w:cs="Times New Roman"/>
          <w:color w:val="auto"/>
          <w:sz w:val="32"/>
          <w:szCs w:val="32"/>
          <w:highlight w:val="none"/>
          <w:lang w:eastAsia="zh-CN"/>
        </w:rPr>
        <w:t>信</w:t>
      </w:r>
      <w:r>
        <w:rPr>
          <w:rFonts w:hint="default" w:ascii="Times New Roman" w:hAnsi="Times New Roman" w:eastAsia="仿宋_GB2312" w:cs="Times New Roman"/>
          <w:color w:val="auto"/>
          <w:sz w:val="32"/>
          <w:szCs w:val="32"/>
          <w:highlight w:val="none"/>
          <w:lang w:eastAsia="zh-CN"/>
        </w:rPr>
        <w:t>商务局负责</w:t>
      </w:r>
      <w:r>
        <w:rPr>
          <w:rFonts w:hint="eastAsia" w:ascii="Times New Roman" w:hAnsi="Times New Roman" w:eastAsia="仿宋_GB2312" w:cs="Times New Roman"/>
          <w:color w:val="auto"/>
          <w:sz w:val="32"/>
          <w:szCs w:val="32"/>
          <w:highlight w:val="none"/>
          <w:lang w:eastAsia="zh-CN"/>
        </w:rPr>
        <w:t>规上</w:t>
      </w:r>
      <w:r>
        <w:rPr>
          <w:rFonts w:hint="default" w:ascii="Times New Roman" w:hAnsi="Times New Roman" w:eastAsia="仿宋_GB2312" w:cs="Times New Roman"/>
          <w:color w:val="auto"/>
          <w:sz w:val="32"/>
          <w:szCs w:val="32"/>
          <w:highlight w:val="none"/>
          <w:lang w:eastAsia="zh-CN"/>
        </w:rPr>
        <w:t>企业认定，配合做好企业征收安置工作；项目所在</w:t>
      </w:r>
      <w:r>
        <w:rPr>
          <w:rFonts w:hint="default" w:ascii="Times New Roman" w:hAnsi="Times New Roman" w:eastAsia="仿宋_GB2312" w:cs="Times New Roman"/>
          <w:color w:val="auto"/>
          <w:sz w:val="32"/>
          <w:szCs w:val="32"/>
          <w:highlight w:val="none"/>
        </w:rPr>
        <w:t>乡镇人民政府</w:t>
      </w:r>
      <w:r>
        <w:rPr>
          <w:rFonts w:hint="default" w:ascii="Times New Roman" w:hAnsi="Times New Roman" w:eastAsia="仿宋_GB2312" w:cs="Times New Roman"/>
          <w:color w:val="auto"/>
          <w:sz w:val="32"/>
          <w:szCs w:val="32"/>
          <w:highlight w:val="none"/>
          <w:lang w:eastAsia="zh-CN"/>
        </w:rPr>
        <w:t>作为厂房</w:t>
      </w:r>
      <w:r>
        <w:rPr>
          <w:rFonts w:hint="default" w:ascii="Times New Roman" w:hAnsi="Times New Roman" w:eastAsia="仿宋_GB2312" w:cs="Times New Roman"/>
          <w:color w:val="auto"/>
          <w:sz w:val="32"/>
          <w:szCs w:val="32"/>
          <w:highlight w:val="none"/>
          <w:lang w:val="en-US" w:eastAsia="zh-CN"/>
        </w:rPr>
        <w:t>征收实施单位负责具体项目</w:t>
      </w:r>
      <w:r>
        <w:rPr>
          <w:rFonts w:hint="eastAsia" w:ascii="Times New Roman" w:hAnsi="Times New Roman" w:eastAsia="仿宋_GB2312" w:cs="Times New Roman"/>
          <w:color w:val="auto"/>
          <w:sz w:val="32"/>
          <w:szCs w:val="32"/>
          <w:highlight w:val="none"/>
          <w:lang w:val="en-US" w:eastAsia="zh-CN"/>
        </w:rPr>
        <w:t>征收补偿</w:t>
      </w:r>
      <w:r>
        <w:rPr>
          <w:rFonts w:hint="default" w:ascii="Times New Roman" w:hAnsi="Times New Roman" w:eastAsia="仿宋_GB2312" w:cs="Times New Roman"/>
          <w:color w:val="auto"/>
          <w:sz w:val="32"/>
          <w:szCs w:val="32"/>
          <w:highlight w:val="none"/>
          <w:lang w:val="en-US" w:eastAsia="zh-CN"/>
        </w:rPr>
        <w:t>安置实施工作。</w:t>
      </w:r>
    </w:p>
    <w:p w14:paraId="622E25E2">
      <w:pPr>
        <w:keepNext w:val="0"/>
        <w:keepLines w:val="0"/>
        <w:pageBreakBefore w:val="0"/>
        <w:widowControl w:val="0"/>
        <w:kinsoku/>
        <w:wordWrap/>
        <w:overflowPunct w:val="0"/>
        <w:topLinePunct w:val="0"/>
        <w:autoSpaceDE/>
        <w:autoSpaceDN w:val="0"/>
        <w:bidi w:val="0"/>
        <w:spacing w:line="500" w:lineRule="exact"/>
        <w:ind w:left="0" w:leftChars="0" w:right="0" w:firstLine="63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（二）夯实前期工作。</w:t>
      </w:r>
      <w:r>
        <w:rPr>
          <w:rFonts w:hint="default" w:ascii="Times New Roman" w:hAnsi="Times New Roman" w:eastAsia="仿宋_GB2312" w:cs="Times New Roman"/>
          <w:color w:val="auto"/>
          <w:sz w:val="32"/>
          <w:szCs w:val="32"/>
          <w:highlight w:val="none"/>
          <w:lang w:val="en-US" w:eastAsia="zh-CN"/>
        </w:rPr>
        <w:t>项目启动前，征收实施单位要开展事前评估论证，落实资金来源，编制征收补偿方案和资金平衡方案</w:t>
      </w:r>
      <w:r>
        <w:rPr>
          <w:rFonts w:hint="eastAsia" w:ascii="Times New Roman" w:hAnsi="Times New Roman" w:eastAsia="仿宋_GB2312" w:cs="Times New Roman"/>
          <w:color w:val="auto"/>
          <w:sz w:val="32"/>
          <w:szCs w:val="32"/>
          <w:highlight w:val="none"/>
          <w:lang w:val="en-US" w:eastAsia="zh-CN"/>
        </w:rPr>
        <w:t>，相关工作</w:t>
      </w:r>
      <w:r>
        <w:rPr>
          <w:rFonts w:hint="default" w:ascii="Times New Roman" w:hAnsi="Times New Roman" w:eastAsia="仿宋_GB2312" w:cs="Times New Roman"/>
          <w:color w:val="auto"/>
          <w:sz w:val="32"/>
          <w:szCs w:val="32"/>
          <w:highlight w:val="none"/>
          <w:lang w:val="en-US" w:eastAsia="zh-CN"/>
        </w:rPr>
        <w:t>要以群众自愿为前提，并有充足房源供被征收人选择。</w:t>
      </w:r>
    </w:p>
    <w:p w14:paraId="16C09F09">
      <w:pPr>
        <w:keepNext w:val="0"/>
        <w:keepLines w:val="0"/>
        <w:pageBreakBefore w:val="0"/>
        <w:widowControl w:val="0"/>
        <w:kinsoku/>
        <w:wordWrap/>
        <w:overflowPunct w:val="0"/>
        <w:topLinePunct w:val="0"/>
        <w:autoSpaceDE/>
        <w:autoSpaceDN w:val="0"/>
        <w:bidi w:val="0"/>
        <w:spacing w:line="500" w:lineRule="exact"/>
        <w:ind w:left="0" w:leftChars="0" w:right="0" w:firstLine="619"/>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（三）严防债务风险。</w:t>
      </w:r>
      <w:r>
        <w:rPr>
          <w:rFonts w:hint="default" w:ascii="Times New Roman" w:hAnsi="Times New Roman" w:eastAsia="仿宋_GB2312" w:cs="Times New Roman"/>
          <w:color w:val="auto"/>
          <w:sz w:val="32"/>
          <w:szCs w:val="32"/>
          <w:highlight w:val="none"/>
          <w:lang w:val="en-US" w:eastAsia="zh-CN"/>
        </w:rPr>
        <w:t>各项目要根据</w:t>
      </w:r>
      <w:r>
        <w:rPr>
          <w:rFonts w:hint="eastAsia" w:ascii="Times New Roman" w:hAnsi="Times New Roman" w:eastAsia="仿宋_GB2312" w:cs="Times New Roman"/>
          <w:color w:val="auto"/>
          <w:sz w:val="32"/>
          <w:szCs w:val="32"/>
          <w:highlight w:val="none"/>
          <w:lang w:val="en-US" w:eastAsia="zh-CN"/>
        </w:rPr>
        <w:t>厂票</w:t>
      </w:r>
      <w:r>
        <w:rPr>
          <w:rFonts w:hint="default" w:ascii="Times New Roman" w:hAnsi="Times New Roman" w:eastAsia="仿宋_GB2312" w:cs="Times New Roman"/>
          <w:color w:val="auto"/>
          <w:sz w:val="32"/>
          <w:szCs w:val="32"/>
          <w:highlight w:val="none"/>
          <w:lang w:val="en-US" w:eastAsia="zh-CN"/>
        </w:rPr>
        <w:t>资金需求，合理安排资金计划，提前筹集资金，确保厂票兑付有明确资金保障。厂票资金要按规定时限结算，严防厂票无法兑付产生债务风险和社会风险。</w:t>
      </w:r>
    </w:p>
    <w:p w14:paraId="4096F9A6">
      <w:pPr>
        <w:keepNext w:val="0"/>
        <w:keepLines w:val="0"/>
        <w:pageBreakBefore w:val="0"/>
        <w:widowControl w:val="0"/>
        <w:kinsoku/>
        <w:wordWrap/>
        <w:overflowPunct w:val="0"/>
        <w:topLinePunct w:val="0"/>
        <w:autoSpaceDE/>
        <w:autoSpaceDN w:val="0"/>
        <w:bidi w:val="0"/>
        <w:spacing w:line="500" w:lineRule="exact"/>
        <w:ind w:left="0" w:leftChars="0" w:right="0" w:firstLine="613"/>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（四）防范金融风险。</w:t>
      </w:r>
      <w:r>
        <w:rPr>
          <w:rFonts w:hint="default" w:ascii="Times New Roman" w:hAnsi="Times New Roman" w:eastAsia="仿宋_GB2312" w:cs="Times New Roman"/>
          <w:color w:val="auto"/>
          <w:sz w:val="32"/>
          <w:szCs w:val="32"/>
          <w:highlight w:val="none"/>
          <w:lang w:val="en-US" w:eastAsia="zh-CN"/>
        </w:rPr>
        <w:t>厂票实行实名制，作为购买厂票房源结算凭证使用，不具有金融票据抵押、套现、融资功能，不具备金融属性。建立风险预警机制，保障厂票系统安全运行。厂票的核发、使用、结算等纳入厂票系统实行闭环管理，确保全流程可追溯。</w:t>
      </w:r>
    </w:p>
    <w:p w14:paraId="7DDBB706">
      <w:pPr>
        <w:keepNext w:val="0"/>
        <w:keepLines w:val="0"/>
        <w:pageBreakBefore w:val="0"/>
        <w:widowControl w:val="0"/>
        <w:kinsoku/>
        <w:wordWrap/>
        <w:overflowPunct w:val="0"/>
        <w:topLinePunct w:val="0"/>
        <w:autoSpaceDE/>
        <w:autoSpaceDN w:val="0"/>
        <w:bidi w:val="0"/>
        <w:spacing w:line="500" w:lineRule="exact"/>
        <w:ind w:left="0" w:leftChars="0" w:right="0" w:firstLine="629"/>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（五）强化监督管理。</w:t>
      </w:r>
      <w:r>
        <w:rPr>
          <w:rFonts w:hint="default" w:ascii="Times New Roman" w:hAnsi="Times New Roman" w:eastAsia="仿宋_GB2312" w:cs="Times New Roman"/>
          <w:color w:val="auto"/>
          <w:sz w:val="32"/>
          <w:szCs w:val="32"/>
          <w:highlight w:val="none"/>
          <w:lang w:val="en-US" w:eastAsia="zh-CN"/>
        </w:rPr>
        <w:t>各有关部门各乡镇应严格执行厂票安置相关政策，加强监督管理，不得超出征收补偿政策开具厂票，不得在厂票系统之外核发、开具厂票。</w:t>
      </w:r>
      <w:r>
        <w:rPr>
          <w:rFonts w:hint="eastAsia" w:ascii="Times New Roman" w:hAnsi="Times New Roman" w:eastAsia="仿宋_GB2312" w:cs="Times New Roman"/>
          <w:color w:val="auto"/>
          <w:sz w:val="32"/>
          <w:szCs w:val="32"/>
          <w:highlight w:val="none"/>
          <w:lang w:val="en-US" w:eastAsia="zh-CN"/>
        </w:rPr>
        <w:t>县陶管会（园区办）牵头建立可分割销售标准化厂房预售资金监管及销售价格备案机制。</w:t>
      </w:r>
      <w:r>
        <w:rPr>
          <w:rFonts w:hint="default" w:ascii="Times New Roman" w:hAnsi="Times New Roman" w:eastAsia="仿宋_GB2312" w:cs="Times New Roman"/>
          <w:color w:val="auto"/>
          <w:sz w:val="32"/>
          <w:szCs w:val="32"/>
          <w:highlight w:val="none"/>
          <w:lang w:val="en-US" w:eastAsia="zh-CN"/>
        </w:rPr>
        <w:t>对弄虚作假、套取厂票安置资金，或擅自突破政策标准，造成重大影响和损失的，依法依规追究相关单位和人员的责任。县国企开发企业经查实存在弄虚作假、提供不实信息、拒收或变相拒收厂票等行为的，将按规定退出厂票房源，涉嫌违法的，依法予以处理。</w:t>
      </w:r>
    </w:p>
    <w:p w14:paraId="6FD0849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eastAsia="zh-CN"/>
        </w:rPr>
        <w:t>七</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eastAsia="zh-CN"/>
        </w:rPr>
        <w:t>其他</w:t>
      </w:r>
    </w:p>
    <w:p w14:paraId="4300CAD7">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本方案自</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 月 日</w:t>
      </w:r>
      <w:r>
        <w:rPr>
          <w:rFonts w:hint="default" w:ascii="Times New Roman" w:hAnsi="Times New Roman" w:eastAsia="仿宋_GB2312" w:cs="Times New Roman"/>
          <w:color w:val="auto"/>
          <w:sz w:val="32"/>
          <w:szCs w:val="32"/>
          <w:highlight w:val="none"/>
        </w:rPr>
        <w:t>起施行</w:t>
      </w:r>
      <w:r>
        <w:rPr>
          <w:rFonts w:hint="eastAsia" w:ascii="Times New Roman" w:hAnsi="Times New Roman" w:eastAsia="仿宋_GB2312" w:cs="Times New Roman"/>
          <w:color w:val="auto"/>
          <w:sz w:val="32"/>
          <w:szCs w:val="32"/>
          <w:highlight w:val="none"/>
          <w:lang w:eastAsia="zh-CN"/>
        </w:rPr>
        <w:t>，有效期至</w:t>
      </w:r>
      <w:r>
        <w:rPr>
          <w:rFonts w:hint="eastAsia" w:ascii="Times New Roman" w:hAnsi="Times New Roman" w:eastAsia="仿宋_GB2312" w:cs="Times New Roman"/>
          <w:color w:val="auto"/>
          <w:sz w:val="32"/>
          <w:szCs w:val="32"/>
          <w:highlight w:val="none"/>
          <w:lang w:val="en-US" w:eastAsia="zh-CN"/>
        </w:rPr>
        <w:t xml:space="preserve"> 年 月 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由县住建局、自然资源局、财政局、工信商务局、</w:t>
      </w:r>
      <w:r>
        <w:rPr>
          <w:rFonts w:hint="default" w:ascii="Times New Roman" w:hAnsi="Times New Roman" w:eastAsia="仿宋_GB2312" w:cs="Times New Roman"/>
          <w:strike w:val="0"/>
          <w:dstrike w:val="0"/>
          <w:color w:val="auto"/>
          <w:sz w:val="32"/>
          <w:szCs w:val="32"/>
          <w:highlight w:val="none"/>
          <w:lang w:eastAsia="zh-CN"/>
        </w:rPr>
        <w:t>陶管会</w:t>
      </w:r>
      <w:r>
        <w:rPr>
          <w:rFonts w:hint="default" w:ascii="Times New Roman" w:hAnsi="Times New Roman" w:eastAsia="仿宋_GB2312" w:cs="Times New Roman"/>
          <w:color w:val="auto"/>
          <w:sz w:val="32"/>
          <w:szCs w:val="32"/>
          <w:highlight w:val="none"/>
          <w:lang w:eastAsia="zh-CN"/>
        </w:rPr>
        <w:t>及项目所在</w:t>
      </w:r>
      <w:r>
        <w:rPr>
          <w:rFonts w:hint="default" w:ascii="Times New Roman" w:hAnsi="Times New Roman" w:eastAsia="仿宋_GB2312" w:cs="Times New Roman"/>
          <w:color w:val="auto"/>
          <w:sz w:val="32"/>
          <w:szCs w:val="32"/>
          <w:highlight w:val="none"/>
        </w:rPr>
        <w:t>乡镇人民政府</w:t>
      </w:r>
      <w:r>
        <w:rPr>
          <w:rFonts w:hint="default" w:ascii="Times New Roman" w:hAnsi="Times New Roman" w:eastAsia="仿宋_GB2312" w:cs="Times New Roman"/>
          <w:color w:val="auto"/>
          <w:sz w:val="32"/>
          <w:szCs w:val="32"/>
          <w:highlight w:val="none"/>
          <w:lang w:eastAsia="zh-CN"/>
        </w:rPr>
        <w:t>依职责</w:t>
      </w:r>
      <w:r>
        <w:rPr>
          <w:rFonts w:hint="default" w:ascii="Times New Roman" w:hAnsi="Times New Roman" w:eastAsia="仿宋_GB2312" w:cs="Times New Roman"/>
          <w:color w:val="auto"/>
          <w:sz w:val="32"/>
          <w:szCs w:val="32"/>
          <w:highlight w:val="none"/>
        </w:rPr>
        <w:t>解释</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本方案施行前已发布征收土地预公告或厂房征收公告的厂房征收项目，仍按原政策执行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原有持续性、分期建设的已实施项目，以原项目领导小组的研究决定内容为准，并按原项目安征迁方案及补偿标准等继续实施。</w:t>
      </w:r>
    </w:p>
    <w:p w14:paraId="7DB477AF">
      <w:pPr>
        <w:keepNext w:val="0"/>
        <w:keepLines w:val="0"/>
        <w:pageBreakBefore w:val="0"/>
        <w:widowControl w:val="0"/>
        <w:kinsoku/>
        <w:wordWrap/>
        <w:overflowPunct w:val="0"/>
        <w:topLinePunct w:val="0"/>
        <w:autoSpaceDE/>
        <w:autoSpaceDN w:val="0"/>
        <w:bidi w:val="0"/>
        <w:spacing w:line="500" w:lineRule="exact"/>
        <w:ind w:left="0" w:leftChars="0" w:right="0" w:firstLine="629"/>
        <w:jc w:val="both"/>
        <w:rPr>
          <w:rFonts w:hint="default" w:ascii="Times New Roman" w:hAnsi="Times New Roman" w:eastAsia="仿宋_GB2312" w:cs="Times New Roman"/>
          <w:color w:val="auto"/>
          <w:sz w:val="32"/>
          <w:szCs w:val="32"/>
          <w:highlight w:val="none"/>
          <w:lang w:val="en-US" w:eastAsia="zh-CN"/>
        </w:rPr>
      </w:pPr>
    </w:p>
    <w:p w14:paraId="52BA39F4">
      <w:pPr>
        <w:keepNext w:val="0"/>
        <w:keepLines w:val="0"/>
        <w:pageBreakBefore w:val="0"/>
        <w:widowControl w:val="0"/>
        <w:kinsoku/>
        <w:wordWrap/>
        <w:overflowPunct w:val="0"/>
        <w:topLinePunct w:val="0"/>
        <w:autoSpaceDE/>
        <w:autoSpaceDN w:val="0"/>
        <w:bidi w:val="0"/>
        <w:spacing w:line="500" w:lineRule="exact"/>
        <w:ind w:left="0" w:leftChars="0" w:right="0" w:firstLine="629"/>
        <w:jc w:val="both"/>
        <w:rPr>
          <w:rFonts w:hint="default" w:ascii="Times New Roman" w:hAnsi="Times New Roman" w:eastAsia="仿宋_GB2312" w:cs="Times New Roman"/>
          <w:color w:val="auto"/>
          <w:sz w:val="32"/>
          <w:szCs w:val="32"/>
          <w:highlight w:val="none"/>
          <w:lang w:val="en-US" w:eastAsia="zh-CN"/>
        </w:rPr>
      </w:pPr>
    </w:p>
    <w:p w14:paraId="5C4575AD">
      <w:pPr>
        <w:keepNext w:val="0"/>
        <w:keepLines w:val="0"/>
        <w:pageBreakBefore w:val="0"/>
        <w:widowControl w:val="0"/>
        <w:kinsoku/>
        <w:wordWrap/>
        <w:overflowPunct/>
        <w:topLinePunct w:val="0"/>
        <w:autoSpaceDE w:val="0"/>
        <w:autoSpaceDN w:val="0"/>
        <w:bidi w:val="0"/>
        <w:adjustRightInd w:val="0"/>
        <w:snapToGrid w:val="0"/>
        <w:spacing w:line="500" w:lineRule="exact"/>
        <w:ind w:left="0" w:right="0" w:firstLine="632" w:firstLineChars="200"/>
        <w:jc w:val="center"/>
        <w:textAlignment w:val="center"/>
        <w:outlineLvl w:val="0"/>
        <w:rPr>
          <w:rFonts w:hint="eastAsia" w:ascii="仿宋_GB2312" w:hAnsi="仿宋_GB2312" w:eastAsia="仿宋_GB2312" w:cs="仿宋_GB2312"/>
          <w:snapToGrid w:val="0"/>
          <w:color w:val="000000"/>
          <w:spacing w:val="-2"/>
          <w:kern w:val="0"/>
          <w:sz w:val="32"/>
          <w:szCs w:val="32"/>
          <w:lang w:val="en-US" w:eastAsia="en-US" w:bidi="ar-SA"/>
        </w:rPr>
      </w:pPr>
      <w:r>
        <w:rPr>
          <w:rFonts w:hint="eastAsia" w:ascii="仿宋_GB2312" w:hAnsi="仿宋_GB2312" w:eastAsia="仿宋_GB2312" w:cs="仿宋_GB2312"/>
          <w:snapToGrid w:val="0"/>
          <w:color w:val="000000"/>
          <w:spacing w:val="-2"/>
          <w:kern w:val="0"/>
          <w:sz w:val="32"/>
          <w:szCs w:val="32"/>
          <w:lang w:val="en-US" w:eastAsia="zh-CN" w:bidi="ar-SA"/>
        </w:rPr>
        <w:t xml:space="preserve">                     德化</w:t>
      </w:r>
      <w:r>
        <w:rPr>
          <w:rFonts w:hint="eastAsia" w:ascii="仿宋_GB2312" w:hAnsi="仿宋_GB2312" w:eastAsia="仿宋_GB2312" w:cs="仿宋_GB2312"/>
          <w:snapToGrid w:val="0"/>
          <w:color w:val="000000"/>
          <w:spacing w:val="-2"/>
          <w:kern w:val="0"/>
          <w:sz w:val="32"/>
          <w:szCs w:val="32"/>
          <w:lang w:val="en-US" w:eastAsia="en-US" w:bidi="ar-SA"/>
        </w:rPr>
        <w:t>县人民政府办公室</w:t>
      </w:r>
    </w:p>
    <w:p w14:paraId="4346A1C4">
      <w:pPr>
        <w:keepNext w:val="0"/>
        <w:keepLines w:val="0"/>
        <w:pageBreakBefore w:val="0"/>
        <w:widowControl w:val="0"/>
        <w:kinsoku/>
        <w:wordWrap/>
        <w:overflowPunct/>
        <w:topLinePunct w:val="0"/>
        <w:autoSpaceDE w:val="0"/>
        <w:autoSpaceDN w:val="0"/>
        <w:bidi w:val="0"/>
        <w:adjustRightInd w:val="0"/>
        <w:snapToGrid w:val="0"/>
        <w:spacing w:line="500" w:lineRule="exact"/>
        <w:ind w:left="0" w:right="0" w:firstLine="632" w:firstLineChars="200"/>
        <w:jc w:val="center"/>
        <w:textAlignment w:val="center"/>
        <w:outlineLvl w:val="0"/>
        <w:rPr>
          <w:rFonts w:hint="eastAsia" w:ascii="仿宋_GB2312" w:hAnsi="仿宋_GB2312" w:eastAsia="仿宋_GB2312" w:cs="仿宋_GB2312"/>
          <w:snapToGrid w:val="0"/>
          <w:color w:val="000000"/>
          <w:spacing w:val="-2"/>
          <w:kern w:val="0"/>
          <w:sz w:val="32"/>
          <w:szCs w:val="32"/>
          <w:lang w:val="en-US" w:eastAsia="en-US" w:bidi="ar-SA"/>
        </w:rPr>
      </w:pPr>
      <w:r>
        <w:rPr>
          <w:rFonts w:hint="eastAsia" w:ascii="仿宋_GB2312" w:hAnsi="仿宋_GB2312" w:eastAsia="仿宋_GB2312" w:cs="仿宋_GB2312"/>
          <w:snapToGrid w:val="0"/>
          <w:color w:val="000000"/>
          <w:spacing w:val="-2"/>
          <w:kern w:val="0"/>
          <w:sz w:val="32"/>
          <w:szCs w:val="32"/>
          <w:lang w:val="en-US" w:eastAsia="zh-CN" w:bidi="ar-SA"/>
        </w:rPr>
        <w:t xml:space="preserve">                        </w:t>
      </w:r>
      <w:r>
        <w:rPr>
          <w:rFonts w:ascii="仿宋_GB2312" w:hAnsi="宋体" w:eastAsia="仿宋_GB2312" w:cs="仿宋_GB2312"/>
          <w:i w:val="0"/>
          <w:iCs w:val="0"/>
          <w:caps w:val="0"/>
          <w:color w:val="000000"/>
          <w:spacing w:val="-2"/>
          <w:sz w:val="32"/>
          <w:szCs w:val="32"/>
          <w:shd w:val="clear" w:fill="FFFFFF"/>
        </w:rPr>
        <w:t>202</w:t>
      </w:r>
      <w:r>
        <w:rPr>
          <w:rFonts w:hint="eastAsia" w:ascii="仿宋_GB2312" w:hAnsi="宋体" w:eastAsia="仿宋_GB2312" w:cs="仿宋_GB2312"/>
          <w:i w:val="0"/>
          <w:iCs w:val="0"/>
          <w:caps w:val="0"/>
          <w:color w:val="000000"/>
          <w:spacing w:val="-2"/>
          <w:sz w:val="32"/>
          <w:szCs w:val="32"/>
          <w:shd w:val="clear" w:fill="FFFFFF"/>
          <w:lang w:val="en-US" w:eastAsia="zh-CN"/>
        </w:rPr>
        <w:t>6</w:t>
      </w:r>
      <w:r>
        <w:rPr>
          <w:rFonts w:ascii="仿宋_GB2312" w:hAnsi="宋体" w:eastAsia="仿宋_GB2312" w:cs="仿宋_GB2312"/>
          <w:i w:val="0"/>
          <w:iCs w:val="0"/>
          <w:caps w:val="0"/>
          <w:color w:val="000000"/>
          <w:spacing w:val="-2"/>
          <w:sz w:val="32"/>
          <w:szCs w:val="32"/>
          <w:shd w:val="clear" w:fill="FFFFFF"/>
        </w:rPr>
        <w:t>年</w:t>
      </w:r>
      <w:r>
        <w:rPr>
          <w:rFonts w:hint="eastAsia" w:ascii="仿宋_GB2312" w:hAnsi="宋体" w:eastAsia="仿宋_GB2312" w:cs="仿宋_GB2312"/>
          <w:i w:val="0"/>
          <w:iCs w:val="0"/>
          <w:caps w:val="0"/>
          <w:color w:val="000000"/>
          <w:spacing w:val="-2"/>
          <w:sz w:val="32"/>
          <w:szCs w:val="32"/>
          <w:shd w:val="clear" w:fill="FFFFFF"/>
          <w:lang w:val="en-US" w:eastAsia="zh-CN"/>
        </w:rPr>
        <w:t>5</w:t>
      </w:r>
      <w:r>
        <w:rPr>
          <w:rFonts w:hint="eastAsia" w:ascii="仿宋_GB2312" w:hAnsi="宋体" w:eastAsia="仿宋_GB2312" w:cs="仿宋_GB2312"/>
          <w:i w:val="0"/>
          <w:iCs w:val="0"/>
          <w:caps w:val="0"/>
          <w:color w:val="000000"/>
          <w:spacing w:val="-2"/>
          <w:sz w:val="32"/>
          <w:szCs w:val="32"/>
          <w:shd w:val="clear" w:fill="FFFFFF"/>
        </w:rPr>
        <w:t>月</w:t>
      </w:r>
      <w:r>
        <w:rPr>
          <w:rFonts w:hint="eastAsia" w:ascii="仿宋_GB2312" w:hAnsi="宋体" w:eastAsia="仿宋_GB2312" w:cs="仿宋_GB2312"/>
          <w:i w:val="0"/>
          <w:iCs w:val="0"/>
          <w:caps w:val="0"/>
          <w:color w:val="000000"/>
          <w:spacing w:val="-2"/>
          <w:sz w:val="32"/>
          <w:szCs w:val="32"/>
          <w:shd w:val="clear" w:fill="FFFFFF"/>
          <w:lang w:val="en-US" w:eastAsia="zh-CN"/>
        </w:rPr>
        <w:t>6</w:t>
      </w:r>
      <w:r>
        <w:rPr>
          <w:rFonts w:hint="eastAsia" w:ascii="仿宋_GB2312" w:hAnsi="宋体" w:eastAsia="仿宋_GB2312" w:cs="仿宋_GB2312"/>
          <w:i w:val="0"/>
          <w:iCs w:val="0"/>
          <w:caps w:val="0"/>
          <w:color w:val="000000"/>
          <w:spacing w:val="-2"/>
          <w:sz w:val="32"/>
          <w:szCs w:val="32"/>
          <w:shd w:val="clear" w:fill="FFFFFF"/>
        </w:rPr>
        <w:t>日</w:t>
      </w:r>
    </w:p>
    <w:p w14:paraId="6D60F0A6">
      <w:pPr>
        <w:keepNext w:val="0"/>
        <w:keepLines w:val="0"/>
        <w:pageBreakBefore w:val="0"/>
        <w:widowControl w:val="0"/>
        <w:kinsoku/>
        <w:wordWrap/>
        <w:overflowPunct w:val="0"/>
        <w:topLinePunct w:val="0"/>
        <w:autoSpaceDE/>
        <w:autoSpaceDN w:val="0"/>
        <w:bidi w:val="0"/>
        <w:spacing w:line="500" w:lineRule="exact"/>
        <w:ind w:left="0" w:leftChars="0" w:right="0" w:firstLine="629"/>
        <w:rPr>
          <w:rFonts w:hint="default" w:ascii="Times New Roman" w:hAnsi="Times New Roman" w:eastAsia="FangSong_GB2312" w:cs="Times New Roman"/>
          <w:color w:val="auto"/>
          <w:spacing w:val="6"/>
          <w:sz w:val="31"/>
          <w:szCs w:val="31"/>
          <w:highlight w:val="none"/>
          <w:lang w:eastAsia="zh-CN"/>
        </w:rPr>
      </w:pPr>
      <w:r>
        <w:rPr>
          <w:rFonts w:hint="eastAsia" w:ascii="Times New Roman" w:hAnsi="Times New Roman" w:eastAsia="FangSong_GB2312" w:cs="Times New Roman"/>
          <w:color w:val="auto"/>
          <w:spacing w:val="6"/>
          <w:sz w:val="31"/>
          <w:szCs w:val="31"/>
          <w:highlight w:val="none"/>
          <w:lang w:eastAsia="zh-CN"/>
        </w:rPr>
        <w:t>（此件主动公开）</w:t>
      </w:r>
    </w:p>
    <w:p w14:paraId="510FFF53">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bookmarkStart w:id="2" w:name="_GoBack"/>
      <w:bookmarkEnd w:id="2"/>
    </w:p>
    <w:sectPr>
      <w:headerReference r:id="rId3" w:type="default"/>
      <w:footerReference r:id="rId4" w:type="default"/>
      <w:pgSz w:w="11906" w:h="16838"/>
      <w:pgMar w:top="1270" w:right="1746" w:bottom="1247"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48B6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15FCE">
                          <w:pPr>
                            <w:pStyle w:val="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A15FCE">
                    <w:pPr>
                      <w:pStyle w:val="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0AAEF">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38C285"/>
    <w:multiLevelType w:val="singleLevel"/>
    <w:tmpl w:val="3D38C28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F1B35"/>
    <w:rsid w:val="00D55135"/>
    <w:rsid w:val="054B34A5"/>
    <w:rsid w:val="05B82E28"/>
    <w:rsid w:val="06DA3702"/>
    <w:rsid w:val="07A048D8"/>
    <w:rsid w:val="097D3663"/>
    <w:rsid w:val="09A730BB"/>
    <w:rsid w:val="09E77A38"/>
    <w:rsid w:val="0A127E59"/>
    <w:rsid w:val="0AD96F7B"/>
    <w:rsid w:val="0BEF6A57"/>
    <w:rsid w:val="0D4E7778"/>
    <w:rsid w:val="0E7C7017"/>
    <w:rsid w:val="10250E97"/>
    <w:rsid w:val="119A1172"/>
    <w:rsid w:val="11AC53EA"/>
    <w:rsid w:val="11E63FEC"/>
    <w:rsid w:val="13FB7F63"/>
    <w:rsid w:val="148B6955"/>
    <w:rsid w:val="14A81E98"/>
    <w:rsid w:val="14B2352A"/>
    <w:rsid w:val="158F4B0A"/>
    <w:rsid w:val="15A74B9C"/>
    <w:rsid w:val="15FE40E3"/>
    <w:rsid w:val="162C6AF9"/>
    <w:rsid w:val="16EA09F0"/>
    <w:rsid w:val="16EF50A8"/>
    <w:rsid w:val="1A0D03C5"/>
    <w:rsid w:val="1C544F55"/>
    <w:rsid w:val="1CDA2E0B"/>
    <w:rsid w:val="1E917E58"/>
    <w:rsid w:val="1ED146E2"/>
    <w:rsid w:val="20157CA1"/>
    <w:rsid w:val="2132531A"/>
    <w:rsid w:val="218F17F2"/>
    <w:rsid w:val="21F80024"/>
    <w:rsid w:val="229D54DE"/>
    <w:rsid w:val="232C1CC2"/>
    <w:rsid w:val="239C7BFA"/>
    <w:rsid w:val="23B75E78"/>
    <w:rsid w:val="247B5E98"/>
    <w:rsid w:val="251D3F7A"/>
    <w:rsid w:val="27691D58"/>
    <w:rsid w:val="28706D19"/>
    <w:rsid w:val="28B704A4"/>
    <w:rsid w:val="292F1B35"/>
    <w:rsid w:val="29351987"/>
    <w:rsid w:val="2A7F7A4F"/>
    <w:rsid w:val="2BAA3D94"/>
    <w:rsid w:val="2C2422F5"/>
    <w:rsid w:val="2F2F5552"/>
    <w:rsid w:val="2FB8225B"/>
    <w:rsid w:val="3044136D"/>
    <w:rsid w:val="304C3BC8"/>
    <w:rsid w:val="30536D05"/>
    <w:rsid w:val="316361F2"/>
    <w:rsid w:val="31C83722"/>
    <w:rsid w:val="32377122"/>
    <w:rsid w:val="33EB36F8"/>
    <w:rsid w:val="35F756F6"/>
    <w:rsid w:val="35FA49FE"/>
    <w:rsid w:val="36627CFB"/>
    <w:rsid w:val="37DE2CDF"/>
    <w:rsid w:val="380354B4"/>
    <w:rsid w:val="381F499C"/>
    <w:rsid w:val="382F6D7A"/>
    <w:rsid w:val="38476234"/>
    <w:rsid w:val="38A547BD"/>
    <w:rsid w:val="39CC57D3"/>
    <w:rsid w:val="3ACE5CAC"/>
    <w:rsid w:val="3D096A94"/>
    <w:rsid w:val="3E0F7DA6"/>
    <w:rsid w:val="3EDE27D7"/>
    <w:rsid w:val="3F8F074B"/>
    <w:rsid w:val="3FA318F5"/>
    <w:rsid w:val="40811EF7"/>
    <w:rsid w:val="40BC26A4"/>
    <w:rsid w:val="414508EB"/>
    <w:rsid w:val="415C0E6C"/>
    <w:rsid w:val="42BF4966"/>
    <w:rsid w:val="42ED352D"/>
    <w:rsid w:val="438868C7"/>
    <w:rsid w:val="43C006FD"/>
    <w:rsid w:val="43F913D7"/>
    <w:rsid w:val="45EA380F"/>
    <w:rsid w:val="46377B22"/>
    <w:rsid w:val="464410D3"/>
    <w:rsid w:val="46DE33B2"/>
    <w:rsid w:val="46FA2A5F"/>
    <w:rsid w:val="47211806"/>
    <w:rsid w:val="47C14A44"/>
    <w:rsid w:val="48AE2752"/>
    <w:rsid w:val="48BB4230"/>
    <w:rsid w:val="48E94EF2"/>
    <w:rsid w:val="492A5A90"/>
    <w:rsid w:val="49863F23"/>
    <w:rsid w:val="49A63EF1"/>
    <w:rsid w:val="4B475260"/>
    <w:rsid w:val="4B59658C"/>
    <w:rsid w:val="4B875BBC"/>
    <w:rsid w:val="4D0C41EC"/>
    <w:rsid w:val="4DBA5F41"/>
    <w:rsid w:val="4E712D20"/>
    <w:rsid w:val="4E937C52"/>
    <w:rsid w:val="4ED67027"/>
    <w:rsid w:val="4F5543EF"/>
    <w:rsid w:val="50166999"/>
    <w:rsid w:val="50630014"/>
    <w:rsid w:val="50C01D3C"/>
    <w:rsid w:val="53D0673A"/>
    <w:rsid w:val="55020339"/>
    <w:rsid w:val="55C51BA3"/>
    <w:rsid w:val="56012C82"/>
    <w:rsid w:val="56075D18"/>
    <w:rsid w:val="58045D65"/>
    <w:rsid w:val="58B63D67"/>
    <w:rsid w:val="597127A5"/>
    <w:rsid w:val="5BAC450A"/>
    <w:rsid w:val="5C1C603C"/>
    <w:rsid w:val="5C2301ED"/>
    <w:rsid w:val="5C5D2B35"/>
    <w:rsid w:val="5C6A0686"/>
    <w:rsid w:val="5C727429"/>
    <w:rsid w:val="5D867E6A"/>
    <w:rsid w:val="5EE36CA4"/>
    <w:rsid w:val="5EFD23AE"/>
    <w:rsid w:val="60F36750"/>
    <w:rsid w:val="617526CF"/>
    <w:rsid w:val="63725AE4"/>
    <w:rsid w:val="640A1B78"/>
    <w:rsid w:val="64887048"/>
    <w:rsid w:val="66133967"/>
    <w:rsid w:val="66B31FC9"/>
    <w:rsid w:val="66CD2A58"/>
    <w:rsid w:val="678B225E"/>
    <w:rsid w:val="688040F5"/>
    <w:rsid w:val="6A3A6264"/>
    <w:rsid w:val="6A5A06B4"/>
    <w:rsid w:val="6B0F0867"/>
    <w:rsid w:val="6BE071E8"/>
    <w:rsid w:val="6C103720"/>
    <w:rsid w:val="6DC81DD9"/>
    <w:rsid w:val="6E9D711E"/>
    <w:rsid w:val="6F625C52"/>
    <w:rsid w:val="6F6923CD"/>
    <w:rsid w:val="70193C6B"/>
    <w:rsid w:val="71E138CD"/>
    <w:rsid w:val="71F80EDE"/>
    <w:rsid w:val="72273BE7"/>
    <w:rsid w:val="72EE08C7"/>
    <w:rsid w:val="73C261BE"/>
    <w:rsid w:val="747E0D91"/>
    <w:rsid w:val="777163F5"/>
    <w:rsid w:val="77DB0E2E"/>
    <w:rsid w:val="78A05419"/>
    <w:rsid w:val="790E0FE8"/>
    <w:rsid w:val="7A126F70"/>
    <w:rsid w:val="7AAC4CFD"/>
    <w:rsid w:val="7B5C2578"/>
    <w:rsid w:val="7DBD1A7E"/>
    <w:rsid w:val="7DD8375B"/>
    <w:rsid w:val="7F537103"/>
    <w:rsid w:val="7F9C6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rFonts w:ascii="微软雅黑" w:hAnsi="微软雅黑" w:eastAsia="微软雅黑" w:cs="微软雅黑"/>
      <w:color w:val="333333"/>
      <w:u w:val="none"/>
    </w:rPr>
  </w:style>
  <w:style w:type="character" w:styleId="14">
    <w:name w:val="Emphasis"/>
    <w:basedOn w:val="11"/>
    <w:qFormat/>
    <w:uiPriority w:val="0"/>
  </w:style>
  <w:style w:type="character" w:styleId="15">
    <w:name w:val="Hyperlink"/>
    <w:basedOn w:val="11"/>
    <w:qFormat/>
    <w:uiPriority w:val="0"/>
    <w:rPr>
      <w:rFonts w:hint="eastAsia" w:ascii="微软雅黑" w:hAnsi="微软雅黑" w:eastAsia="微软雅黑" w:cs="微软雅黑"/>
      <w:color w:val="333333"/>
      <w:u w:val="none"/>
    </w:rPr>
  </w:style>
  <w:style w:type="character" w:styleId="16">
    <w:name w:val="HTML Code"/>
    <w:basedOn w:val="11"/>
    <w:qFormat/>
    <w:uiPriority w:val="0"/>
    <w:rPr>
      <w:rFonts w:ascii="Courier New" w:hAnsi="Courier New"/>
      <w:sz w:val="20"/>
    </w:rPr>
  </w:style>
  <w:style w:type="character" w:customStyle="1" w:styleId="17">
    <w:name w:val="zwxxgk_bnt5"/>
    <w:basedOn w:val="11"/>
    <w:qFormat/>
    <w:uiPriority w:val="0"/>
  </w:style>
  <w:style w:type="character" w:customStyle="1" w:styleId="18">
    <w:name w:val="zwxxgk_bnt51"/>
    <w:basedOn w:val="11"/>
    <w:qFormat/>
    <w:uiPriority w:val="0"/>
  </w:style>
  <w:style w:type="character" w:customStyle="1" w:styleId="19">
    <w:name w:val="zwxxgk_bnt52"/>
    <w:basedOn w:val="11"/>
    <w:qFormat/>
    <w:uiPriority w:val="0"/>
  </w:style>
  <w:style w:type="character" w:customStyle="1" w:styleId="20">
    <w:name w:val="zwxxgk_bnt6"/>
    <w:basedOn w:val="11"/>
    <w:qFormat/>
    <w:uiPriority w:val="0"/>
  </w:style>
  <w:style w:type="character" w:customStyle="1" w:styleId="21">
    <w:name w:val="zwxxgk_bnt61"/>
    <w:basedOn w:val="11"/>
    <w:qFormat/>
    <w:uiPriority w:val="0"/>
  </w:style>
  <w:style w:type="character" w:customStyle="1" w:styleId="22">
    <w:name w:val="zwxxgk_bnt62"/>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46cf39bc-d341-4039-871c-56e93adc0f0c</errorID>
      <errorWord>使用范围</errorWord>
      <group>L1_Word</group>
      <groupName>字词问题</groupName>
      <ability>L2_Typo</ability>
      <abilityName>字词错误</abilityName>
      <candidateList>
        <item>适用范围</item>
      </candidateList>
      <explain>存在发音相同字词的误用。</explain>
      <paraID>50635B2E</paraID>
      <start>2</start>
      <end>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2c423b-5920-4e86-895c-a98ea48e2c5e}">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3574</Words>
  <Characters>3637</Characters>
  <Lines>0</Lines>
  <Paragraphs>0</Paragraphs>
  <TotalTime>0</TotalTime>
  <ScaleCrop>false</ScaleCrop>
  <LinksUpToDate>false</LinksUpToDate>
  <CharactersWithSpaces>3690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2025-10-22T01:32:00Z</dcterms:created>
  <dc:creator>雪踏飞燕</dc:creator>
  <cp:lastModifiedBy>雪踏飞燕</cp:lastModifiedBy>
  <cp:lastPrinted>2026-01-09T02:58:00Z</cp:lastPrinted>
  <dcterms:modified xsi:type="dcterms:W3CDTF">2026-08-13T08:00:13Z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1E323AF073704DCB8EAD5B00D7972BA4_13</vt:lpwstr>
  </property>
  <property fmtid="{D5CDD505-2E9C-101B-9397-08002B2CF9AE}" pid="4" name="KSOTemplateDocerSaveRecord">
    <vt:lpwstr>eyJoZGlkIjoiM2E5M2MwNjBkMjNjZmNkZTM2OTE4ZWJhYjMxNDU3MzAiLCJ1c2VySWQiOiIxMzkzMDA3MyJ9</vt:lpwstr>
  </property>
</Properties>
</file>