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D25DB45">
      <w:pPr>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jc w:val="center"/>
        <w:textAlignment w:val="baseline"/>
        <w:outlineLvl w:val="0"/>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pacing w:val="-1"/>
          <w:position w:val="-2"/>
          <w:sz w:val="44"/>
          <w:szCs w:val="44"/>
          <w:highlight w:val="none"/>
        </w:rPr>
        <w:t>全方位服务新德化人定居瓷都行动方案</w:t>
      </w:r>
    </w:p>
    <w:p w14:paraId="3A385FD0">
      <w:pPr>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jc w:val="center"/>
        <w:textAlignment w:val="baseline"/>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（征求意见稿）</w:t>
      </w:r>
    </w:p>
    <w:p w14:paraId="61A41AF5">
      <w:pPr>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jc w:val="center"/>
        <w:textAlignment w:val="baseline"/>
        <w:rPr>
          <w:rFonts w:hint="default" w:ascii="Times New Roman" w:hAnsi="Times New Roman" w:eastAsia="楷体_GB2312" w:cs="Times New Roman"/>
          <w:color w:val="auto"/>
          <w:sz w:val="32"/>
          <w:szCs w:val="32"/>
          <w:highlight w:val="none"/>
          <w:lang w:eastAsia="zh-CN"/>
        </w:rPr>
      </w:pPr>
    </w:p>
    <w:p w14:paraId="03D4CCAC">
      <w:pPr>
        <w:pStyle w:val="2"/>
        <w:keepNext w:val="0"/>
        <w:keepLines w:val="0"/>
        <w:pageBreakBefore w:val="0"/>
        <w:widowControl w:val="0"/>
        <w:kinsoku/>
        <w:wordWrap/>
        <w:overflowPunct/>
        <w:topLinePunct w:val="0"/>
        <w:autoSpaceDE w:val="0"/>
        <w:autoSpaceDN w:val="0"/>
        <w:bidi w:val="0"/>
        <w:adjustRightInd w:val="0"/>
        <w:snapToGrid w:val="0"/>
        <w:spacing w:line="500" w:lineRule="exact"/>
        <w:ind w:left="0" w:right="0"/>
        <w:jc w:val="both"/>
        <w:textAlignment w:val="center"/>
        <w:rPr>
          <w:rFonts w:hint="default" w:ascii="Times New Roman" w:hAnsi="Times New Roman" w:eastAsia="楷体_GB2312" w:cs="Times New Roman"/>
          <w:color w:val="auto"/>
          <w:sz w:val="32"/>
          <w:szCs w:val="32"/>
          <w:highlight w:val="none"/>
          <w:lang w:eastAsia="zh-CN"/>
        </w:rPr>
      </w:pPr>
      <w:r>
        <w:rPr>
          <w:rFonts w:hint="eastAsia" w:ascii="仿宋_GB2312" w:hAnsi="仿宋_GB2312" w:eastAsia="仿宋_GB2312" w:cs="仿宋_GB2312"/>
          <w:spacing w:val="-2"/>
          <w:sz w:val="32"/>
          <w:szCs w:val="32"/>
        </w:rPr>
        <w:t>各乡镇人民政府</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县直有关单位</w:t>
      </w:r>
      <w:r>
        <w:rPr>
          <w:rFonts w:hint="eastAsia" w:ascii="仿宋_GB2312" w:hAnsi="仿宋_GB2312" w:eastAsia="仿宋_GB2312" w:cs="仿宋_GB2312"/>
          <w:spacing w:val="-2"/>
          <w:sz w:val="32"/>
          <w:szCs w:val="32"/>
          <w:lang w:eastAsia="zh-CN"/>
        </w:rPr>
        <w:t>：</w:t>
      </w:r>
    </w:p>
    <w:p w14:paraId="2069CF81">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41"/>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pacing w:val="4"/>
          <w:sz w:val="32"/>
          <w:szCs w:val="32"/>
          <w:highlight w:val="none"/>
        </w:rPr>
        <w:t>为全面贯彻党的二十大和二十届三中</w:t>
      </w:r>
      <w:r>
        <w:rPr>
          <w:rFonts w:hint="default" w:ascii="Times New Roman" w:hAnsi="Times New Roman" w:eastAsia="仿宋_GB2312" w:cs="Times New Roman"/>
          <w:color w:val="auto"/>
          <w:spacing w:val="4"/>
          <w:sz w:val="32"/>
          <w:szCs w:val="32"/>
          <w:highlight w:val="none"/>
          <w:lang w:eastAsia="zh-CN"/>
        </w:rPr>
        <w:t>、四中及五中</w:t>
      </w:r>
      <w:r>
        <w:rPr>
          <w:rFonts w:hint="default" w:ascii="Times New Roman" w:hAnsi="Times New Roman" w:eastAsia="仿宋_GB2312" w:cs="Times New Roman"/>
          <w:color w:val="auto"/>
          <w:spacing w:val="4"/>
          <w:sz w:val="32"/>
          <w:szCs w:val="32"/>
          <w:highlight w:val="none"/>
        </w:rPr>
        <w:t>全会精神，进</w:t>
      </w:r>
      <w:r>
        <w:rPr>
          <w:rFonts w:hint="default" w:ascii="Times New Roman" w:hAnsi="Times New Roman" w:eastAsia="仿宋_GB2312" w:cs="Times New Roman"/>
          <w:color w:val="auto"/>
          <w:spacing w:val="5"/>
          <w:sz w:val="32"/>
          <w:szCs w:val="32"/>
          <w:highlight w:val="none"/>
        </w:rPr>
        <w:t>一步完善“十五五”期间住房保障体系，充分释放刚性和改善</w:t>
      </w:r>
      <w:r>
        <w:rPr>
          <w:rFonts w:hint="default" w:ascii="Times New Roman" w:hAnsi="Times New Roman" w:eastAsia="仿宋_GB2312" w:cs="Times New Roman"/>
          <w:color w:val="auto"/>
          <w:spacing w:val="2"/>
          <w:sz w:val="32"/>
          <w:szCs w:val="32"/>
          <w:highlight w:val="none"/>
        </w:rPr>
        <w:t>性住房需求潜力，吸引</w:t>
      </w:r>
      <w:r>
        <w:rPr>
          <w:rFonts w:hint="default" w:ascii="Times New Roman" w:hAnsi="Times New Roman" w:eastAsia="仿宋_GB2312" w:cs="Times New Roman"/>
          <w:color w:val="auto"/>
          <w:spacing w:val="2"/>
          <w:sz w:val="32"/>
          <w:szCs w:val="32"/>
          <w:highlight w:val="none"/>
          <w:lang w:eastAsia="zh-CN"/>
        </w:rPr>
        <w:t>省外及</w:t>
      </w:r>
      <w:r>
        <w:rPr>
          <w:rFonts w:hint="default" w:ascii="Times New Roman" w:hAnsi="Times New Roman" w:eastAsia="仿宋_GB2312" w:cs="Times New Roman"/>
          <w:color w:val="auto"/>
          <w:spacing w:val="2"/>
          <w:sz w:val="32"/>
          <w:szCs w:val="32"/>
          <w:highlight w:val="none"/>
        </w:rPr>
        <w:t>周边山区县</w:t>
      </w:r>
      <w:r>
        <w:rPr>
          <w:rFonts w:hint="default" w:ascii="Times New Roman" w:hAnsi="Times New Roman" w:eastAsia="仿宋_GB2312" w:cs="Times New Roman"/>
          <w:color w:val="auto"/>
          <w:spacing w:val="2"/>
          <w:sz w:val="32"/>
          <w:szCs w:val="32"/>
          <w:highlight w:val="none"/>
          <w:lang w:eastAsia="zh-CN"/>
        </w:rPr>
        <w:t>劳动力人口</w:t>
      </w:r>
      <w:r>
        <w:rPr>
          <w:rFonts w:hint="default" w:ascii="Times New Roman" w:hAnsi="Times New Roman" w:eastAsia="仿宋_GB2312" w:cs="Times New Roman"/>
          <w:color w:val="auto"/>
          <w:spacing w:val="2"/>
          <w:sz w:val="32"/>
          <w:szCs w:val="32"/>
          <w:highlight w:val="none"/>
        </w:rPr>
        <w:t>向德化转移</w:t>
      </w:r>
      <w:r>
        <w:rPr>
          <w:rFonts w:hint="default" w:ascii="Times New Roman" w:hAnsi="Times New Roman" w:eastAsia="仿宋_GB2312" w:cs="Times New Roman"/>
          <w:color w:val="auto"/>
          <w:spacing w:val="2"/>
          <w:sz w:val="32"/>
          <w:szCs w:val="32"/>
          <w:highlight w:val="none"/>
          <w:lang w:eastAsia="zh-CN"/>
        </w:rPr>
        <w:t>及人才回流</w:t>
      </w:r>
      <w:r>
        <w:rPr>
          <w:rFonts w:hint="default" w:ascii="Times New Roman" w:hAnsi="Times New Roman" w:eastAsia="仿宋_GB2312" w:cs="Times New Roman"/>
          <w:color w:val="auto"/>
          <w:spacing w:val="2"/>
          <w:sz w:val="32"/>
          <w:szCs w:val="32"/>
          <w:highlight w:val="none"/>
        </w:rPr>
        <w:t>，加</w:t>
      </w:r>
      <w:r>
        <w:rPr>
          <w:rFonts w:hint="default" w:ascii="Times New Roman" w:hAnsi="Times New Roman" w:eastAsia="仿宋_GB2312" w:cs="Times New Roman"/>
          <w:color w:val="auto"/>
          <w:spacing w:val="8"/>
          <w:sz w:val="32"/>
          <w:szCs w:val="32"/>
          <w:highlight w:val="none"/>
        </w:rPr>
        <w:t>快新型城镇化建设，特制定本行动方案。</w:t>
      </w:r>
    </w:p>
    <w:p w14:paraId="362DE184">
      <w:pPr>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8" w:firstLineChars="200"/>
        <w:jc w:val="both"/>
        <w:textAlignment w:val="baseline"/>
        <w:outlineLvl w:val="1"/>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pacing w:val="7"/>
          <w:sz w:val="32"/>
          <w:szCs w:val="32"/>
          <w:highlight w:val="none"/>
        </w:rPr>
        <w:t>一、工作目标</w:t>
      </w:r>
    </w:p>
    <w:p w14:paraId="7CECEA07">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41"/>
        <w:jc w:val="both"/>
        <w:textAlignment w:val="baseline"/>
        <w:rPr>
          <w:rFonts w:hint="default" w:ascii="Times New Roman" w:hAnsi="Times New Roman" w:eastAsia="仿宋_GB2312" w:cs="Times New Roman"/>
          <w:color w:val="auto"/>
          <w:spacing w:val="4"/>
          <w:sz w:val="32"/>
          <w:szCs w:val="32"/>
          <w:highlight w:val="none"/>
        </w:rPr>
      </w:pPr>
      <w:r>
        <w:rPr>
          <w:rFonts w:hint="default" w:ascii="Times New Roman" w:hAnsi="Times New Roman" w:eastAsia="仿宋_GB2312" w:cs="Times New Roman"/>
          <w:color w:val="auto"/>
          <w:spacing w:val="4"/>
          <w:sz w:val="32"/>
          <w:szCs w:val="32"/>
          <w:highlight w:val="none"/>
        </w:rPr>
        <w:t>通过全方位购房支持政策及配套服务体系，力争在“十五五”期间吸引</w:t>
      </w:r>
      <w:r>
        <w:rPr>
          <w:rFonts w:hint="default" w:ascii="Times New Roman" w:hAnsi="Times New Roman" w:eastAsia="仿宋_GB2312" w:cs="Times New Roman"/>
          <w:color w:val="auto"/>
          <w:spacing w:val="4"/>
          <w:sz w:val="32"/>
          <w:szCs w:val="32"/>
          <w:highlight w:val="none"/>
          <w:lang w:val="en-US" w:eastAsia="zh-CN"/>
        </w:rPr>
        <w:t>5</w:t>
      </w:r>
      <w:r>
        <w:rPr>
          <w:rFonts w:hint="default" w:ascii="Times New Roman" w:hAnsi="Times New Roman" w:eastAsia="仿宋_GB2312" w:cs="Times New Roman"/>
          <w:color w:val="auto"/>
          <w:spacing w:val="4"/>
          <w:sz w:val="32"/>
          <w:szCs w:val="32"/>
          <w:highlight w:val="none"/>
        </w:rPr>
        <w:t>000户以上外来家庭定居德化，增强城市活力与产业竞争力。同时推进处置存量商品房工作，缩短商品房去化周期，确保房地产市场平稳健康发展。</w:t>
      </w:r>
    </w:p>
    <w:p w14:paraId="08BD14F2">
      <w:pPr>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8" w:firstLineChars="200"/>
        <w:jc w:val="both"/>
        <w:textAlignment w:val="baseline"/>
        <w:outlineLvl w:val="1"/>
        <w:rPr>
          <w:rFonts w:hint="default" w:ascii="Times New Roman" w:hAnsi="Times New Roman" w:eastAsia="黑体" w:cs="Times New Roman"/>
          <w:color w:val="auto"/>
          <w:spacing w:val="7"/>
          <w:sz w:val="32"/>
          <w:szCs w:val="32"/>
          <w:highlight w:val="none"/>
        </w:rPr>
      </w:pPr>
      <w:r>
        <w:rPr>
          <w:rFonts w:hint="default" w:ascii="Times New Roman" w:hAnsi="Times New Roman" w:eastAsia="黑体" w:cs="Times New Roman"/>
          <w:color w:val="auto"/>
          <w:spacing w:val="7"/>
          <w:sz w:val="32"/>
          <w:szCs w:val="32"/>
          <w:highlight w:val="none"/>
        </w:rPr>
        <w:t>二、政策保障</w:t>
      </w:r>
    </w:p>
    <w:p w14:paraId="0549034B">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楷体_GB2312" w:cs="Times New Roman"/>
          <w:b w:val="0"/>
          <w:bCs w:val="0"/>
          <w:color w:val="auto"/>
          <w:spacing w:val="9"/>
          <w:sz w:val="32"/>
          <w:szCs w:val="32"/>
          <w:highlight w:val="none"/>
          <w:lang w:eastAsia="zh-CN"/>
        </w:rPr>
      </w:pPr>
      <w:r>
        <w:rPr>
          <w:rFonts w:hint="default" w:ascii="Times New Roman" w:hAnsi="Times New Roman" w:eastAsia="楷体_GB2312" w:cs="Times New Roman"/>
          <w:b w:val="0"/>
          <w:bCs w:val="0"/>
          <w:color w:val="auto"/>
          <w:spacing w:val="9"/>
          <w:sz w:val="32"/>
          <w:szCs w:val="32"/>
          <w:highlight w:val="none"/>
        </w:rPr>
        <w:t>（</w:t>
      </w:r>
      <w:r>
        <w:rPr>
          <w:rFonts w:hint="default" w:ascii="Times New Roman" w:hAnsi="Times New Roman" w:eastAsia="楷体_GB2312" w:cs="Times New Roman"/>
          <w:b w:val="0"/>
          <w:bCs w:val="0"/>
          <w:color w:val="auto"/>
          <w:spacing w:val="9"/>
          <w:sz w:val="32"/>
          <w:szCs w:val="32"/>
          <w:highlight w:val="none"/>
          <w:lang w:eastAsia="zh-CN"/>
        </w:rPr>
        <w:t>一</w:t>
      </w:r>
      <w:r>
        <w:rPr>
          <w:rFonts w:hint="default" w:ascii="Times New Roman" w:hAnsi="Times New Roman" w:eastAsia="楷体_GB2312" w:cs="Times New Roman"/>
          <w:b w:val="0"/>
          <w:bCs w:val="0"/>
          <w:color w:val="auto"/>
          <w:spacing w:val="9"/>
          <w:sz w:val="32"/>
          <w:szCs w:val="32"/>
          <w:highlight w:val="none"/>
        </w:rPr>
        <w:t>）</w:t>
      </w:r>
      <w:r>
        <w:rPr>
          <w:rFonts w:hint="eastAsia" w:ascii="Times New Roman" w:hAnsi="Times New Roman" w:eastAsia="楷体_GB2312" w:cs="Times New Roman"/>
          <w:b w:val="0"/>
          <w:bCs w:val="0"/>
          <w:color w:val="auto"/>
          <w:spacing w:val="9"/>
          <w:sz w:val="32"/>
          <w:szCs w:val="32"/>
          <w:highlight w:val="none"/>
          <w:lang w:eastAsia="zh-CN"/>
        </w:rPr>
        <w:t>“</w:t>
      </w:r>
      <w:r>
        <w:rPr>
          <w:rFonts w:hint="default" w:ascii="Times New Roman" w:hAnsi="Times New Roman" w:eastAsia="楷体_GB2312" w:cs="Times New Roman"/>
          <w:b w:val="0"/>
          <w:bCs w:val="0"/>
          <w:color w:val="auto"/>
          <w:spacing w:val="9"/>
          <w:sz w:val="32"/>
          <w:szCs w:val="32"/>
          <w:highlight w:val="none"/>
        </w:rPr>
        <w:t>共有产权</w:t>
      </w:r>
      <w:r>
        <w:rPr>
          <w:rFonts w:hint="eastAsia" w:ascii="Times New Roman" w:hAnsi="Times New Roman" w:eastAsia="楷体_GB2312" w:cs="Times New Roman"/>
          <w:b w:val="0"/>
          <w:bCs w:val="0"/>
          <w:color w:val="auto"/>
          <w:spacing w:val="9"/>
          <w:sz w:val="32"/>
          <w:szCs w:val="32"/>
          <w:highlight w:val="none"/>
          <w:lang w:eastAsia="zh-CN"/>
        </w:rPr>
        <w:t>”</w:t>
      </w:r>
      <w:r>
        <w:rPr>
          <w:rFonts w:hint="default" w:ascii="Times New Roman" w:hAnsi="Times New Roman" w:eastAsia="楷体_GB2312" w:cs="Times New Roman"/>
          <w:b w:val="0"/>
          <w:bCs w:val="0"/>
          <w:color w:val="auto"/>
          <w:spacing w:val="9"/>
          <w:sz w:val="32"/>
          <w:szCs w:val="32"/>
          <w:highlight w:val="none"/>
        </w:rPr>
        <w:t>住房支持</w:t>
      </w:r>
      <w:r>
        <w:rPr>
          <w:rFonts w:hint="default" w:ascii="Times New Roman" w:hAnsi="Times New Roman" w:eastAsia="楷体_GB2312" w:cs="Times New Roman"/>
          <w:b w:val="0"/>
          <w:bCs w:val="0"/>
          <w:color w:val="auto"/>
          <w:spacing w:val="9"/>
          <w:sz w:val="32"/>
          <w:szCs w:val="32"/>
          <w:highlight w:val="none"/>
          <w:lang w:eastAsia="zh-CN"/>
        </w:rPr>
        <w:t>政策</w:t>
      </w:r>
    </w:p>
    <w:p w14:paraId="147205FB">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r>
        <w:rPr>
          <w:rFonts w:hint="default" w:ascii="Times New Roman" w:hAnsi="Times New Roman" w:eastAsia="仿宋_GB2312" w:cs="Times New Roman"/>
          <w:color w:val="auto"/>
          <w:spacing w:val="4"/>
          <w:sz w:val="32"/>
          <w:szCs w:val="32"/>
          <w:highlight w:val="none"/>
          <w:lang w:val="en-US" w:eastAsia="zh-CN"/>
        </w:rPr>
        <w:t>1.</w:t>
      </w:r>
      <w:r>
        <w:rPr>
          <w:rFonts w:hint="eastAsia" w:ascii="Times New Roman" w:hAnsi="Times New Roman" w:eastAsia="仿宋_GB2312" w:cs="Times New Roman"/>
          <w:color w:val="auto"/>
          <w:spacing w:val="4"/>
          <w:sz w:val="32"/>
          <w:szCs w:val="32"/>
          <w:highlight w:val="none"/>
          <w:lang w:val="en-US" w:eastAsia="zh-CN"/>
        </w:rPr>
        <w:t>购买“</w:t>
      </w:r>
      <w:r>
        <w:rPr>
          <w:rFonts w:hint="default" w:ascii="Times New Roman" w:hAnsi="Times New Roman" w:eastAsia="仿宋_GB2312" w:cs="Times New Roman"/>
          <w:color w:val="auto"/>
          <w:spacing w:val="4"/>
          <w:sz w:val="32"/>
          <w:szCs w:val="32"/>
          <w:highlight w:val="none"/>
          <w:lang w:val="en-US" w:eastAsia="zh-CN"/>
        </w:rPr>
        <w:t>共有产权</w:t>
      </w:r>
      <w:r>
        <w:rPr>
          <w:rFonts w:hint="eastAsia" w:ascii="Times New Roman" w:hAnsi="Times New Roman" w:eastAsia="仿宋_GB2312" w:cs="Times New Roman"/>
          <w:color w:val="auto"/>
          <w:spacing w:val="4"/>
          <w:sz w:val="32"/>
          <w:szCs w:val="32"/>
          <w:highlight w:val="none"/>
          <w:lang w:val="en-US" w:eastAsia="zh-CN"/>
        </w:rPr>
        <w:t>”住房支持</w:t>
      </w:r>
      <w:r>
        <w:rPr>
          <w:rFonts w:hint="default" w:ascii="Times New Roman" w:hAnsi="Times New Roman" w:eastAsia="仿宋_GB2312" w:cs="Times New Roman"/>
          <w:color w:val="auto"/>
          <w:spacing w:val="4"/>
          <w:sz w:val="32"/>
          <w:szCs w:val="32"/>
          <w:highlight w:val="none"/>
          <w:lang w:val="en-US" w:eastAsia="zh-CN"/>
        </w:rPr>
        <w:t>政策有效期限延长至20</w:t>
      </w:r>
      <w:r>
        <w:rPr>
          <w:rFonts w:hint="eastAsia" w:ascii="Times New Roman" w:hAnsi="Times New Roman" w:eastAsia="仿宋_GB2312" w:cs="Times New Roman"/>
          <w:color w:val="auto"/>
          <w:spacing w:val="4"/>
          <w:sz w:val="32"/>
          <w:szCs w:val="32"/>
          <w:highlight w:val="none"/>
          <w:lang w:val="en-US" w:eastAsia="zh-CN"/>
        </w:rPr>
        <w:t>28</w:t>
      </w:r>
      <w:r>
        <w:rPr>
          <w:rFonts w:hint="default" w:ascii="Times New Roman" w:hAnsi="Times New Roman" w:eastAsia="仿宋_GB2312" w:cs="Times New Roman"/>
          <w:color w:val="auto"/>
          <w:spacing w:val="4"/>
          <w:sz w:val="32"/>
          <w:szCs w:val="32"/>
          <w:highlight w:val="none"/>
          <w:lang w:val="en-US" w:eastAsia="zh-CN"/>
        </w:rPr>
        <w:t>年</w:t>
      </w:r>
      <w:r>
        <w:rPr>
          <w:rFonts w:hint="eastAsia" w:ascii="Times New Roman" w:hAnsi="Times New Roman" w:eastAsia="仿宋_GB2312" w:cs="Times New Roman"/>
          <w:color w:val="auto"/>
          <w:spacing w:val="4"/>
          <w:sz w:val="32"/>
          <w:szCs w:val="32"/>
          <w:highlight w:val="none"/>
          <w:lang w:val="en-US" w:eastAsia="zh-CN"/>
        </w:rPr>
        <w:t>7</w:t>
      </w:r>
      <w:r>
        <w:rPr>
          <w:rFonts w:hint="default" w:ascii="Times New Roman" w:hAnsi="Times New Roman" w:eastAsia="仿宋_GB2312" w:cs="Times New Roman"/>
          <w:color w:val="auto"/>
          <w:spacing w:val="4"/>
          <w:sz w:val="32"/>
          <w:szCs w:val="32"/>
          <w:highlight w:val="none"/>
          <w:lang w:val="en-US" w:eastAsia="zh-CN"/>
        </w:rPr>
        <w:t>月31日。政策支持对象：</w:t>
      </w:r>
      <w:r>
        <w:rPr>
          <w:rFonts w:hint="eastAsia" w:ascii="Times New Roman" w:hAnsi="Times New Roman" w:eastAsia="仿宋_GB2312" w:cs="Times New Roman"/>
          <w:color w:val="auto"/>
          <w:spacing w:val="4"/>
          <w:sz w:val="32"/>
          <w:szCs w:val="32"/>
          <w:highlight w:val="none"/>
          <w:lang w:val="en-US" w:eastAsia="zh-CN"/>
        </w:rPr>
        <w:t>年满18周岁，且</w:t>
      </w:r>
      <w:r>
        <w:rPr>
          <w:rFonts w:hint="default" w:ascii="Times New Roman" w:hAnsi="Times New Roman" w:eastAsia="仿宋_GB2312" w:cs="Times New Roman"/>
          <w:color w:val="auto"/>
          <w:spacing w:val="4"/>
          <w:sz w:val="32"/>
          <w:szCs w:val="32"/>
          <w:highlight w:val="none"/>
          <w:lang w:val="en-US" w:eastAsia="zh-CN"/>
        </w:rPr>
        <w:t>男性年龄需在</w:t>
      </w:r>
      <w:r>
        <w:rPr>
          <w:rFonts w:hint="eastAsia" w:ascii="Times New Roman" w:hAnsi="Times New Roman" w:eastAsia="仿宋_GB2312" w:cs="Times New Roman"/>
          <w:color w:val="auto"/>
          <w:spacing w:val="4"/>
          <w:sz w:val="32"/>
          <w:szCs w:val="32"/>
          <w:highlight w:val="none"/>
          <w:lang w:val="en-US" w:eastAsia="zh-CN"/>
        </w:rPr>
        <w:t>6</w:t>
      </w:r>
      <w:r>
        <w:rPr>
          <w:rFonts w:hint="default" w:ascii="Times New Roman" w:hAnsi="Times New Roman" w:eastAsia="仿宋_GB2312" w:cs="Times New Roman"/>
          <w:color w:val="auto"/>
          <w:spacing w:val="4"/>
          <w:sz w:val="32"/>
          <w:szCs w:val="32"/>
          <w:highlight w:val="none"/>
          <w:lang w:val="en-US" w:eastAsia="zh-CN"/>
        </w:rPr>
        <w:t>0周岁以下，女性年龄需在</w:t>
      </w:r>
      <w:r>
        <w:rPr>
          <w:rFonts w:hint="eastAsia" w:ascii="Times New Roman" w:hAnsi="Times New Roman" w:eastAsia="仿宋_GB2312" w:cs="Times New Roman"/>
          <w:color w:val="auto"/>
          <w:spacing w:val="4"/>
          <w:sz w:val="32"/>
          <w:szCs w:val="32"/>
          <w:highlight w:val="none"/>
          <w:lang w:val="en-US" w:eastAsia="zh-CN"/>
        </w:rPr>
        <w:t>55</w:t>
      </w:r>
      <w:r>
        <w:rPr>
          <w:rFonts w:hint="default" w:ascii="Times New Roman" w:hAnsi="Times New Roman" w:eastAsia="仿宋_GB2312" w:cs="Times New Roman"/>
          <w:color w:val="auto"/>
          <w:spacing w:val="4"/>
          <w:sz w:val="32"/>
          <w:szCs w:val="32"/>
          <w:highlight w:val="none"/>
          <w:lang w:val="en-US" w:eastAsia="zh-CN"/>
        </w:rPr>
        <w:t>周岁以下</w:t>
      </w:r>
      <w:r>
        <w:rPr>
          <w:rFonts w:hint="eastAsia" w:ascii="Times New Roman" w:hAnsi="Times New Roman" w:eastAsia="仿宋_GB2312" w:cs="Times New Roman"/>
          <w:color w:val="auto"/>
          <w:spacing w:val="4"/>
          <w:sz w:val="32"/>
          <w:szCs w:val="32"/>
          <w:highlight w:val="none"/>
          <w:lang w:val="en-US" w:eastAsia="zh-CN"/>
        </w:rPr>
        <w:t>（如若夫妻共同购买共有产权房源，至少有一方未超过法定退休年龄）</w:t>
      </w:r>
      <w:r>
        <w:rPr>
          <w:rFonts w:hint="default" w:ascii="Times New Roman" w:hAnsi="Times New Roman" w:eastAsia="仿宋_GB2312" w:cs="Times New Roman"/>
          <w:color w:val="auto"/>
          <w:spacing w:val="4"/>
          <w:sz w:val="32"/>
          <w:szCs w:val="32"/>
          <w:highlight w:val="none"/>
          <w:lang w:val="en-US" w:eastAsia="zh-CN"/>
        </w:rPr>
        <w:t>。政策支持范围：国有企业所有存量商品住房，以及自愿接受“共有产权”住房政策的</w:t>
      </w:r>
      <w:r>
        <w:rPr>
          <w:rFonts w:hint="eastAsia" w:ascii="Times New Roman" w:hAnsi="Times New Roman" w:eastAsia="仿宋_GB2312" w:cs="Times New Roman"/>
          <w:color w:val="auto"/>
          <w:spacing w:val="4"/>
          <w:sz w:val="32"/>
          <w:szCs w:val="32"/>
          <w:highlight w:val="none"/>
          <w:lang w:val="en-US" w:eastAsia="zh-CN"/>
        </w:rPr>
        <w:t>民</w:t>
      </w:r>
      <w:r>
        <w:rPr>
          <w:rFonts w:hint="default" w:ascii="Times New Roman" w:hAnsi="Times New Roman" w:eastAsia="仿宋_GB2312" w:cs="Times New Roman"/>
          <w:color w:val="auto"/>
          <w:spacing w:val="4"/>
          <w:sz w:val="32"/>
          <w:szCs w:val="32"/>
          <w:highlight w:val="none"/>
          <w:lang w:val="en-US" w:eastAsia="zh-CN"/>
        </w:rPr>
        <w:t>营企业存量商品住房，原则上应为普通商品住房。</w:t>
      </w:r>
    </w:p>
    <w:p w14:paraId="249F9FC1">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eastAsia" w:ascii="Times New Roman" w:hAnsi="Times New Roman" w:eastAsia="仿宋_GB2312" w:cs="Times New Roman"/>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2.针对原德化籍外迁家庭（仅限本方案出台之日前），返德购买我县“共有产权”住房，</w:t>
      </w:r>
      <w:r>
        <w:rPr>
          <w:rFonts w:hint="default" w:ascii="Times New Roman" w:hAnsi="Times New Roman" w:eastAsia="仿宋_GB2312" w:cs="Times New Roman"/>
          <w:color w:val="auto"/>
          <w:spacing w:val="4"/>
          <w:sz w:val="32"/>
          <w:szCs w:val="32"/>
          <w:highlight w:val="none"/>
          <w:lang w:val="en-US" w:eastAsia="zh-CN"/>
        </w:rPr>
        <w:t>可在原有政策支持基础上，再享受购房总价10%（限额20万元）的共有产权份额支持</w:t>
      </w:r>
      <w:r>
        <w:rPr>
          <w:rFonts w:hint="eastAsia" w:ascii="Times New Roman" w:hAnsi="Times New Roman" w:eastAsia="仿宋_GB2312" w:cs="Times New Roman"/>
          <w:color w:val="auto"/>
          <w:spacing w:val="4"/>
          <w:sz w:val="32"/>
          <w:szCs w:val="32"/>
          <w:highlight w:val="none"/>
          <w:lang w:val="en-US" w:eastAsia="zh-CN"/>
        </w:rPr>
        <w:t>。购房人需自购房合同签订之日起最长10年内回购该</w:t>
      </w:r>
      <w:r>
        <w:rPr>
          <w:rFonts w:hint="default" w:ascii="Times New Roman" w:hAnsi="Times New Roman" w:eastAsia="仿宋_GB2312" w:cs="Times New Roman"/>
          <w:color w:val="auto"/>
          <w:spacing w:val="4"/>
          <w:sz w:val="32"/>
          <w:szCs w:val="32"/>
          <w:highlight w:val="none"/>
          <w:lang w:val="en-US" w:eastAsia="zh-CN"/>
        </w:rPr>
        <w:t>共有产权</w:t>
      </w:r>
      <w:r>
        <w:rPr>
          <w:rFonts w:hint="eastAsia" w:ascii="Times New Roman" w:hAnsi="Times New Roman" w:eastAsia="仿宋_GB2312" w:cs="Times New Roman"/>
          <w:color w:val="auto"/>
          <w:spacing w:val="4"/>
          <w:sz w:val="32"/>
          <w:szCs w:val="32"/>
          <w:highlight w:val="none"/>
          <w:lang w:val="en-US" w:eastAsia="zh-CN"/>
        </w:rPr>
        <w:t>份额。</w:t>
      </w:r>
    </w:p>
    <w:p w14:paraId="502480D0">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3</w:t>
      </w:r>
      <w:r>
        <w:rPr>
          <w:rFonts w:hint="default" w:ascii="Times New Roman" w:hAnsi="Times New Roman" w:eastAsia="仿宋_GB2312" w:cs="Times New Roman"/>
          <w:color w:val="auto"/>
          <w:spacing w:val="4"/>
          <w:sz w:val="32"/>
          <w:szCs w:val="32"/>
          <w:highlight w:val="none"/>
          <w:lang w:val="en-US" w:eastAsia="zh-CN"/>
        </w:rPr>
        <w:t>.外来产业工人</w:t>
      </w:r>
      <w:r>
        <w:rPr>
          <w:rFonts w:hint="eastAsia" w:ascii="Times New Roman" w:hAnsi="Times New Roman" w:eastAsia="仿宋_GB2312" w:cs="Times New Roman"/>
          <w:color w:val="auto"/>
          <w:spacing w:val="4"/>
          <w:sz w:val="32"/>
          <w:szCs w:val="32"/>
          <w:highlight w:val="none"/>
          <w:lang w:val="en-US" w:eastAsia="zh-CN"/>
        </w:rPr>
        <w:t>（在我县辖区内尚无产权房的）</w:t>
      </w:r>
      <w:r>
        <w:rPr>
          <w:rFonts w:hint="default" w:ascii="Times New Roman" w:hAnsi="Times New Roman" w:eastAsia="仿宋_GB2312" w:cs="Times New Roman"/>
          <w:color w:val="auto"/>
          <w:spacing w:val="4"/>
          <w:sz w:val="32"/>
          <w:szCs w:val="32"/>
          <w:highlight w:val="none"/>
          <w:lang w:val="en-US" w:eastAsia="zh-CN"/>
        </w:rPr>
        <w:t>购买我县“共有产权”住房，可在原有政策支持基础上，再享受购房总价5%（限额10万元）的共有产权份额支持</w:t>
      </w:r>
      <w:r>
        <w:rPr>
          <w:rFonts w:hint="eastAsia" w:ascii="Times New Roman" w:hAnsi="Times New Roman" w:eastAsia="仿宋_GB2312" w:cs="Times New Roman"/>
          <w:color w:val="auto"/>
          <w:spacing w:val="4"/>
          <w:sz w:val="32"/>
          <w:szCs w:val="32"/>
          <w:highlight w:val="none"/>
          <w:lang w:val="en-US" w:eastAsia="zh-CN"/>
        </w:rPr>
        <w:t>。</w:t>
      </w:r>
      <w:r>
        <w:rPr>
          <w:rFonts w:hint="default" w:ascii="Times New Roman" w:hAnsi="Times New Roman" w:eastAsia="仿宋_GB2312" w:cs="Times New Roman"/>
          <w:color w:val="auto"/>
          <w:spacing w:val="4"/>
          <w:sz w:val="32"/>
          <w:szCs w:val="32"/>
          <w:highlight w:val="none"/>
          <w:lang w:val="en-US" w:eastAsia="zh-CN"/>
        </w:rPr>
        <w:t>针对本条款新增的共有产权份额支持</w:t>
      </w:r>
      <w:r>
        <w:rPr>
          <w:rFonts w:hint="eastAsia" w:ascii="Times New Roman" w:hAnsi="Times New Roman" w:eastAsia="仿宋_GB2312" w:cs="Times New Roman"/>
          <w:color w:val="auto"/>
          <w:spacing w:val="4"/>
          <w:sz w:val="32"/>
          <w:szCs w:val="32"/>
          <w:highlight w:val="none"/>
          <w:lang w:val="en-US" w:eastAsia="zh-CN"/>
        </w:rPr>
        <w:t>，</w:t>
      </w:r>
      <w:r>
        <w:rPr>
          <w:rFonts w:hint="default" w:ascii="Times New Roman" w:hAnsi="Times New Roman" w:eastAsia="仿宋_GB2312" w:cs="Times New Roman"/>
          <w:color w:val="auto"/>
          <w:spacing w:val="4"/>
          <w:sz w:val="32"/>
          <w:szCs w:val="32"/>
          <w:highlight w:val="none"/>
          <w:lang w:val="en-US" w:eastAsia="zh-CN"/>
        </w:rPr>
        <w:t>外来产业工人在购房后，定居每满1年可分别减免购房总价的0.5%（限额1万元）的共有产权</w:t>
      </w:r>
      <w:r>
        <w:rPr>
          <w:rFonts w:hint="eastAsia" w:ascii="Times New Roman" w:hAnsi="Times New Roman" w:eastAsia="仿宋_GB2312" w:cs="Times New Roman"/>
          <w:color w:val="auto"/>
          <w:spacing w:val="4"/>
          <w:sz w:val="32"/>
          <w:szCs w:val="32"/>
          <w:highlight w:val="none"/>
          <w:lang w:val="en-US" w:eastAsia="zh-CN"/>
        </w:rPr>
        <w:t>份额</w:t>
      </w:r>
      <w:r>
        <w:rPr>
          <w:rFonts w:hint="default" w:ascii="Times New Roman" w:hAnsi="Times New Roman" w:eastAsia="仿宋_GB2312" w:cs="Times New Roman"/>
          <w:color w:val="auto"/>
          <w:spacing w:val="4"/>
          <w:sz w:val="32"/>
          <w:szCs w:val="32"/>
          <w:highlight w:val="none"/>
          <w:lang w:val="en-US" w:eastAsia="zh-CN"/>
        </w:rPr>
        <w:t>回购</w:t>
      </w:r>
      <w:r>
        <w:rPr>
          <w:rFonts w:hint="eastAsia" w:ascii="Times New Roman" w:hAnsi="Times New Roman" w:eastAsia="仿宋_GB2312" w:cs="Times New Roman"/>
          <w:color w:val="auto"/>
          <w:spacing w:val="4"/>
          <w:sz w:val="32"/>
          <w:szCs w:val="32"/>
          <w:highlight w:val="none"/>
          <w:lang w:val="en-US" w:eastAsia="zh-CN"/>
        </w:rPr>
        <w:t>金额</w:t>
      </w:r>
      <w:r>
        <w:rPr>
          <w:rFonts w:hint="default" w:ascii="Times New Roman" w:hAnsi="Times New Roman" w:eastAsia="仿宋_GB2312" w:cs="Times New Roman"/>
          <w:color w:val="auto"/>
          <w:spacing w:val="4"/>
          <w:sz w:val="32"/>
          <w:szCs w:val="32"/>
          <w:highlight w:val="none"/>
          <w:lang w:val="en-US" w:eastAsia="zh-CN"/>
        </w:rPr>
        <w:t>，累计减免年限封顶</w:t>
      </w:r>
      <w:r>
        <w:rPr>
          <w:rFonts w:hint="eastAsia" w:ascii="Times New Roman" w:hAnsi="Times New Roman" w:eastAsia="仿宋_GB2312" w:cs="Times New Roman"/>
          <w:color w:val="auto"/>
          <w:spacing w:val="4"/>
          <w:sz w:val="32"/>
          <w:szCs w:val="32"/>
          <w:highlight w:val="none"/>
          <w:lang w:val="en-US" w:eastAsia="zh-CN"/>
        </w:rPr>
        <w:t>10</w:t>
      </w:r>
      <w:r>
        <w:rPr>
          <w:rFonts w:hint="default" w:ascii="Times New Roman" w:hAnsi="Times New Roman" w:eastAsia="仿宋_GB2312" w:cs="Times New Roman"/>
          <w:color w:val="auto"/>
          <w:spacing w:val="4"/>
          <w:sz w:val="32"/>
          <w:szCs w:val="32"/>
          <w:highlight w:val="none"/>
          <w:lang w:val="en-US" w:eastAsia="zh-CN"/>
        </w:rPr>
        <w:t>年。</w:t>
      </w:r>
    </w:p>
    <w:p w14:paraId="5DFB0756">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4.陶瓷设计类、“AI+OPC”等陶瓷产业链上下游相关的紧缺型外来人才（在我县辖区内尚无产权房的），</w:t>
      </w:r>
      <w:r>
        <w:rPr>
          <w:rFonts w:hint="default" w:ascii="Times New Roman" w:hAnsi="Times New Roman" w:eastAsia="仿宋_GB2312" w:cs="Times New Roman"/>
          <w:color w:val="auto"/>
          <w:spacing w:val="4"/>
          <w:sz w:val="32"/>
          <w:szCs w:val="32"/>
          <w:highlight w:val="none"/>
          <w:lang w:val="en-US" w:eastAsia="zh-CN"/>
        </w:rPr>
        <w:t>购买我县“共有产权”住房，可在原有政策支持基础上，再享受购房总价</w:t>
      </w:r>
      <w:r>
        <w:rPr>
          <w:rFonts w:hint="eastAsia" w:ascii="Times New Roman" w:hAnsi="Times New Roman" w:eastAsia="仿宋_GB2312" w:cs="Times New Roman"/>
          <w:color w:val="auto"/>
          <w:spacing w:val="4"/>
          <w:sz w:val="32"/>
          <w:szCs w:val="32"/>
          <w:highlight w:val="none"/>
          <w:lang w:val="en-US" w:eastAsia="zh-CN"/>
        </w:rPr>
        <w:t>5</w:t>
      </w:r>
      <w:r>
        <w:rPr>
          <w:rFonts w:hint="default" w:ascii="Times New Roman" w:hAnsi="Times New Roman" w:eastAsia="仿宋_GB2312" w:cs="Times New Roman"/>
          <w:color w:val="auto"/>
          <w:spacing w:val="4"/>
          <w:sz w:val="32"/>
          <w:szCs w:val="32"/>
          <w:highlight w:val="none"/>
          <w:lang w:val="en-US" w:eastAsia="zh-CN"/>
        </w:rPr>
        <w:t>%（限额</w:t>
      </w:r>
      <w:r>
        <w:rPr>
          <w:rFonts w:hint="eastAsia" w:ascii="Times New Roman" w:hAnsi="Times New Roman" w:eastAsia="仿宋_GB2312" w:cs="Times New Roman"/>
          <w:color w:val="auto"/>
          <w:spacing w:val="4"/>
          <w:sz w:val="32"/>
          <w:szCs w:val="32"/>
          <w:highlight w:val="none"/>
          <w:lang w:val="en-US" w:eastAsia="zh-CN"/>
        </w:rPr>
        <w:t>1</w:t>
      </w:r>
      <w:r>
        <w:rPr>
          <w:rFonts w:hint="default" w:ascii="Times New Roman" w:hAnsi="Times New Roman" w:eastAsia="仿宋_GB2312" w:cs="Times New Roman"/>
          <w:color w:val="auto"/>
          <w:spacing w:val="4"/>
          <w:sz w:val="32"/>
          <w:szCs w:val="32"/>
          <w:highlight w:val="none"/>
          <w:lang w:val="en-US" w:eastAsia="zh-CN"/>
        </w:rPr>
        <w:t>0万元）的共有产权份额支持</w:t>
      </w:r>
      <w:r>
        <w:rPr>
          <w:rFonts w:hint="eastAsia" w:ascii="Times New Roman" w:hAnsi="Times New Roman" w:eastAsia="仿宋_GB2312" w:cs="Times New Roman"/>
          <w:color w:val="auto"/>
          <w:spacing w:val="4"/>
          <w:sz w:val="32"/>
          <w:szCs w:val="32"/>
          <w:highlight w:val="none"/>
          <w:lang w:val="en-US" w:eastAsia="zh-CN"/>
        </w:rPr>
        <w:t>。购房人需自购房合同签订之日起最长10年内回购该</w:t>
      </w:r>
      <w:r>
        <w:rPr>
          <w:rFonts w:hint="default" w:ascii="Times New Roman" w:hAnsi="Times New Roman" w:eastAsia="仿宋_GB2312" w:cs="Times New Roman"/>
          <w:color w:val="auto"/>
          <w:spacing w:val="4"/>
          <w:sz w:val="32"/>
          <w:szCs w:val="32"/>
          <w:highlight w:val="none"/>
          <w:lang w:val="en-US" w:eastAsia="zh-CN"/>
        </w:rPr>
        <w:t>共有产权</w:t>
      </w:r>
      <w:r>
        <w:rPr>
          <w:rFonts w:hint="eastAsia" w:ascii="Times New Roman" w:hAnsi="Times New Roman" w:eastAsia="仿宋_GB2312" w:cs="Times New Roman"/>
          <w:color w:val="auto"/>
          <w:spacing w:val="4"/>
          <w:sz w:val="32"/>
          <w:szCs w:val="32"/>
          <w:highlight w:val="none"/>
          <w:lang w:val="en-US" w:eastAsia="zh-CN"/>
        </w:rPr>
        <w:t>份额。</w:t>
      </w:r>
    </w:p>
    <w:p w14:paraId="6E92B755">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5</w:t>
      </w:r>
      <w:r>
        <w:rPr>
          <w:rFonts w:hint="default" w:ascii="Times New Roman" w:hAnsi="Times New Roman" w:eastAsia="仿宋_GB2312" w:cs="Times New Roman"/>
          <w:color w:val="auto"/>
          <w:spacing w:val="4"/>
          <w:sz w:val="32"/>
          <w:szCs w:val="32"/>
          <w:highlight w:val="none"/>
          <w:lang w:val="en-US" w:eastAsia="zh-CN"/>
        </w:rPr>
        <w:t>.属于在泉州市申报认定的认期内</w:t>
      </w:r>
      <w:r>
        <w:rPr>
          <w:rFonts w:hint="eastAsia" w:ascii="Times New Roman" w:hAnsi="Times New Roman" w:eastAsia="仿宋_GB2312" w:cs="Times New Roman"/>
          <w:color w:val="auto"/>
          <w:spacing w:val="4"/>
          <w:sz w:val="32"/>
          <w:szCs w:val="32"/>
          <w:highlight w:val="none"/>
          <w:lang w:val="en-US" w:eastAsia="zh-CN"/>
        </w:rPr>
        <w:t>第七、第六、</w:t>
      </w:r>
      <w:r>
        <w:rPr>
          <w:rFonts w:hint="default" w:ascii="Times New Roman" w:hAnsi="Times New Roman" w:eastAsia="仿宋_GB2312" w:cs="Times New Roman"/>
          <w:color w:val="auto"/>
          <w:spacing w:val="4"/>
          <w:sz w:val="32"/>
          <w:szCs w:val="32"/>
          <w:highlight w:val="none"/>
          <w:lang w:val="en-US" w:eastAsia="zh-CN"/>
        </w:rPr>
        <w:t>第五、第四、第三</w:t>
      </w:r>
      <w:r>
        <w:rPr>
          <w:rFonts w:hint="eastAsia" w:ascii="Times New Roman" w:hAnsi="Times New Roman" w:eastAsia="仿宋_GB2312" w:cs="Times New Roman"/>
          <w:color w:val="auto"/>
          <w:spacing w:val="4"/>
          <w:sz w:val="32"/>
          <w:szCs w:val="32"/>
          <w:highlight w:val="none"/>
          <w:lang w:val="en-US" w:eastAsia="zh-CN"/>
        </w:rPr>
        <w:t>、</w:t>
      </w:r>
      <w:r>
        <w:rPr>
          <w:rFonts w:hint="default" w:ascii="Times New Roman" w:hAnsi="Times New Roman" w:eastAsia="仿宋_GB2312" w:cs="Times New Roman"/>
          <w:color w:val="auto"/>
          <w:spacing w:val="4"/>
          <w:sz w:val="32"/>
          <w:szCs w:val="32"/>
          <w:highlight w:val="none"/>
          <w:lang w:val="en-US" w:eastAsia="zh-CN"/>
        </w:rPr>
        <w:t>第二、第一层次外来人才购买我县“共有产权”住房，可在原有政策支持基础上，分别再享受购房总价</w:t>
      </w:r>
      <w:r>
        <w:rPr>
          <w:rFonts w:hint="eastAsia" w:ascii="Times New Roman" w:hAnsi="Times New Roman" w:eastAsia="仿宋_GB2312" w:cs="Times New Roman"/>
          <w:color w:val="auto"/>
          <w:spacing w:val="4"/>
          <w:sz w:val="32"/>
          <w:szCs w:val="32"/>
          <w:highlight w:val="none"/>
          <w:lang w:val="en-US" w:eastAsia="zh-CN"/>
        </w:rPr>
        <w:t>2</w:t>
      </w:r>
      <w:r>
        <w:rPr>
          <w:rFonts w:hint="default" w:ascii="Times New Roman" w:hAnsi="Times New Roman" w:eastAsia="仿宋_GB2312" w:cs="Times New Roman"/>
          <w:color w:val="auto"/>
          <w:spacing w:val="4"/>
          <w:sz w:val="32"/>
          <w:szCs w:val="32"/>
          <w:highlight w:val="none"/>
          <w:lang w:val="en-US" w:eastAsia="zh-CN"/>
        </w:rPr>
        <w:t>%（限额4万元）</w:t>
      </w:r>
      <w:r>
        <w:rPr>
          <w:rFonts w:hint="eastAsia" w:ascii="Times New Roman" w:hAnsi="Times New Roman" w:eastAsia="仿宋_GB2312" w:cs="Times New Roman"/>
          <w:color w:val="auto"/>
          <w:spacing w:val="4"/>
          <w:sz w:val="32"/>
          <w:szCs w:val="32"/>
          <w:highlight w:val="none"/>
          <w:lang w:val="en-US" w:eastAsia="zh-CN"/>
        </w:rPr>
        <w:t>、4</w:t>
      </w:r>
      <w:r>
        <w:rPr>
          <w:rFonts w:hint="default" w:ascii="Times New Roman" w:hAnsi="Times New Roman" w:eastAsia="仿宋_GB2312" w:cs="Times New Roman"/>
          <w:color w:val="auto"/>
          <w:spacing w:val="4"/>
          <w:sz w:val="32"/>
          <w:szCs w:val="32"/>
          <w:highlight w:val="none"/>
          <w:lang w:val="en-US" w:eastAsia="zh-CN"/>
        </w:rPr>
        <w:t>%（限额</w:t>
      </w:r>
      <w:r>
        <w:rPr>
          <w:rFonts w:hint="eastAsia" w:ascii="Times New Roman" w:hAnsi="Times New Roman" w:eastAsia="仿宋_GB2312" w:cs="Times New Roman"/>
          <w:color w:val="auto"/>
          <w:spacing w:val="4"/>
          <w:sz w:val="32"/>
          <w:szCs w:val="32"/>
          <w:highlight w:val="none"/>
          <w:lang w:val="en-US" w:eastAsia="zh-CN"/>
        </w:rPr>
        <w:t>8</w:t>
      </w:r>
      <w:r>
        <w:rPr>
          <w:rFonts w:hint="default" w:ascii="Times New Roman" w:hAnsi="Times New Roman" w:eastAsia="仿宋_GB2312" w:cs="Times New Roman"/>
          <w:color w:val="auto"/>
          <w:spacing w:val="4"/>
          <w:sz w:val="32"/>
          <w:szCs w:val="32"/>
          <w:highlight w:val="none"/>
          <w:lang w:val="en-US" w:eastAsia="zh-CN"/>
        </w:rPr>
        <w:t>万元）、</w:t>
      </w:r>
      <w:r>
        <w:rPr>
          <w:rFonts w:hint="eastAsia" w:ascii="Times New Roman" w:hAnsi="Times New Roman" w:eastAsia="仿宋_GB2312" w:cs="Times New Roman"/>
          <w:color w:val="auto"/>
          <w:spacing w:val="4"/>
          <w:sz w:val="32"/>
          <w:szCs w:val="32"/>
          <w:highlight w:val="none"/>
          <w:lang w:val="en-US" w:eastAsia="zh-CN"/>
        </w:rPr>
        <w:t>6</w:t>
      </w:r>
      <w:r>
        <w:rPr>
          <w:rFonts w:hint="default" w:ascii="Times New Roman" w:hAnsi="Times New Roman" w:eastAsia="仿宋_GB2312" w:cs="Times New Roman"/>
          <w:color w:val="auto"/>
          <w:spacing w:val="4"/>
          <w:sz w:val="32"/>
          <w:szCs w:val="32"/>
          <w:highlight w:val="none"/>
          <w:lang w:val="en-US" w:eastAsia="zh-CN"/>
        </w:rPr>
        <w:t>%（限额</w:t>
      </w:r>
      <w:r>
        <w:rPr>
          <w:rFonts w:hint="eastAsia" w:ascii="Times New Roman" w:hAnsi="Times New Roman" w:eastAsia="仿宋_GB2312" w:cs="Times New Roman"/>
          <w:color w:val="auto"/>
          <w:spacing w:val="4"/>
          <w:sz w:val="32"/>
          <w:szCs w:val="32"/>
          <w:highlight w:val="none"/>
          <w:lang w:val="en-US" w:eastAsia="zh-CN"/>
        </w:rPr>
        <w:t>12</w:t>
      </w:r>
      <w:r>
        <w:rPr>
          <w:rFonts w:hint="default" w:ascii="Times New Roman" w:hAnsi="Times New Roman" w:eastAsia="仿宋_GB2312" w:cs="Times New Roman"/>
          <w:color w:val="auto"/>
          <w:spacing w:val="4"/>
          <w:sz w:val="32"/>
          <w:szCs w:val="32"/>
          <w:highlight w:val="none"/>
          <w:lang w:val="en-US" w:eastAsia="zh-CN"/>
        </w:rPr>
        <w:t>万元）、</w:t>
      </w:r>
      <w:r>
        <w:rPr>
          <w:rFonts w:hint="eastAsia" w:ascii="Times New Roman" w:hAnsi="Times New Roman" w:eastAsia="仿宋_GB2312" w:cs="Times New Roman"/>
          <w:color w:val="auto"/>
          <w:spacing w:val="4"/>
          <w:sz w:val="32"/>
          <w:szCs w:val="32"/>
          <w:highlight w:val="none"/>
          <w:lang w:val="en-US" w:eastAsia="zh-CN"/>
        </w:rPr>
        <w:t>8</w:t>
      </w:r>
      <w:r>
        <w:rPr>
          <w:rFonts w:hint="default" w:ascii="Times New Roman" w:hAnsi="Times New Roman" w:eastAsia="仿宋_GB2312" w:cs="Times New Roman"/>
          <w:color w:val="auto"/>
          <w:spacing w:val="4"/>
          <w:sz w:val="32"/>
          <w:szCs w:val="32"/>
          <w:highlight w:val="none"/>
          <w:lang w:val="en-US" w:eastAsia="zh-CN"/>
        </w:rPr>
        <w:t>%（限额1</w:t>
      </w:r>
      <w:r>
        <w:rPr>
          <w:rFonts w:hint="eastAsia" w:ascii="Times New Roman" w:hAnsi="Times New Roman" w:eastAsia="仿宋_GB2312" w:cs="Times New Roman"/>
          <w:color w:val="auto"/>
          <w:spacing w:val="4"/>
          <w:sz w:val="32"/>
          <w:szCs w:val="32"/>
          <w:highlight w:val="none"/>
          <w:lang w:val="en-US" w:eastAsia="zh-CN"/>
        </w:rPr>
        <w:t>6</w:t>
      </w:r>
      <w:r>
        <w:rPr>
          <w:rFonts w:hint="default" w:ascii="Times New Roman" w:hAnsi="Times New Roman" w:eastAsia="仿宋_GB2312" w:cs="Times New Roman"/>
          <w:color w:val="auto"/>
          <w:spacing w:val="4"/>
          <w:sz w:val="32"/>
          <w:szCs w:val="32"/>
          <w:highlight w:val="none"/>
          <w:lang w:val="en-US" w:eastAsia="zh-CN"/>
        </w:rPr>
        <w:t>万元）、</w:t>
      </w:r>
      <w:r>
        <w:rPr>
          <w:rFonts w:hint="eastAsia" w:ascii="Times New Roman" w:hAnsi="Times New Roman" w:eastAsia="仿宋_GB2312" w:cs="Times New Roman"/>
          <w:color w:val="auto"/>
          <w:spacing w:val="4"/>
          <w:sz w:val="32"/>
          <w:szCs w:val="32"/>
          <w:highlight w:val="none"/>
          <w:lang w:val="en-US" w:eastAsia="zh-CN"/>
        </w:rPr>
        <w:t>10</w:t>
      </w:r>
      <w:r>
        <w:rPr>
          <w:rFonts w:hint="default" w:ascii="Times New Roman" w:hAnsi="Times New Roman" w:eastAsia="仿宋_GB2312" w:cs="Times New Roman"/>
          <w:color w:val="auto"/>
          <w:spacing w:val="4"/>
          <w:sz w:val="32"/>
          <w:szCs w:val="32"/>
          <w:highlight w:val="none"/>
          <w:lang w:val="en-US" w:eastAsia="zh-CN"/>
        </w:rPr>
        <w:t>%（限额</w:t>
      </w:r>
      <w:r>
        <w:rPr>
          <w:rFonts w:hint="eastAsia" w:ascii="Times New Roman" w:hAnsi="Times New Roman" w:eastAsia="仿宋_GB2312" w:cs="Times New Roman"/>
          <w:color w:val="auto"/>
          <w:spacing w:val="4"/>
          <w:sz w:val="32"/>
          <w:szCs w:val="32"/>
          <w:highlight w:val="none"/>
          <w:lang w:val="en-US" w:eastAsia="zh-CN"/>
        </w:rPr>
        <w:t>20</w:t>
      </w:r>
      <w:r>
        <w:rPr>
          <w:rFonts w:hint="default" w:ascii="Times New Roman" w:hAnsi="Times New Roman" w:eastAsia="仿宋_GB2312" w:cs="Times New Roman"/>
          <w:color w:val="auto"/>
          <w:spacing w:val="4"/>
          <w:sz w:val="32"/>
          <w:szCs w:val="32"/>
          <w:highlight w:val="none"/>
          <w:lang w:val="en-US" w:eastAsia="zh-CN"/>
        </w:rPr>
        <w:t>万元）、</w:t>
      </w:r>
      <w:r>
        <w:rPr>
          <w:rFonts w:hint="eastAsia" w:ascii="Times New Roman" w:hAnsi="Times New Roman" w:eastAsia="仿宋_GB2312" w:cs="Times New Roman"/>
          <w:color w:val="auto"/>
          <w:spacing w:val="4"/>
          <w:sz w:val="32"/>
          <w:szCs w:val="32"/>
          <w:highlight w:val="none"/>
          <w:lang w:val="en-US" w:eastAsia="zh-CN"/>
        </w:rPr>
        <w:t>15</w:t>
      </w:r>
      <w:r>
        <w:rPr>
          <w:rFonts w:hint="default" w:ascii="Times New Roman" w:hAnsi="Times New Roman" w:eastAsia="仿宋_GB2312" w:cs="Times New Roman"/>
          <w:color w:val="auto"/>
          <w:spacing w:val="4"/>
          <w:sz w:val="32"/>
          <w:szCs w:val="32"/>
          <w:highlight w:val="none"/>
          <w:lang w:val="en-US" w:eastAsia="zh-CN"/>
        </w:rPr>
        <w:t>%（限额</w:t>
      </w:r>
      <w:r>
        <w:rPr>
          <w:rFonts w:hint="eastAsia" w:ascii="Times New Roman" w:hAnsi="Times New Roman" w:eastAsia="仿宋_GB2312" w:cs="Times New Roman"/>
          <w:color w:val="auto"/>
          <w:spacing w:val="4"/>
          <w:sz w:val="32"/>
          <w:szCs w:val="32"/>
          <w:highlight w:val="none"/>
          <w:lang w:val="en-US" w:eastAsia="zh-CN"/>
        </w:rPr>
        <w:t>3</w:t>
      </w:r>
      <w:r>
        <w:rPr>
          <w:rFonts w:hint="default" w:ascii="Times New Roman" w:hAnsi="Times New Roman" w:eastAsia="仿宋_GB2312" w:cs="Times New Roman"/>
          <w:color w:val="auto"/>
          <w:spacing w:val="4"/>
          <w:sz w:val="32"/>
          <w:szCs w:val="32"/>
          <w:highlight w:val="none"/>
          <w:lang w:val="en-US" w:eastAsia="zh-CN"/>
        </w:rPr>
        <w:t>0万元）</w:t>
      </w:r>
      <w:r>
        <w:rPr>
          <w:rFonts w:hint="eastAsia" w:ascii="Times New Roman" w:hAnsi="Times New Roman" w:eastAsia="仿宋_GB2312" w:cs="Times New Roman"/>
          <w:color w:val="auto"/>
          <w:spacing w:val="4"/>
          <w:sz w:val="32"/>
          <w:szCs w:val="32"/>
          <w:highlight w:val="none"/>
          <w:lang w:val="en-US" w:eastAsia="zh-CN"/>
        </w:rPr>
        <w:t>、20</w:t>
      </w:r>
      <w:r>
        <w:rPr>
          <w:rFonts w:hint="default" w:ascii="Times New Roman" w:hAnsi="Times New Roman" w:eastAsia="仿宋_GB2312" w:cs="Times New Roman"/>
          <w:color w:val="auto"/>
          <w:spacing w:val="4"/>
          <w:sz w:val="32"/>
          <w:szCs w:val="32"/>
          <w:highlight w:val="none"/>
          <w:lang w:val="en-US" w:eastAsia="zh-CN"/>
        </w:rPr>
        <w:t>%（限额40万元）的共有产权份额支持。针对本条款新增的共有产权支持份额，各类外地来德人才在购房后，定居每满1年，可分别减免购房总价的0.2%（限额0.4万元）、0.</w:t>
      </w:r>
      <w:r>
        <w:rPr>
          <w:rFonts w:hint="eastAsia" w:ascii="Times New Roman" w:hAnsi="Times New Roman" w:eastAsia="仿宋_GB2312" w:cs="Times New Roman"/>
          <w:color w:val="auto"/>
          <w:spacing w:val="4"/>
          <w:sz w:val="32"/>
          <w:szCs w:val="32"/>
          <w:highlight w:val="none"/>
          <w:lang w:val="en-US" w:eastAsia="zh-CN"/>
        </w:rPr>
        <w:t>4</w:t>
      </w:r>
      <w:r>
        <w:rPr>
          <w:rFonts w:hint="default" w:ascii="Times New Roman" w:hAnsi="Times New Roman" w:eastAsia="仿宋_GB2312" w:cs="Times New Roman"/>
          <w:color w:val="auto"/>
          <w:spacing w:val="4"/>
          <w:sz w:val="32"/>
          <w:szCs w:val="32"/>
          <w:highlight w:val="none"/>
          <w:lang w:val="en-US" w:eastAsia="zh-CN"/>
        </w:rPr>
        <w:t>%（限额</w:t>
      </w:r>
      <w:r>
        <w:rPr>
          <w:rFonts w:hint="eastAsia" w:ascii="Times New Roman" w:hAnsi="Times New Roman" w:eastAsia="仿宋_GB2312" w:cs="Times New Roman"/>
          <w:color w:val="auto"/>
          <w:spacing w:val="4"/>
          <w:sz w:val="32"/>
          <w:szCs w:val="32"/>
          <w:highlight w:val="none"/>
          <w:lang w:val="en-US" w:eastAsia="zh-CN"/>
        </w:rPr>
        <w:t>0.8</w:t>
      </w:r>
      <w:r>
        <w:rPr>
          <w:rFonts w:hint="default" w:ascii="Times New Roman" w:hAnsi="Times New Roman" w:eastAsia="仿宋_GB2312" w:cs="Times New Roman"/>
          <w:color w:val="auto"/>
          <w:spacing w:val="4"/>
          <w:sz w:val="32"/>
          <w:szCs w:val="32"/>
          <w:highlight w:val="none"/>
          <w:lang w:val="en-US" w:eastAsia="zh-CN"/>
        </w:rPr>
        <w:t>万元）、0.</w:t>
      </w:r>
      <w:r>
        <w:rPr>
          <w:rFonts w:hint="eastAsia" w:ascii="Times New Roman" w:hAnsi="Times New Roman" w:eastAsia="仿宋_GB2312" w:cs="Times New Roman"/>
          <w:color w:val="auto"/>
          <w:spacing w:val="4"/>
          <w:sz w:val="32"/>
          <w:szCs w:val="32"/>
          <w:highlight w:val="none"/>
          <w:lang w:val="en-US" w:eastAsia="zh-CN"/>
        </w:rPr>
        <w:t>6</w:t>
      </w:r>
      <w:r>
        <w:rPr>
          <w:rFonts w:hint="default" w:ascii="Times New Roman" w:hAnsi="Times New Roman" w:eastAsia="仿宋_GB2312" w:cs="Times New Roman"/>
          <w:color w:val="auto"/>
          <w:spacing w:val="4"/>
          <w:sz w:val="32"/>
          <w:szCs w:val="32"/>
          <w:highlight w:val="none"/>
          <w:lang w:val="en-US" w:eastAsia="zh-CN"/>
        </w:rPr>
        <w:t>%（限额1.</w:t>
      </w:r>
      <w:r>
        <w:rPr>
          <w:rFonts w:hint="eastAsia" w:ascii="Times New Roman" w:hAnsi="Times New Roman" w:eastAsia="仿宋_GB2312" w:cs="Times New Roman"/>
          <w:color w:val="auto"/>
          <w:spacing w:val="4"/>
          <w:sz w:val="32"/>
          <w:szCs w:val="32"/>
          <w:highlight w:val="none"/>
          <w:lang w:val="en-US" w:eastAsia="zh-CN"/>
        </w:rPr>
        <w:t>2</w:t>
      </w:r>
      <w:r>
        <w:rPr>
          <w:rFonts w:hint="default" w:ascii="Times New Roman" w:hAnsi="Times New Roman" w:eastAsia="仿宋_GB2312" w:cs="Times New Roman"/>
          <w:color w:val="auto"/>
          <w:spacing w:val="4"/>
          <w:sz w:val="32"/>
          <w:szCs w:val="32"/>
          <w:highlight w:val="none"/>
          <w:lang w:val="en-US" w:eastAsia="zh-CN"/>
        </w:rPr>
        <w:t>万元）、</w:t>
      </w:r>
      <w:r>
        <w:rPr>
          <w:rFonts w:hint="eastAsia" w:ascii="Times New Roman" w:hAnsi="Times New Roman" w:eastAsia="仿宋_GB2312" w:cs="Times New Roman"/>
          <w:color w:val="auto"/>
          <w:spacing w:val="4"/>
          <w:sz w:val="32"/>
          <w:szCs w:val="32"/>
          <w:highlight w:val="none"/>
          <w:lang w:val="en-US" w:eastAsia="zh-CN"/>
        </w:rPr>
        <w:t>0.8</w:t>
      </w:r>
      <w:r>
        <w:rPr>
          <w:rFonts w:hint="default" w:ascii="Times New Roman" w:hAnsi="Times New Roman" w:eastAsia="仿宋_GB2312" w:cs="Times New Roman"/>
          <w:color w:val="auto"/>
          <w:spacing w:val="4"/>
          <w:sz w:val="32"/>
          <w:szCs w:val="32"/>
          <w:highlight w:val="none"/>
          <w:lang w:val="en-US" w:eastAsia="zh-CN"/>
        </w:rPr>
        <w:t>%（限额</w:t>
      </w:r>
      <w:r>
        <w:rPr>
          <w:rFonts w:hint="eastAsia" w:ascii="Times New Roman" w:hAnsi="Times New Roman" w:eastAsia="仿宋_GB2312" w:cs="Times New Roman"/>
          <w:color w:val="auto"/>
          <w:spacing w:val="4"/>
          <w:sz w:val="32"/>
          <w:szCs w:val="32"/>
          <w:highlight w:val="none"/>
          <w:lang w:val="en-US" w:eastAsia="zh-CN"/>
        </w:rPr>
        <w:t>1.6</w:t>
      </w:r>
      <w:r>
        <w:rPr>
          <w:rFonts w:hint="default" w:ascii="Times New Roman" w:hAnsi="Times New Roman" w:eastAsia="仿宋_GB2312" w:cs="Times New Roman"/>
          <w:color w:val="auto"/>
          <w:spacing w:val="4"/>
          <w:sz w:val="32"/>
          <w:szCs w:val="32"/>
          <w:highlight w:val="none"/>
          <w:lang w:val="en-US" w:eastAsia="zh-CN"/>
        </w:rPr>
        <w:t>万元）、</w:t>
      </w:r>
      <w:r>
        <w:rPr>
          <w:rFonts w:hint="eastAsia" w:ascii="Times New Roman" w:hAnsi="Times New Roman" w:eastAsia="仿宋_GB2312" w:cs="Times New Roman"/>
          <w:color w:val="auto"/>
          <w:spacing w:val="4"/>
          <w:sz w:val="32"/>
          <w:szCs w:val="32"/>
          <w:highlight w:val="none"/>
          <w:lang w:val="en-US" w:eastAsia="zh-CN"/>
        </w:rPr>
        <w:t>1</w:t>
      </w:r>
      <w:r>
        <w:rPr>
          <w:rFonts w:hint="default" w:ascii="Times New Roman" w:hAnsi="Times New Roman" w:eastAsia="仿宋_GB2312" w:cs="Times New Roman"/>
          <w:color w:val="auto"/>
          <w:spacing w:val="4"/>
          <w:sz w:val="32"/>
          <w:szCs w:val="32"/>
          <w:highlight w:val="none"/>
          <w:lang w:val="en-US" w:eastAsia="zh-CN"/>
        </w:rPr>
        <w:t>%（限额</w:t>
      </w:r>
      <w:r>
        <w:rPr>
          <w:rFonts w:hint="eastAsia" w:ascii="Times New Roman" w:hAnsi="Times New Roman" w:eastAsia="仿宋_GB2312" w:cs="Times New Roman"/>
          <w:color w:val="auto"/>
          <w:spacing w:val="4"/>
          <w:sz w:val="32"/>
          <w:szCs w:val="32"/>
          <w:highlight w:val="none"/>
          <w:lang w:val="en-US" w:eastAsia="zh-CN"/>
        </w:rPr>
        <w:t>2</w:t>
      </w:r>
      <w:r>
        <w:rPr>
          <w:rFonts w:hint="default" w:ascii="Times New Roman" w:hAnsi="Times New Roman" w:eastAsia="仿宋_GB2312" w:cs="Times New Roman"/>
          <w:color w:val="auto"/>
          <w:spacing w:val="4"/>
          <w:sz w:val="32"/>
          <w:szCs w:val="32"/>
          <w:highlight w:val="none"/>
          <w:lang w:val="en-US" w:eastAsia="zh-CN"/>
        </w:rPr>
        <w:t>万元）</w:t>
      </w:r>
      <w:r>
        <w:rPr>
          <w:rFonts w:hint="eastAsia" w:ascii="Times New Roman" w:hAnsi="Times New Roman" w:eastAsia="仿宋_GB2312" w:cs="Times New Roman"/>
          <w:color w:val="auto"/>
          <w:spacing w:val="4"/>
          <w:sz w:val="32"/>
          <w:szCs w:val="32"/>
          <w:highlight w:val="none"/>
          <w:lang w:val="en-US" w:eastAsia="zh-CN"/>
        </w:rPr>
        <w:t>、1.5</w:t>
      </w:r>
      <w:r>
        <w:rPr>
          <w:rFonts w:hint="default" w:ascii="Times New Roman" w:hAnsi="Times New Roman" w:eastAsia="仿宋_GB2312" w:cs="Times New Roman"/>
          <w:color w:val="auto"/>
          <w:spacing w:val="4"/>
          <w:sz w:val="32"/>
          <w:szCs w:val="32"/>
          <w:highlight w:val="none"/>
          <w:lang w:val="en-US" w:eastAsia="zh-CN"/>
        </w:rPr>
        <w:t>%（限额</w:t>
      </w:r>
      <w:r>
        <w:rPr>
          <w:rFonts w:hint="eastAsia" w:ascii="Times New Roman" w:hAnsi="Times New Roman" w:eastAsia="仿宋_GB2312" w:cs="Times New Roman"/>
          <w:color w:val="auto"/>
          <w:spacing w:val="4"/>
          <w:sz w:val="32"/>
          <w:szCs w:val="32"/>
          <w:highlight w:val="none"/>
          <w:lang w:val="en-US" w:eastAsia="zh-CN"/>
        </w:rPr>
        <w:t>3</w:t>
      </w:r>
      <w:r>
        <w:rPr>
          <w:rFonts w:hint="default" w:ascii="Times New Roman" w:hAnsi="Times New Roman" w:eastAsia="仿宋_GB2312" w:cs="Times New Roman"/>
          <w:color w:val="auto"/>
          <w:spacing w:val="4"/>
          <w:sz w:val="32"/>
          <w:szCs w:val="32"/>
          <w:highlight w:val="none"/>
          <w:lang w:val="en-US" w:eastAsia="zh-CN"/>
        </w:rPr>
        <w:t>万元）</w:t>
      </w:r>
      <w:r>
        <w:rPr>
          <w:rFonts w:hint="eastAsia" w:ascii="Times New Roman" w:hAnsi="Times New Roman" w:eastAsia="仿宋_GB2312" w:cs="Times New Roman"/>
          <w:color w:val="auto"/>
          <w:spacing w:val="4"/>
          <w:sz w:val="32"/>
          <w:szCs w:val="32"/>
          <w:highlight w:val="none"/>
          <w:lang w:val="en-US" w:eastAsia="zh-CN"/>
        </w:rPr>
        <w:t>、2</w:t>
      </w:r>
      <w:r>
        <w:rPr>
          <w:rFonts w:hint="default" w:ascii="Times New Roman" w:hAnsi="Times New Roman" w:eastAsia="仿宋_GB2312" w:cs="Times New Roman"/>
          <w:color w:val="auto"/>
          <w:spacing w:val="4"/>
          <w:sz w:val="32"/>
          <w:szCs w:val="32"/>
          <w:highlight w:val="none"/>
          <w:lang w:val="en-US" w:eastAsia="zh-CN"/>
        </w:rPr>
        <w:t>%（限额4万元）的共有产权</w:t>
      </w:r>
      <w:r>
        <w:rPr>
          <w:rFonts w:hint="eastAsia" w:ascii="Times New Roman" w:hAnsi="Times New Roman" w:eastAsia="仿宋_GB2312" w:cs="Times New Roman"/>
          <w:color w:val="auto"/>
          <w:spacing w:val="4"/>
          <w:sz w:val="32"/>
          <w:szCs w:val="32"/>
          <w:highlight w:val="none"/>
          <w:lang w:val="en-US" w:eastAsia="zh-CN"/>
        </w:rPr>
        <w:t>份额</w:t>
      </w:r>
      <w:r>
        <w:rPr>
          <w:rFonts w:hint="default" w:ascii="Times New Roman" w:hAnsi="Times New Roman" w:eastAsia="仿宋_GB2312" w:cs="Times New Roman"/>
          <w:color w:val="auto"/>
          <w:spacing w:val="4"/>
          <w:sz w:val="32"/>
          <w:szCs w:val="32"/>
          <w:highlight w:val="none"/>
          <w:lang w:val="en-US" w:eastAsia="zh-CN"/>
        </w:rPr>
        <w:t>回购</w:t>
      </w:r>
      <w:r>
        <w:rPr>
          <w:rFonts w:hint="eastAsia" w:ascii="Times New Roman" w:hAnsi="Times New Roman" w:eastAsia="仿宋_GB2312" w:cs="Times New Roman"/>
          <w:color w:val="auto"/>
          <w:spacing w:val="4"/>
          <w:sz w:val="32"/>
          <w:szCs w:val="32"/>
          <w:highlight w:val="none"/>
          <w:lang w:val="en-US" w:eastAsia="zh-CN"/>
        </w:rPr>
        <w:t>金额</w:t>
      </w:r>
      <w:r>
        <w:rPr>
          <w:rFonts w:hint="default" w:ascii="Times New Roman" w:hAnsi="Times New Roman" w:eastAsia="仿宋_GB2312" w:cs="Times New Roman"/>
          <w:color w:val="auto"/>
          <w:spacing w:val="4"/>
          <w:sz w:val="32"/>
          <w:szCs w:val="32"/>
          <w:highlight w:val="none"/>
          <w:lang w:val="en-US" w:eastAsia="zh-CN"/>
        </w:rPr>
        <w:t>，累计减免年限封顶</w:t>
      </w:r>
      <w:r>
        <w:rPr>
          <w:rFonts w:hint="eastAsia" w:ascii="Times New Roman" w:hAnsi="Times New Roman" w:eastAsia="仿宋_GB2312" w:cs="Times New Roman"/>
          <w:color w:val="auto"/>
          <w:spacing w:val="4"/>
          <w:sz w:val="32"/>
          <w:szCs w:val="32"/>
          <w:highlight w:val="none"/>
          <w:lang w:val="en-US" w:eastAsia="zh-CN"/>
        </w:rPr>
        <w:t>10</w:t>
      </w:r>
      <w:r>
        <w:rPr>
          <w:rFonts w:hint="default" w:ascii="Times New Roman" w:hAnsi="Times New Roman" w:eastAsia="仿宋_GB2312" w:cs="Times New Roman"/>
          <w:color w:val="auto"/>
          <w:spacing w:val="4"/>
          <w:sz w:val="32"/>
          <w:szCs w:val="32"/>
          <w:highlight w:val="none"/>
          <w:lang w:val="en-US" w:eastAsia="zh-CN"/>
        </w:rPr>
        <w:t>年。</w:t>
      </w:r>
    </w:p>
    <w:p w14:paraId="6C32ED1C">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6</w:t>
      </w:r>
      <w:r>
        <w:rPr>
          <w:rFonts w:hint="default" w:ascii="Times New Roman" w:hAnsi="Times New Roman" w:eastAsia="仿宋_GB2312" w:cs="Times New Roman"/>
          <w:color w:val="auto"/>
          <w:spacing w:val="4"/>
          <w:sz w:val="32"/>
          <w:szCs w:val="32"/>
          <w:highlight w:val="none"/>
          <w:lang w:val="en-US" w:eastAsia="zh-CN"/>
        </w:rPr>
        <w:t>.生育二孩、二孩以上的非德化户籍家庭或个人购买我县“共有产权”住房，</w:t>
      </w:r>
      <w:r>
        <w:rPr>
          <w:rFonts w:hint="eastAsia" w:ascii="Times New Roman" w:hAnsi="Times New Roman" w:eastAsia="仿宋_GB2312" w:cs="Times New Roman"/>
          <w:color w:val="auto"/>
          <w:spacing w:val="4"/>
          <w:sz w:val="32"/>
          <w:szCs w:val="32"/>
          <w:highlight w:val="none"/>
          <w:lang w:val="en-US" w:eastAsia="zh-CN"/>
        </w:rPr>
        <w:t>可</w:t>
      </w:r>
      <w:r>
        <w:rPr>
          <w:rFonts w:hint="default" w:ascii="Times New Roman" w:hAnsi="Times New Roman" w:eastAsia="仿宋_GB2312" w:cs="Times New Roman"/>
          <w:color w:val="auto"/>
          <w:spacing w:val="4"/>
          <w:sz w:val="32"/>
          <w:szCs w:val="32"/>
          <w:highlight w:val="none"/>
          <w:lang w:val="en-US" w:eastAsia="zh-CN"/>
        </w:rPr>
        <w:t>在原有政策支持基础上，分别再享受购房总价5%（限额10万元）、10%（限额20万元）的共有产权份额支持</w:t>
      </w:r>
      <w:r>
        <w:rPr>
          <w:rFonts w:hint="eastAsia" w:ascii="Times New Roman" w:hAnsi="Times New Roman" w:eastAsia="仿宋_GB2312" w:cs="Times New Roman"/>
          <w:color w:val="auto"/>
          <w:spacing w:val="4"/>
          <w:sz w:val="32"/>
          <w:szCs w:val="32"/>
          <w:highlight w:val="none"/>
          <w:lang w:val="en-US" w:eastAsia="zh-CN"/>
        </w:rPr>
        <w:t>。</w:t>
      </w:r>
      <w:r>
        <w:rPr>
          <w:rFonts w:hint="default" w:ascii="Times New Roman" w:hAnsi="Times New Roman" w:eastAsia="仿宋_GB2312" w:cs="Times New Roman"/>
          <w:color w:val="auto"/>
          <w:spacing w:val="4"/>
          <w:sz w:val="32"/>
          <w:szCs w:val="32"/>
          <w:highlight w:val="none"/>
          <w:lang w:val="en-US" w:eastAsia="zh-CN"/>
        </w:rPr>
        <w:t>针对本条款新增的共有产权份额支持</w:t>
      </w:r>
      <w:r>
        <w:rPr>
          <w:rFonts w:hint="eastAsia" w:ascii="Times New Roman" w:hAnsi="Times New Roman" w:eastAsia="仿宋_GB2312" w:cs="Times New Roman"/>
          <w:color w:val="auto"/>
          <w:spacing w:val="4"/>
          <w:sz w:val="32"/>
          <w:szCs w:val="32"/>
          <w:highlight w:val="none"/>
          <w:lang w:val="en-US" w:eastAsia="zh-CN"/>
        </w:rPr>
        <w:t>，</w:t>
      </w:r>
      <w:r>
        <w:rPr>
          <w:rFonts w:hint="default" w:ascii="Times New Roman" w:hAnsi="Times New Roman" w:eastAsia="仿宋_GB2312" w:cs="Times New Roman"/>
          <w:color w:val="auto"/>
          <w:spacing w:val="4"/>
          <w:sz w:val="32"/>
          <w:szCs w:val="32"/>
          <w:highlight w:val="none"/>
          <w:lang w:val="en-US" w:eastAsia="zh-CN"/>
        </w:rPr>
        <w:t>外来人员在购房后，定居每满1年，可分别减免购房总价的0.5%（二孩，限额1万元）和1%（二孩以上，限额2万元）的共有产权</w:t>
      </w:r>
      <w:r>
        <w:rPr>
          <w:rFonts w:hint="eastAsia" w:ascii="Times New Roman" w:hAnsi="Times New Roman" w:eastAsia="仿宋_GB2312" w:cs="Times New Roman"/>
          <w:color w:val="auto"/>
          <w:spacing w:val="4"/>
          <w:sz w:val="32"/>
          <w:szCs w:val="32"/>
          <w:highlight w:val="none"/>
          <w:lang w:val="en-US" w:eastAsia="zh-CN"/>
        </w:rPr>
        <w:t>份额</w:t>
      </w:r>
      <w:r>
        <w:rPr>
          <w:rFonts w:hint="default" w:ascii="Times New Roman" w:hAnsi="Times New Roman" w:eastAsia="仿宋_GB2312" w:cs="Times New Roman"/>
          <w:color w:val="auto"/>
          <w:spacing w:val="4"/>
          <w:sz w:val="32"/>
          <w:szCs w:val="32"/>
          <w:highlight w:val="none"/>
          <w:lang w:val="en-US" w:eastAsia="zh-CN"/>
        </w:rPr>
        <w:t>回购</w:t>
      </w:r>
      <w:r>
        <w:rPr>
          <w:rFonts w:hint="eastAsia" w:ascii="Times New Roman" w:hAnsi="Times New Roman" w:eastAsia="仿宋_GB2312" w:cs="Times New Roman"/>
          <w:color w:val="auto"/>
          <w:spacing w:val="4"/>
          <w:sz w:val="32"/>
          <w:szCs w:val="32"/>
          <w:highlight w:val="none"/>
          <w:lang w:val="en-US" w:eastAsia="zh-CN"/>
        </w:rPr>
        <w:t>金额</w:t>
      </w:r>
      <w:r>
        <w:rPr>
          <w:rFonts w:hint="default" w:ascii="Times New Roman" w:hAnsi="Times New Roman" w:eastAsia="仿宋_GB2312" w:cs="Times New Roman"/>
          <w:color w:val="auto"/>
          <w:spacing w:val="4"/>
          <w:sz w:val="32"/>
          <w:szCs w:val="32"/>
          <w:highlight w:val="none"/>
          <w:lang w:val="en-US" w:eastAsia="zh-CN"/>
        </w:rPr>
        <w:t>，累计减免年限封顶</w:t>
      </w:r>
      <w:r>
        <w:rPr>
          <w:rFonts w:hint="eastAsia" w:ascii="Times New Roman" w:hAnsi="Times New Roman" w:eastAsia="仿宋_GB2312" w:cs="Times New Roman"/>
          <w:color w:val="auto"/>
          <w:spacing w:val="4"/>
          <w:sz w:val="32"/>
          <w:szCs w:val="32"/>
          <w:highlight w:val="none"/>
          <w:lang w:val="en-US" w:eastAsia="zh-CN"/>
        </w:rPr>
        <w:t>10</w:t>
      </w:r>
      <w:r>
        <w:rPr>
          <w:rFonts w:hint="default" w:ascii="Times New Roman" w:hAnsi="Times New Roman" w:eastAsia="仿宋_GB2312" w:cs="Times New Roman"/>
          <w:color w:val="auto"/>
          <w:spacing w:val="4"/>
          <w:sz w:val="32"/>
          <w:szCs w:val="32"/>
          <w:highlight w:val="none"/>
          <w:lang w:val="en-US" w:eastAsia="zh-CN"/>
        </w:rPr>
        <w:t>年。</w:t>
      </w:r>
    </w:p>
    <w:p w14:paraId="5F372DFD">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7</w:t>
      </w:r>
      <w:r>
        <w:rPr>
          <w:rFonts w:hint="default" w:ascii="Times New Roman" w:hAnsi="Times New Roman" w:eastAsia="仿宋_GB2312" w:cs="Times New Roman"/>
          <w:color w:val="auto"/>
          <w:spacing w:val="4"/>
          <w:sz w:val="32"/>
          <w:szCs w:val="32"/>
          <w:highlight w:val="none"/>
          <w:lang w:val="en-US" w:eastAsia="zh-CN"/>
        </w:rPr>
        <w:t>.</w:t>
      </w:r>
      <w:r>
        <w:rPr>
          <w:rFonts w:hint="eastAsia" w:ascii="Times New Roman" w:hAnsi="Times New Roman" w:eastAsia="仿宋_GB2312" w:cs="Times New Roman"/>
          <w:color w:val="auto"/>
          <w:spacing w:val="4"/>
          <w:sz w:val="32"/>
          <w:szCs w:val="32"/>
          <w:highlight w:val="none"/>
          <w:lang w:val="en-US" w:eastAsia="zh-CN"/>
        </w:rPr>
        <w:t>非德化籍</w:t>
      </w:r>
      <w:r>
        <w:rPr>
          <w:rFonts w:hint="default" w:ascii="Times New Roman" w:hAnsi="Times New Roman" w:eastAsia="仿宋_GB2312" w:cs="Times New Roman"/>
          <w:color w:val="auto"/>
          <w:spacing w:val="4"/>
          <w:sz w:val="32"/>
          <w:szCs w:val="32"/>
          <w:highlight w:val="none"/>
          <w:lang w:val="en-US" w:eastAsia="zh-CN"/>
        </w:rPr>
        <w:t>外来家庭团体（</w:t>
      </w:r>
      <w:r>
        <w:rPr>
          <w:rFonts w:hint="eastAsia" w:ascii="Times New Roman" w:hAnsi="Times New Roman" w:eastAsia="仿宋_GB2312" w:cs="Times New Roman"/>
          <w:color w:val="auto"/>
          <w:spacing w:val="4"/>
          <w:sz w:val="32"/>
          <w:szCs w:val="32"/>
          <w:highlight w:val="none"/>
          <w:lang w:val="en-US" w:eastAsia="zh-CN"/>
        </w:rPr>
        <w:t>需</w:t>
      </w:r>
      <w:r>
        <w:rPr>
          <w:rFonts w:hint="default" w:ascii="Times New Roman" w:hAnsi="Times New Roman" w:eastAsia="仿宋_GB2312" w:cs="Times New Roman"/>
          <w:color w:val="auto"/>
          <w:spacing w:val="4"/>
          <w:sz w:val="32"/>
          <w:szCs w:val="32"/>
          <w:highlight w:val="none"/>
          <w:lang w:val="en-US" w:eastAsia="zh-CN"/>
        </w:rPr>
        <w:t>超10户</w:t>
      </w:r>
      <w:r>
        <w:rPr>
          <w:rFonts w:hint="eastAsia" w:ascii="Times New Roman" w:hAnsi="Times New Roman" w:eastAsia="仿宋_GB2312" w:cs="Times New Roman"/>
          <w:color w:val="auto"/>
          <w:spacing w:val="4"/>
          <w:sz w:val="32"/>
          <w:szCs w:val="32"/>
          <w:highlight w:val="none"/>
          <w:lang w:val="en-US" w:eastAsia="zh-CN"/>
        </w:rPr>
        <w:t>及以上</w:t>
      </w:r>
      <w:r>
        <w:rPr>
          <w:rFonts w:hint="default" w:ascii="Times New Roman" w:hAnsi="Times New Roman" w:eastAsia="仿宋_GB2312" w:cs="Times New Roman"/>
          <w:color w:val="auto"/>
          <w:spacing w:val="4"/>
          <w:sz w:val="32"/>
          <w:szCs w:val="32"/>
          <w:highlight w:val="none"/>
          <w:lang w:val="en-US" w:eastAsia="zh-CN"/>
        </w:rPr>
        <w:t>）购买我县“共有产权”住房，可在原有政策支持基础上，再享受购房总价10%（限额20万元）的共有产权份额支持</w:t>
      </w:r>
      <w:r>
        <w:rPr>
          <w:rFonts w:hint="eastAsia" w:ascii="Times New Roman" w:hAnsi="Times New Roman" w:eastAsia="仿宋_GB2312" w:cs="Times New Roman"/>
          <w:color w:val="auto"/>
          <w:spacing w:val="4"/>
          <w:sz w:val="32"/>
          <w:szCs w:val="32"/>
          <w:highlight w:val="none"/>
          <w:lang w:val="en-US" w:eastAsia="zh-CN"/>
        </w:rPr>
        <w:t>。购房人需自购房合同签订之日起最长10年内回购该共有产权份额。</w:t>
      </w:r>
    </w:p>
    <w:p w14:paraId="537D014B">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8.</w:t>
      </w:r>
      <w:r>
        <w:rPr>
          <w:rFonts w:hint="default" w:ascii="Times New Roman" w:hAnsi="Times New Roman" w:eastAsia="仿宋_GB2312" w:cs="Times New Roman"/>
          <w:color w:val="auto"/>
          <w:spacing w:val="4"/>
          <w:sz w:val="32"/>
          <w:szCs w:val="32"/>
          <w:highlight w:val="none"/>
          <w:lang w:val="en-US" w:eastAsia="zh-CN"/>
        </w:rPr>
        <w:t>对符合上述条款规定的外来家庭或个人，在购买我县“共有产权”住房时，可叠加享受本方案相关政策支持</w:t>
      </w:r>
      <w:r>
        <w:rPr>
          <w:rFonts w:hint="eastAsia" w:ascii="Times New Roman" w:hAnsi="Times New Roman" w:eastAsia="仿宋_GB2312" w:cs="Times New Roman"/>
          <w:color w:val="auto"/>
          <w:spacing w:val="4"/>
          <w:sz w:val="32"/>
          <w:szCs w:val="32"/>
          <w:highlight w:val="none"/>
          <w:lang w:val="en-US" w:eastAsia="zh-CN"/>
        </w:rPr>
        <w:t>。若购房人距法定退休年龄不满十年的，应在法定退休时间点前回购实施主体共有产权份额；减免份额的起始认定时间，从所购房屋的不动产权证印发之日起计算，若购房人距法定退休年龄不满十年的，截止至法定退休时间点前；如若夫妻共同购买共有产权房源，按其中离法定退休剩余期限更长的一方执行。在未回购上述份额前，购房人不得转让或继押其自持产权。</w:t>
      </w:r>
      <w:r>
        <w:rPr>
          <w:rFonts w:hint="default" w:ascii="Times New Roman" w:hAnsi="Times New Roman" w:eastAsia="仿宋_GB2312" w:cs="Times New Roman"/>
          <w:color w:val="auto"/>
          <w:spacing w:val="4"/>
          <w:sz w:val="32"/>
          <w:szCs w:val="32"/>
          <w:highlight w:val="none"/>
          <w:lang w:val="en-US" w:eastAsia="zh-CN"/>
        </w:rPr>
        <w:t>由县财政</w:t>
      </w:r>
      <w:r>
        <w:rPr>
          <w:rFonts w:hint="eastAsia" w:ascii="Times New Roman" w:hAnsi="Times New Roman" w:eastAsia="仿宋_GB2312" w:cs="Times New Roman"/>
          <w:color w:val="auto"/>
          <w:spacing w:val="4"/>
          <w:sz w:val="32"/>
          <w:szCs w:val="32"/>
          <w:highlight w:val="none"/>
          <w:lang w:val="en-US" w:eastAsia="zh-CN"/>
        </w:rPr>
        <w:t>局、住建局牵头有关部门</w:t>
      </w:r>
      <w:r>
        <w:rPr>
          <w:rFonts w:hint="default" w:ascii="Times New Roman" w:hAnsi="Times New Roman" w:eastAsia="仿宋_GB2312" w:cs="Times New Roman"/>
          <w:color w:val="auto"/>
          <w:spacing w:val="4"/>
          <w:sz w:val="32"/>
          <w:szCs w:val="32"/>
          <w:highlight w:val="none"/>
          <w:lang w:val="en-US" w:eastAsia="zh-CN"/>
        </w:rPr>
        <w:t>统筹保障</w:t>
      </w:r>
      <w:r>
        <w:rPr>
          <w:rFonts w:hint="eastAsia" w:ascii="Times New Roman" w:hAnsi="Times New Roman" w:eastAsia="仿宋_GB2312" w:cs="Times New Roman"/>
          <w:color w:val="auto"/>
          <w:spacing w:val="4"/>
          <w:sz w:val="32"/>
          <w:szCs w:val="32"/>
          <w:highlight w:val="none"/>
          <w:lang w:val="en-US" w:eastAsia="zh-CN"/>
        </w:rPr>
        <w:t>“共有产权”住房房票兑付和减免工作，探索</w:t>
      </w:r>
      <w:r>
        <w:rPr>
          <w:rFonts w:hint="default" w:ascii="Times New Roman" w:hAnsi="Times New Roman" w:eastAsia="仿宋_GB2312" w:cs="Times New Roman"/>
          <w:color w:val="auto"/>
          <w:spacing w:val="4"/>
          <w:sz w:val="32"/>
          <w:szCs w:val="32"/>
          <w:highlight w:val="none"/>
          <w:lang w:val="en-US" w:eastAsia="zh-CN"/>
        </w:rPr>
        <w:t>通过将</w:t>
      </w:r>
      <w:r>
        <w:rPr>
          <w:rFonts w:hint="eastAsia" w:ascii="Times New Roman" w:hAnsi="Times New Roman" w:eastAsia="仿宋_GB2312" w:cs="Times New Roman"/>
          <w:color w:val="auto"/>
          <w:spacing w:val="4"/>
          <w:sz w:val="32"/>
          <w:szCs w:val="32"/>
          <w:highlight w:val="none"/>
          <w:lang w:val="en-US" w:eastAsia="zh-CN"/>
        </w:rPr>
        <w:t>“共有产权”住房政策实施主体（如德化工业园区开发投资有限公司等）持有的</w:t>
      </w:r>
      <w:r>
        <w:rPr>
          <w:rFonts w:hint="default" w:ascii="Times New Roman" w:hAnsi="Times New Roman" w:eastAsia="仿宋_GB2312" w:cs="Times New Roman"/>
          <w:color w:val="auto"/>
          <w:spacing w:val="4"/>
          <w:sz w:val="32"/>
          <w:szCs w:val="32"/>
          <w:highlight w:val="none"/>
          <w:lang w:val="en-US" w:eastAsia="zh-CN"/>
        </w:rPr>
        <w:t>共有产权份额进行抵押</w:t>
      </w:r>
      <w:r>
        <w:rPr>
          <w:rFonts w:hint="eastAsia" w:ascii="Times New Roman" w:hAnsi="Times New Roman" w:eastAsia="仿宋_GB2312" w:cs="Times New Roman"/>
          <w:color w:val="auto"/>
          <w:spacing w:val="4"/>
          <w:sz w:val="32"/>
          <w:szCs w:val="32"/>
          <w:highlight w:val="none"/>
          <w:lang w:val="en-US" w:eastAsia="zh-CN"/>
        </w:rPr>
        <w:t>贷款或打包</w:t>
      </w:r>
      <w:r>
        <w:rPr>
          <w:rFonts w:hint="default" w:ascii="Times New Roman" w:hAnsi="Times New Roman" w:eastAsia="仿宋_GB2312" w:cs="Times New Roman"/>
          <w:color w:val="auto"/>
          <w:spacing w:val="4"/>
          <w:sz w:val="32"/>
          <w:szCs w:val="32"/>
          <w:highlight w:val="none"/>
          <w:lang w:val="en-US" w:eastAsia="zh-CN"/>
        </w:rPr>
        <w:t>融资</w:t>
      </w:r>
      <w:r>
        <w:rPr>
          <w:rFonts w:hint="eastAsia" w:ascii="Times New Roman" w:hAnsi="Times New Roman" w:eastAsia="仿宋_GB2312" w:cs="Times New Roman"/>
          <w:color w:val="auto"/>
          <w:spacing w:val="4"/>
          <w:sz w:val="32"/>
          <w:szCs w:val="32"/>
          <w:highlight w:val="none"/>
          <w:lang w:val="en-US" w:eastAsia="zh-CN"/>
        </w:rPr>
        <w:t>，资金到位后6个月内兑付开发商持有的“共有产权”房票；对于本方案给予减免的共有产权份额，按财政年度结算，</w:t>
      </w:r>
      <w:r>
        <w:rPr>
          <w:rFonts w:hint="default" w:ascii="Times New Roman" w:hAnsi="Times New Roman" w:eastAsia="仿宋_GB2312" w:cs="Times New Roman"/>
          <w:color w:val="auto"/>
          <w:spacing w:val="4"/>
          <w:sz w:val="32"/>
          <w:szCs w:val="32"/>
          <w:highlight w:val="none"/>
          <w:lang w:val="en-US" w:eastAsia="zh-CN"/>
        </w:rPr>
        <w:t>分批次逐年支付</w:t>
      </w:r>
      <w:r>
        <w:rPr>
          <w:rFonts w:hint="eastAsia" w:ascii="Times New Roman" w:hAnsi="Times New Roman" w:eastAsia="仿宋_GB2312" w:cs="Times New Roman"/>
          <w:color w:val="auto"/>
          <w:spacing w:val="4"/>
          <w:sz w:val="32"/>
          <w:szCs w:val="32"/>
          <w:highlight w:val="none"/>
          <w:lang w:val="en-US" w:eastAsia="zh-CN"/>
        </w:rPr>
        <w:t>给实施主体</w:t>
      </w:r>
      <w:r>
        <w:rPr>
          <w:rFonts w:hint="default" w:ascii="Times New Roman" w:hAnsi="Times New Roman" w:eastAsia="仿宋_GB2312" w:cs="Times New Roman"/>
          <w:color w:val="auto"/>
          <w:spacing w:val="4"/>
          <w:sz w:val="32"/>
          <w:szCs w:val="32"/>
          <w:highlight w:val="none"/>
          <w:lang w:val="en-US" w:eastAsia="zh-CN"/>
        </w:rPr>
        <w:t>。</w:t>
      </w:r>
    </w:p>
    <w:p w14:paraId="75EF1DE4">
      <w:pPr>
        <w:pStyle w:val="2"/>
        <w:keepNext w:val="0"/>
        <w:keepLines w:val="0"/>
        <w:pageBreakBefore w:val="0"/>
        <w:widowControl w:val="0"/>
        <w:numPr>
          <w:ilvl w:val="0"/>
          <w:numId w:val="0"/>
        </w:numPr>
        <w:kinsoku/>
        <w:wordWrap w:val="0"/>
        <w:overflowPunct w:val="0"/>
        <w:topLinePunct w:val="0"/>
        <w:autoSpaceDE w:val="0"/>
        <w:autoSpaceDN w:val="0"/>
        <w:bidi w:val="0"/>
        <w:adjustRightInd w:val="0"/>
        <w:snapToGrid w:val="0"/>
        <w:spacing w:line="520" w:lineRule="exact"/>
        <w:ind w:left="0" w:right="0" w:rightChars="0" w:firstLine="656" w:firstLineChars="200"/>
        <w:jc w:val="both"/>
        <w:textAlignment w:val="baseline"/>
        <w:rPr>
          <w:rFonts w:hint="default" w:ascii="Times New Roman" w:hAnsi="Times New Roman" w:eastAsia="仿宋_GB2312" w:cs="Times New Roman"/>
          <w:strike w:val="0"/>
          <w:dstrike w:val="0"/>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9</w:t>
      </w:r>
      <w:r>
        <w:rPr>
          <w:rFonts w:hint="default" w:ascii="Times New Roman" w:hAnsi="Times New Roman" w:eastAsia="仿宋_GB2312" w:cs="Times New Roman"/>
          <w:color w:val="auto"/>
          <w:spacing w:val="4"/>
          <w:sz w:val="32"/>
          <w:szCs w:val="32"/>
          <w:highlight w:val="none"/>
          <w:lang w:val="en-US" w:eastAsia="zh-CN"/>
        </w:rPr>
        <w:t>.本方案实施后，新办理“共有产权”住房不动产证上应注明“共有产权”住房政策实施主体和购房人的姓名及各自持有比例</w:t>
      </w:r>
      <w:r>
        <w:rPr>
          <w:rFonts w:hint="eastAsia" w:ascii="Times New Roman" w:hAnsi="Times New Roman" w:eastAsia="仿宋_GB2312" w:cs="Times New Roman"/>
          <w:color w:val="auto"/>
          <w:spacing w:val="4"/>
          <w:sz w:val="32"/>
          <w:szCs w:val="32"/>
          <w:highlight w:val="none"/>
          <w:lang w:val="en-US" w:eastAsia="zh-CN"/>
        </w:rPr>
        <w:t>。</w:t>
      </w:r>
      <w:r>
        <w:rPr>
          <w:rFonts w:hint="default" w:ascii="Times New Roman" w:hAnsi="Times New Roman" w:eastAsia="仿宋_GB2312" w:cs="Times New Roman"/>
          <w:color w:val="auto"/>
          <w:spacing w:val="4"/>
          <w:sz w:val="32"/>
          <w:szCs w:val="32"/>
          <w:highlight w:val="none"/>
          <w:lang w:val="en-US" w:eastAsia="zh-CN"/>
        </w:rPr>
        <w:t>在符合法律法规</w:t>
      </w:r>
      <w:r>
        <w:rPr>
          <w:rFonts w:hint="eastAsia" w:ascii="Times New Roman" w:hAnsi="Times New Roman" w:eastAsia="仿宋_GB2312" w:cs="Times New Roman"/>
          <w:color w:val="auto"/>
          <w:spacing w:val="4"/>
          <w:sz w:val="32"/>
          <w:szCs w:val="32"/>
          <w:highlight w:val="none"/>
          <w:lang w:val="en-US" w:eastAsia="zh-CN"/>
        </w:rPr>
        <w:t>及</w:t>
      </w:r>
      <w:r>
        <w:rPr>
          <w:rFonts w:hint="default" w:ascii="Times New Roman" w:hAnsi="Times New Roman" w:eastAsia="仿宋_GB2312" w:cs="Times New Roman"/>
          <w:color w:val="auto"/>
          <w:spacing w:val="4"/>
          <w:sz w:val="32"/>
          <w:szCs w:val="32"/>
          <w:highlight w:val="none"/>
          <w:lang w:val="en-US" w:eastAsia="zh-CN"/>
        </w:rPr>
        <w:t>相关规定的前提下，双方均可将各自实际</w:t>
      </w:r>
      <w:r>
        <w:rPr>
          <w:rFonts w:hint="eastAsia" w:ascii="Times New Roman" w:hAnsi="Times New Roman" w:eastAsia="仿宋_GB2312" w:cs="Times New Roman"/>
          <w:color w:val="auto"/>
          <w:spacing w:val="4"/>
          <w:sz w:val="32"/>
          <w:szCs w:val="32"/>
          <w:highlight w:val="none"/>
          <w:lang w:val="en-US" w:eastAsia="zh-CN"/>
        </w:rPr>
        <w:t>持有</w:t>
      </w:r>
      <w:r>
        <w:rPr>
          <w:rFonts w:hint="default" w:ascii="Times New Roman" w:hAnsi="Times New Roman" w:eastAsia="仿宋_GB2312" w:cs="Times New Roman"/>
          <w:color w:val="auto"/>
          <w:spacing w:val="4"/>
          <w:sz w:val="32"/>
          <w:szCs w:val="32"/>
          <w:highlight w:val="none"/>
          <w:lang w:val="en-US" w:eastAsia="zh-CN"/>
        </w:rPr>
        <w:t>份额，通过银行机构</w:t>
      </w:r>
      <w:r>
        <w:rPr>
          <w:rFonts w:hint="eastAsia" w:ascii="Times New Roman" w:hAnsi="Times New Roman" w:eastAsia="仿宋_GB2312" w:cs="Times New Roman"/>
          <w:color w:val="auto"/>
          <w:spacing w:val="4"/>
          <w:sz w:val="32"/>
          <w:szCs w:val="32"/>
          <w:highlight w:val="none"/>
          <w:lang w:val="en-US" w:eastAsia="zh-CN"/>
        </w:rPr>
        <w:t>办理</w:t>
      </w:r>
      <w:r>
        <w:rPr>
          <w:rFonts w:hint="default" w:ascii="Times New Roman" w:hAnsi="Times New Roman" w:eastAsia="仿宋_GB2312" w:cs="Times New Roman"/>
          <w:color w:val="auto"/>
          <w:spacing w:val="4"/>
          <w:sz w:val="32"/>
          <w:szCs w:val="32"/>
          <w:highlight w:val="none"/>
          <w:lang w:val="en-US" w:eastAsia="zh-CN"/>
        </w:rPr>
        <w:t>抵押贷款</w:t>
      </w:r>
      <w:r>
        <w:rPr>
          <w:rFonts w:hint="eastAsia" w:ascii="Times New Roman" w:hAnsi="Times New Roman" w:eastAsia="仿宋_GB2312" w:cs="Times New Roman"/>
          <w:color w:val="auto"/>
          <w:spacing w:val="4"/>
          <w:sz w:val="32"/>
          <w:szCs w:val="32"/>
          <w:highlight w:val="none"/>
          <w:lang w:val="en-US" w:eastAsia="zh-CN"/>
        </w:rPr>
        <w:t>；若购房人已还清按揭贷款，需再次抵押贷款的，购房人贷款比例不得高于所持有份额评估价的60%。</w:t>
      </w:r>
    </w:p>
    <w:p w14:paraId="39FD0973">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楷体_GB2312" w:cs="Times New Roman"/>
          <w:color w:val="auto"/>
          <w:spacing w:val="4"/>
          <w:sz w:val="32"/>
          <w:szCs w:val="32"/>
          <w:highlight w:val="none"/>
          <w:lang w:val="en-US" w:eastAsia="zh-CN"/>
        </w:rPr>
      </w:pPr>
      <w:r>
        <w:rPr>
          <w:rFonts w:hint="default" w:ascii="Times New Roman" w:hAnsi="Times New Roman" w:eastAsia="楷体_GB2312" w:cs="Times New Roman"/>
          <w:color w:val="auto"/>
          <w:spacing w:val="4"/>
          <w:sz w:val="32"/>
          <w:szCs w:val="32"/>
          <w:highlight w:val="none"/>
          <w:lang w:val="en-US" w:eastAsia="zh-CN"/>
        </w:rPr>
        <w:t>责任单位：县住建局</w:t>
      </w:r>
      <w:r>
        <w:rPr>
          <w:rFonts w:hint="eastAsia" w:ascii="Times New Roman" w:hAnsi="Times New Roman" w:eastAsia="楷体_GB2312" w:cs="Times New Roman"/>
          <w:color w:val="auto"/>
          <w:spacing w:val="4"/>
          <w:sz w:val="32"/>
          <w:szCs w:val="32"/>
          <w:highlight w:val="none"/>
          <w:lang w:val="en-US" w:eastAsia="zh-CN"/>
        </w:rPr>
        <w:t>、工信商务局、</w:t>
      </w:r>
      <w:r>
        <w:rPr>
          <w:rFonts w:hint="default" w:ascii="Times New Roman" w:hAnsi="Times New Roman" w:eastAsia="楷体_GB2312" w:cs="Times New Roman"/>
          <w:color w:val="auto"/>
          <w:spacing w:val="4"/>
          <w:sz w:val="32"/>
          <w:szCs w:val="32"/>
          <w:highlight w:val="none"/>
          <w:lang w:val="en-US" w:eastAsia="zh-CN"/>
        </w:rPr>
        <w:t>财政局、人社局、自然资源局、卫健局，</w:t>
      </w:r>
      <w:r>
        <w:rPr>
          <w:rFonts w:hint="default" w:ascii="Times New Roman" w:hAnsi="Times New Roman" w:eastAsia="楷体_GB2312" w:cs="Times New Roman"/>
          <w:strike w:val="0"/>
          <w:dstrike w:val="0"/>
          <w:color w:val="auto"/>
          <w:spacing w:val="4"/>
          <w:sz w:val="32"/>
          <w:szCs w:val="32"/>
          <w:highlight w:val="none"/>
          <w:lang w:val="en-US" w:eastAsia="zh-CN"/>
        </w:rPr>
        <w:t>人民银行</w:t>
      </w:r>
      <w:r>
        <w:rPr>
          <w:rFonts w:hint="eastAsia" w:ascii="Times New Roman" w:hAnsi="Times New Roman" w:eastAsia="楷体_GB2312" w:cs="Times New Roman"/>
          <w:strike w:val="0"/>
          <w:dstrike w:val="0"/>
          <w:color w:val="auto"/>
          <w:spacing w:val="4"/>
          <w:sz w:val="32"/>
          <w:szCs w:val="32"/>
          <w:highlight w:val="none"/>
          <w:lang w:val="en-US" w:eastAsia="zh-CN"/>
        </w:rPr>
        <w:t>，</w:t>
      </w:r>
      <w:r>
        <w:rPr>
          <w:rFonts w:hint="default" w:ascii="Times New Roman" w:hAnsi="Times New Roman" w:eastAsia="楷体_GB2312" w:cs="Times New Roman"/>
          <w:strike w:val="0"/>
          <w:dstrike w:val="0"/>
          <w:color w:val="auto"/>
          <w:spacing w:val="4"/>
          <w:sz w:val="32"/>
          <w:szCs w:val="32"/>
          <w:highlight w:val="none"/>
          <w:lang w:val="en-US" w:eastAsia="zh-CN"/>
        </w:rPr>
        <w:t>各</w:t>
      </w:r>
      <w:r>
        <w:rPr>
          <w:rFonts w:hint="default" w:ascii="Times New Roman" w:hAnsi="Times New Roman" w:eastAsia="楷体_GB2312" w:cs="Times New Roman"/>
          <w:color w:val="auto"/>
          <w:spacing w:val="4"/>
          <w:sz w:val="32"/>
          <w:szCs w:val="32"/>
          <w:highlight w:val="none"/>
          <w:lang w:val="en-US" w:eastAsia="zh-CN"/>
        </w:rPr>
        <w:t>乡镇人民政府，城建集团</w:t>
      </w:r>
    </w:p>
    <w:p w14:paraId="2977AAE0">
      <w:pPr>
        <w:pStyle w:val="2"/>
        <w:keepNext w:val="0"/>
        <w:keepLines w:val="0"/>
        <w:pageBreakBefore w:val="0"/>
        <w:widowControl w:val="0"/>
        <w:numPr>
          <w:ilvl w:val="0"/>
          <w:numId w:val="0"/>
        </w:numPr>
        <w:kinsoku/>
        <w:wordWrap w:val="0"/>
        <w:overflowPunct w:val="0"/>
        <w:topLinePunct w:val="0"/>
        <w:autoSpaceDE w:val="0"/>
        <w:autoSpaceDN w:val="0"/>
        <w:bidi w:val="0"/>
        <w:adjustRightInd w:val="0"/>
        <w:snapToGrid w:val="0"/>
        <w:spacing w:line="520" w:lineRule="exact"/>
        <w:ind w:left="0" w:leftChars="0" w:right="0" w:rightChars="0" w:firstLine="676" w:firstLineChars="200"/>
        <w:jc w:val="both"/>
        <w:textAlignment w:val="baseline"/>
        <w:rPr>
          <w:rFonts w:hint="default" w:ascii="Times New Roman" w:hAnsi="Times New Roman" w:eastAsia="楷体_GB2312" w:cs="Times New Roman"/>
          <w:b w:val="0"/>
          <w:bCs w:val="0"/>
          <w:color w:val="auto"/>
          <w:spacing w:val="9"/>
          <w:sz w:val="32"/>
          <w:szCs w:val="32"/>
          <w:highlight w:val="none"/>
          <w:lang w:eastAsia="zh-CN"/>
        </w:rPr>
      </w:pPr>
      <w:r>
        <w:rPr>
          <w:rFonts w:hint="default" w:ascii="Times New Roman" w:hAnsi="Times New Roman" w:eastAsia="楷体_GB2312" w:cs="Times New Roman"/>
          <w:b w:val="0"/>
          <w:bCs w:val="0"/>
          <w:color w:val="auto"/>
          <w:spacing w:val="9"/>
          <w:sz w:val="32"/>
          <w:szCs w:val="32"/>
          <w:highlight w:val="none"/>
          <w:lang w:eastAsia="zh-CN"/>
        </w:rPr>
        <w:t>（二）先租后售政策</w:t>
      </w:r>
    </w:p>
    <w:p w14:paraId="371EA0C6">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r>
        <w:rPr>
          <w:rFonts w:hint="default" w:ascii="Times New Roman" w:hAnsi="Times New Roman" w:eastAsia="仿宋_GB2312" w:cs="Times New Roman"/>
          <w:color w:val="auto"/>
          <w:spacing w:val="4"/>
          <w:sz w:val="32"/>
          <w:szCs w:val="32"/>
          <w:highlight w:val="none"/>
          <w:lang w:val="en-US" w:eastAsia="zh-CN"/>
        </w:rPr>
        <w:t>“十五五”期间，规划建设一批以国企存量商品房为主的精装配租型住房，对来我县创业、就业和就学的外来人员（包含</w:t>
      </w:r>
      <w:r>
        <w:rPr>
          <w:rFonts w:hint="eastAsia" w:ascii="Times New Roman" w:hAnsi="Times New Roman" w:eastAsia="仿宋_GB2312" w:cs="Times New Roman"/>
          <w:color w:val="auto"/>
          <w:spacing w:val="4"/>
          <w:sz w:val="32"/>
          <w:szCs w:val="32"/>
          <w:highlight w:val="none"/>
          <w:lang w:val="en-US" w:eastAsia="zh-CN"/>
        </w:rPr>
        <w:t>德化籍</w:t>
      </w:r>
      <w:r>
        <w:rPr>
          <w:rFonts w:hint="default" w:ascii="Times New Roman" w:hAnsi="Times New Roman" w:eastAsia="仿宋_GB2312" w:cs="Times New Roman"/>
          <w:color w:val="auto"/>
          <w:spacing w:val="4"/>
          <w:sz w:val="32"/>
          <w:szCs w:val="32"/>
          <w:highlight w:val="none"/>
          <w:lang w:val="en-US" w:eastAsia="zh-CN"/>
        </w:rPr>
        <w:t>返乡就业人员）给予“先租后售”政策扶持。租赁期间，租金按照同地段、同品质住房市场租金收取，最长租赁期限可达10年。租赁期内承租人购买所租赁的住房或同一国企开发建设的其他楼盘住房，其已经支付的租金可全额抵扣购房款项（最多为10年租金）。承租人租赁满10年时，须明确是否购买住房。享受“先租后售”政策的购房人不得与“共有产权”住房支持政策叠加使用。</w:t>
      </w:r>
    </w:p>
    <w:p w14:paraId="08DF5C85">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楷体_GB2312" w:cs="Times New Roman"/>
          <w:color w:val="auto"/>
          <w:spacing w:val="4"/>
          <w:sz w:val="32"/>
          <w:szCs w:val="32"/>
          <w:highlight w:val="none"/>
          <w:lang w:val="en-US" w:eastAsia="zh-CN"/>
        </w:rPr>
      </w:pPr>
      <w:r>
        <w:rPr>
          <w:rFonts w:hint="default" w:ascii="Times New Roman" w:hAnsi="Times New Roman" w:eastAsia="楷体_GB2312" w:cs="Times New Roman"/>
          <w:color w:val="auto"/>
          <w:spacing w:val="4"/>
          <w:sz w:val="32"/>
          <w:szCs w:val="32"/>
          <w:highlight w:val="none"/>
          <w:lang w:val="en-US" w:eastAsia="zh-CN"/>
        </w:rPr>
        <w:t>责任单位：城建集团、文旅集团，县住建局、财政局、人社局</w:t>
      </w:r>
    </w:p>
    <w:p w14:paraId="311DDFFE">
      <w:pPr>
        <w:pStyle w:val="2"/>
        <w:keepNext w:val="0"/>
        <w:keepLines w:val="0"/>
        <w:pageBreakBefore w:val="0"/>
        <w:widowControl w:val="0"/>
        <w:numPr>
          <w:ilvl w:val="0"/>
          <w:numId w:val="0"/>
        </w:numPr>
        <w:kinsoku/>
        <w:wordWrap w:val="0"/>
        <w:overflowPunct w:val="0"/>
        <w:topLinePunct w:val="0"/>
        <w:autoSpaceDE w:val="0"/>
        <w:autoSpaceDN w:val="0"/>
        <w:bidi w:val="0"/>
        <w:adjustRightInd w:val="0"/>
        <w:snapToGrid w:val="0"/>
        <w:spacing w:line="520" w:lineRule="exact"/>
        <w:ind w:left="0" w:leftChars="0" w:right="0" w:rightChars="0" w:firstLine="676" w:firstLineChars="200"/>
        <w:jc w:val="both"/>
        <w:textAlignment w:val="baseline"/>
        <w:rPr>
          <w:rFonts w:hint="default" w:ascii="Times New Roman" w:hAnsi="Times New Roman" w:eastAsia="楷体_GB2312" w:cs="Times New Roman"/>
          <w:b w:val="0"/>
          <w:bCs w:val="0"/>
          <w:color w:val="auto"/>
          <w:spacing w:val="9"/>
          <w:sz w:val="32"/>
          <w:szCs w:val="32"/>
          <w:highlight w:val="none"/>
          <w:lang w:val="en-US" w:eastAsia="zh-CN"/>
        </w:rPr>
      </w:pPr>
      <w:r>
        <w:rPr>
          <w:rFonts w:hint="default" w:ascii="Times New Roman" w:hAnsi="Times New Roman" w:eastAsia="楷体_GB2312" w:cs="Times New Roman"/>
          <w:b w:val="0"/>
          <w:bCs w:val="0"/>
          <w:color w:val="auto"/>
          <w:spacing w:val="9"/>
          <w:sz w:val="32"/>
          <w:szCs w:val="32"/>
          <w:highlight w:val="none"/>
          <w:lang w:val="en-US" w:eastAsia="zh-CN"/>
        </w:rPr>
        <w:t>（</w:t>
      </w:r>
      <w:r>
        <w:rPr>
          <w:rFonts w:hint="eastAsia" w:ascii="Times New Roman" w:hAnsi="Times New Roman" w:eastAsia="楷体_GB2312" w:cs="Times New Roman"/>
          <w:b w:val="0"/>
          <w:bCs w:val="0"/>
          <w:color w:val="auto"/>
          <w:spacing w:val="9"/>
          <w:sz w:val="32"/>
          <w:szCs w:val="32"/>
          <w:highlight w:val="none"/>
          <w:lang w:val="en-US" w:eastAsia="zh-CN"/>
        </w:rPr>
        <w:t>三</w:t>
      </w:r>
      <w:r>
        <w:rPr>
          <w:rFonts w:hint="default" w:ascii="Times New Roman" w:hAnsi="Times New Roman" w:eastAsia="楷体_GB2312" w:cs="Times New Roman"/>
          <w:b w:val="0"/>
          <w:bCs w:val="0"/>
          <w:color w:val="auto"/>
          <w:spacing w:val="9"/>
          <w:sz w:val="32"/>
          <w:szCs w:val="32"/>
          <w:highlight w:val="none"/>
          <w:lang w:val="en-US" w:eastAsia="zh-CN"/>
        </w:rPr>
        <w:t>）配套服务</w:t>
      </w:r>
    </w:p>
    <w:p w14:paraId="4811B98E">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r>
        <w:rPr>
          <w:rFonts w:hint="default" w:ascii="Times New Roman" w:hAnsi="Times New Roman" w:eastAsia="仿宋_GB2312" w:cs="Times New Roman"/>
          <w:color w:val="auto"/>
          <w:spacing w:val="4"/>
          <w:sz w:val="32"/>
          <w:szCs w:val="32"/>
          <w:highlight w:val="none"/>
          <w:lang w:val="en-US" w:eastAsia="zh-CN"/>
        </w:rPr>
        <w:t>严格对标《国务院关于推行常住地提供基本公共服务的实施意见》</w:t>
      </w:r>
      <w:r>
        <w:rPr>
          <w:rFonts w:hint="eastAsia" w:ascii="Times New Roman" w:hAnsi="Times New Roman" w:eastAsia="仿宋_GB2312" w:cs="Times New Roman"/>
          <w:color w:val="auto"/>
          <w:spacing w:val="4"/>
          <w:sz w:val="32"/>
          <w:szCs w:val="32"/>
          <w:highlight w:val="none"/>
          <w:lang w:val="en-US" w:eastAsia="zh-CN"/>
        </w:rPr>
        <w:t>（</w:t>
      </w:r>
      <w:r>
        <w:rPr>
          <w:rFonts w:hint="default" w:ascii="Times New Roman" w:hAnsi="Times New Roman" w:eastAsia="仿宋_GB2312" w:cs="Times New Roman"/>
          <w:color w:val="auto"/>
          <w:spacing w:val="4"/>
          <w:sz w:val="32"/>
          <w:szCs w:val="32"/>
          <w:highlight w:val="none"/>
          <w:lang w:val="en-US" w:eastAsia="zh-CN"/>
        </w:rPr>
        <w:t>国发〔2026〕11号</w:t>
      </w:r>
      <w:r>
        <w:rPr>
          <w:rFonts w:hint="eastAsia" w:ascii="Times New Roman" w:hAnsi="Times New Roman" w:eastAsia="仿宋_GB2312" w:cs="Times New Roman"/>
          <w:color w:val="auto"/>
          <w:spacing w:val="4"/>
          <w:sz w:val="32"/>
          <w:szCs w:val="32"/>
          <w:highlight w:val="none"/>
          <w:lang w:val="en-US" w:eastAsia="zh-CN"/>
        </w:rPr>
        <w:t>）</w:t>
      </w:r>
      <w:r>
        <w:rPr>
          <w:rFonts w:hint="default" w:ascii="Times New Roman" w:hAnsi="Times New Roman" w:eastAsia="仿宋_GB2312" w:cs="Times New Roman"/>
          <w:color w:val="auto"/>
          <w:spacing w:val="4"/>
          <w:sz w:val="32"/>
          <w:szCs w:val="32"/>
          <w:highlight w:val="none"/>
          <w:lang w:val="en-US" w:eastAsia="zh-CN"/>
        </w:rPr>
        <w:t>要求，立足我县现有政策体系，切实保障外来务工人员、大中专毕业生、优秀人才等来德人员同等享有基本公共服务。均等落实就业创业扶持政策，统一提供岗位对接、技能培训、创业帮扶等服务。依规完善医疗社保经办服务，畅通参保、就医结算渠道，保障待遇标准一致。优化随迁子女教育保障，三孩及以上外来家庭，在片区学位富余情况下可自主择校入学</w:t>
      </w:r>
      <w:r>
        <w:rPr>
          <w:rFonts w:hint="eastAsia" w:ascii="Times New Roman" w:hAnsi="Times New Roman" w:eastAsia="仿宋_GB2312" w:cs="Times New Roman"/>
          <w:color w:val="auto"/>
          <w:spacing w:val="4"/>
          <w:sz w:val="32"/>
          <w:szCs w:val="32"/>
          <w:highlight w:val="none"/>
          <w:lang w:val="en-US" w:eastAsia="zh-CN"/>
        </w:rPr>
        <w:t>，</w:t>
      </w:r>
      <w:r>
        <w:rPr>
          <w:rFonts w:hint="default" w:ascii="Times New Roman" w:hAnsi="Times New Roman" w:eastAsia="仿宋_GB2312" w:cs="Times New Roman"/>
          <w:color w:val="auto"/>
          <w:spacing w:val="4"/>
          <w:sz w:val="32"/>
          <w:szCs w:val="32"/>
          <w:highlight w:val="none"/>
          <w:lang w:val="en-US" w:eastAsia="zh-CN"/>
        </w:rPr>
        <w:t>对家庭经济困难随迁子女应助尽助。针对子女转学、户籍迁移、医保社保关系转入等事项，提供一站式集成、帮办代办、限时快办服务。同等享受儿童关爱、养老助老、社会救助、扶残助残等兜底类公共服务。夯实人才安居保障</w:t>
      </w:r>
      <w:r>
        <w:rPr>
          <w:rFonts w:hint="eastAsia" w:ascii="Times New Roman" w:hAnsi="Times New Roman" w:eastAsia="仿宋_GB2312" w:cs="Times New Roman"/>
          <w:color w:val="auto"/>
          <w:spacing w:val="4"/>
          <w:sz w:val="32"/>
          <w:szCs w:val="32"/>
          <w:highlight w:val="none"/>
          <w:lang w:val="en-US" w:eastAsia="zh-CN"/>
        </w:rPr>
        <w:t>，统筹</w:t>
      </w:r>
      <w:r>
        <w:rPr>
          <w:rFonts w:hint="default" w:ascii="Times New Roman" w:hAnsi="Times New Roman" w:eastAsia="仿宋_GB2312" w:cs="Times New Roman"/>
          <w:color w:val="auto"/>
          <w:spacing w:val="4"/>
          <w:sz w:val="32"/>
          <w:szCs w:val="32"/>
          <w:highlight w:val="none"/>
          <w:lang w:val="en-US" w:eastAsia="zh-CN"/>
        </w:rPr>
        <w:t>新增</w:t>
      </w:r>
      <w:r>
        <w:rPr>
          <w:rFonts w:hint="eastAsia" w:ascii="Times New Roman" w:hAnsi="Times New Roman" w:eastAsia="仿宋_GB2312" w:cs="Times New Roman"/>
          <w:color w:val="auto"/>
          <w:spacing w:val="4"/>
          <w:sz w:val="32"/>
          <w:szCs w:val="32"/>
          <w:highlight w:val="none"/>
          <w:lang w:val="en-US" w:eastAsia="zh-CN"/>
        </w:rPr>
        <w:t>一批</w:t>
      </w:r>
      <w:r>
        <w:rPr>
          <w:rFonts w:hint="default" w:ascii="Times New Roman" w:hAnsi="Times New Roman" w:eastAsia="仿宋_GB2312" w:cs="Times New Roman"/>
          <w:color w:val="auto"/>
          <w:spacing w:val="4"/>
          <w:sz w:val="32"/>
          <w:szCs w:val="32"/>
          <w:highlight w:val="none"/>
          <w:lang w:val="en-US" w:eastAsia="zh-CN"/>
        </w:rPr>
        <w:t>人才公寓，满足优秀人才的住房需求。</w:t>
      </w:r>
    </w:p>
    <w:p w14:paraId="468080CF">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eastAsia" w:ascii="Times New Roman" w:hAnsi="Times New Roman" w:eastAsia="楷体_GB2312" w:cs="Times New Roman"/>
          <w:color w:val="auto"/>
          <w:spacing w:val="4"/>
          <w:sz w:val="32"/>
          <w:szCs w:val="32"/>
          <w:highlight w:val="none"/>
          <w:lang w:eastAsia="zh-CN"/>
        </w:rPr>
      </w:pPr>
      <w:r>
        <w:rPr>
          <w:rFonts w:hint="default" w:ascii="Times New Roman" w:hAnsi="Times New Roman" w:eastAsia="楷体_GB2312" w:cs="Times New Roman"/>
          <w:color w:val="auto"/>
          <w:spacing w:val="4"/>
          <w:sz w:val="32"/>
          <w:szCs w:val="32"/>
          <w:highlight w:val="none"/>
          <w:lang w:eastAsia="zh-CN"/>
        </w:rPr>
        <w:t>责任单位：</w:t>
      </w:r>
      <w:r>
        <w:rPr>
          <w:rFonts w:hint="default" w:ascii="Times New Roman" w:hAnsi="Times New Roman" w:eastAsia="楷体_GB2312" w:cs="Times New Roman"/>
          <w:color w:val="auto"/>
          <w:spacing w:val="4"/>
          <w:sz w:val="32"/>
          <w:szCs w:val="32"/>
          <w:highlight w:val="none"/>
        </w:rPr>
        <w:t>县委人才办，县</w:t>
      </w:r>
      <w:r>
        <w:rPr>
          <w:rFonts w:hint="default" w:ascii="Times New Roman" w:hAnsi="Times New Roman" w:eastAsia="楷体_GB2312" w:cs="Times New Roman"/>
          <w:color w:val="auto"/>
          <w:spacing w:val="4"/>
          <w:sz w:val="32"/>
          <w:szCs w:val="32"/>
          <w:highlight w:val="none"/>
          <w:lang w:eastAsia="zh-CN"/>
        </w:rPr>
        <w:t>住建局、</w:t>
      </w:r>
      <w:r>
        <w:rPr>
          <w:rFonts w:hint="default" w:ascii="Times New Roman" w:hAnsi="Times New Roman" w:eastAsia="楷体_GB2312" w:cs="Times New Roman"/>
          <w:color w:val="auto"/>
          <w:spacing w:val="4"/>
          <w:sz w:val="32"/>
          <w:szCs w:val="32"/>
          <w:highlight w:val="none"/>
        </w:rPr>
        <w:t>人社局、教育局、卫健局</w:t>
      </w:r>
      <w:r>
        <w:rPr>
          <w:rFonts w:hint="eastAsia" w:ascii="Times New Roman" w:hAnsi="Times New Roman" w:eastAsia="楷体_GB2312" w:cs="Times New Roman"/>
          <w:color w:val="auto"/>
          <w:spacing w:val="4"/>
          <w:sz w:val="32"/>
          <w:szCs w:val="32"/>
          <w:highlight w:val="none"/>
          <w:lang w:eastAsia="zh-CN"/>
        </w:rPr>
        <w:t>、民政局、医保分局</w:t>
      </w:r>
    </w:p>
    <w:p w14:paraId="632C7B0F">
      <w:pPr>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8" w:firstLineChars="200"/>
        <w:jc w:val="both"/>
        <w:textAlignment w:val="baseline"/>
        <w:outlineLvl w:val="1"/>
        <w:rPr>
          <w:rFonts w:hint="default" w:ascii="Times New Roman" w:hAnsi="Times New Roman" w:eastAsia="黑体" w:cs="Times New Roman"/>
          <w:color w:val="auto"/>
          <w:spacing w:val="7"/>
          <w:sz w:val="32"/>
          <w:szCs w:val="32"/>
          <w:highlight w:val="none"/>
        </w:rPr>
      </w:pPr>
      <w:r>
        <w:rPr>
          <w:rFonts w:hint="default" w:ascii="Times New Roman" w:hAnsi="Times New Roman" w:eastAsia="黑体" w:cs="Times New Roman"/>
          <w:color w:val="auto"/>
          <w:spacing w:val="7"/>
          <w:sz w:val="32"/>
          <w:szCs w:val="32"/>
          <w:highlight w:val="none"/>
        </w:rPr>
        <w:t>三、保障措施</w:t>
      </w:r>
    </w:p>
    <w:p w14:paraId="1128AAD5">
      <w:pPr>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76" w:firstLineChars="200"/>
        <w:jc w:val="both"/>
        <w:textAlignment w:val="baseline"/>
        <w:outlineLvl w:val="1"/>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pacing w:val="9"/>
          <w:sz w:val="32"/>
          <w:szCs w:val="32"/>
          <w:highlight w:val="none"/>
        </w:rPr>
        <w:t>（一）强化组织领导</w:t>
      </w:r>
    </w:p>
    <w:p w14:paraId="6E6B0931">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rPr>
      </w:pPr>
      <w:r>
        <w:rPr>
          <w:rFonts w:hint="default" w:ascii="Times New Roman" w:hAnsi="Times New Roman" w:eastAsia="仿宋_GB2312" w:cs="Times New Roman"/>
          <w:color w:val="auto"/>
          <w:spacing w:val="4"/>
          <w:sz w:val="32"/>
          <w:szCs w:val="32"/>
          <w:highlight w:val="none"/>
        </w:rPr>
        <w:t>成立由县政府分管领导任组长的专项工作领导小组（详见附件1），统筹政策落地及目标任务高效推进。成员由县委人才办、宣传部，县教育局、财政局、人社局、住建局、卫健局，各乡镇人民政府，县城建集团</w:t>
      </w:r>
      <w:r>
        <w:rPr>
          <w:rFonts w:hint="default" w:ascii="Times New Roman" w:hAnsi="Times New Roman" w:eastAsia="仿宋_GB2312" w:cs="Times New Roman"/>
          <w:color w:val="auto"/>
          <w:spacing w:val="4"/>
          <w:sz w:val="32"/>
          <w:szCs w:val="32"/>
          <w:highlight w:val="none"/>
          <w:lang w:eastAsia="zh-CN"/>
        </w:rPr>
        <w:t>、文旅集团</w:t>
      </w:r>
      <w:r>
        <w:rPr>
          <w:rFonts w:hint="default" w:ascii="Times New Roman" w:hAnsi="Times New Roman" w:eastAsia="仿宋_GB2312" w:cs="Times New Roman"/>
          <w:color w:val="auto"/>
          <w:spacing w:val="4"/>
          <w:sz w:val="32"/>
          <w:szCs w:val="32"/>
          <w:highlight w:val="none"/>
        </w:rPr>
        <w:t>等</w:t>
      </w:r>
      <w:r>
        <w:rPr>
          <w:rFonts w:hint="default" w:ascii="Times New Roman" w:hAnsi="Times New Roman" w:eastAsia="仿宋_GB2312" w:cs="Times New Roman"/>
          <w:color w:val="auto"/>
          <w:spacing w:val="4"/>
          <w:sz w:val="32"/>
          <w:szCs w:val="32"/>
          <w:highlight w:val="none"/>
          <w:lang w:eastAsia="zh-CN"/>
        </w:rPr>
        <w:t>单位的人员组成</w:t>
      </w:r>
      <w:r>
        <w:rPr>
          <w:rFonts w:hint="default" w:ascii="Times New Roman" w:hAnsi="Times New Roman" w:eastAsia="仿宋_GB2312" w:cs="Times New Roman"/>
          <w:color w:val="auto"/>
          <w:spacing w:val="4"/>
          <w:sz w:val="32"/>
          <w:szCs w:val="32"/>
          <w:highlight w:val="none"/>
        </w:rPr>
        <w:t>。领导小组下设办公室，挂靠在县住建局，由其牵头设立“一站式”服务窗口，实现补贴申请、资格审核等</w:t>
      </w:r>
      <w:r>
        <w:rPr>
          <w:rFonts w:hint="default" w:ascii="Times New Roman" w:hAnsi="Times New Roman" w:eastAsia="仿宋_GB2312" w:cs="Times New Roman"/>
          <w:color w:val="auto"/>
          <w:spacing w:val="4"/>
          <w:sz w:val="32"/>
          <w:szCs w:val="32"/>
          <w:highlight w:val="none"/>
          <w:lang w:eastAsia="zh-CN"/>
        </w:rPr>
        <w:t>工作。</w:t>
      </w:r>
    </w:p>
    <w:p w14:paraId="62524218">
      <w:pPr>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76" w:firstLineChars="200"/>
        <w:jc w:val="both"/>
        <w:textAlignment w:val="baseline"/>
        <w:outlineLvl w:val="1"/>
        <w:rPr>
          <w:rFonts w:hint="default" w:ascii="Times New Roman" w:hAnsi="Times New Roman" w:eastAsia="楷体_GB2312" w:cs="Times New Roman"/>
          <w:b w:val="0"/>
          <w:bCs w:val="0"/>
          <w:color w:val="auto"/>
          <w:spacing w:val="9"/>
          <w:sz w:val="32"/>
          <w:szCs w:val="32"/>
          <w:highlight w:val="none"/>
        </w:rPr>
      </w:pPr>
      <w:r>
        <w:rPr>
          <w:rFonts w:hint="default" w:ascii="Times New Roman" w:hAnsi="Times New Roman" w:eastAsia="楷体_GB2312" w:cs="Times New Roman"/>
          <w:b w:val="0"/>
          <w:bCs w:val="0"/>
          <w:color w:val="auto"/>
          <w:spacing w:val="9"/>
          <w:sz w:val="32"/>
          <w:szCs w:val="32"/>
          <w:highlight w:val="none"/>
        </w:rPr>
        <w:t>（二）强化调查摸底</w:t>
      </w:r>
    </w:p>
    <w:p w14:paraId="42D07B7C">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rPr>
      </w:pPr>
      <w:r>
        <w:rPr>
          <w:rFonts w:hint="default" w:ascii="Times New Roman" w:hAnsi="Times New Roman" w:eastAsia="仿宋_GB2312" w:cs="Times New Roman"/>
          <w:color w:val="auto"/>
          <w:spacing w:val="4"/>
          <w:sz w:val="32"/>
          <w:szCs w:val="32"/>
          <w:highlight w:val="none"/>
        </w:rPr>
        <w:t>由各乡镇对全县外来流动人口住房现状及购房意愿进行全面、准确的调查摸底，逐户登记，填报《外来流动人口住房现状及购</w:t>
      </w:r>
      <w:r>
        <w:rPr>
          <w:rFonts w:hint="eastAsia" w:ascii="Times New Roman" w:hAnsi="Times New Roman" w:eastAsia="仿宋_GB2312" w:cs="Times New Roman"/>
          <w:color w:val="auto"/>
          <w:spacing w:val="4"/>
          <w:sz w:val="32"/>
          <w:szCs w:val="32"/>
          <w:highlight w:val="none"/>
          <w:lang w:eastAsia="zh-CN"/>
        </w:rPr>
        <w:t>（租）</w:t>
      </w:r>
      <w:r>
        <w:rPr>
          <w:rFonts w:hint="default" w:ascii="Times New Roman" w:hAnsi="Times New Roman" w:eastAsia="仿宋_GB2312" w:cs="Times New Roman"/>
          <w:color w:val="auto"/>
          <w:spacing w:val="4"/>
          <w:sz w:val="32"/>
          <w:szCs w:val="32"/>
          <w:highlight w:val="none"/>
        </w:rPr>
        <w:t>房意愿调查摸底表》（详见附件2</w:t>
      </w:r>
      <w:r>
        <w:rPr>
          <w:rFonts w:hint="default" w:ascii="Times New Roman" w:hAnsi="Times New Roman" w:eastAsia="仿宋_GB2312" w:cs="Times New Roman"/>
          <w:color w:val="auto"/>
          <w:spacing w:val="4"/>
          <w:sz w:val="32"/>
          <w:szCs w:val="32"/>
          <w:highlight w:val="none"/>
          <w:lang w:eastAsia="zh-CN"/>
        </w:rPr>
        <w:t>、</w:t>
      </w:r>
      <w:r>
        <w:rPr>
          <w:rFonts w:hint="default" w:ascii="Times New Roman" w:hAnsi="Times New Roman" w:eastAsia="仿宋_GB2312" w:cs="Times New Roman"/>
          <w:color w:val="auto"/>
          <w:spacing w:val="4"/>
          <w:sz w:val="32"/>
          <w:szCs w:val="32"/>
          <w:highlight w:val="none"/>
          <w:lang w:val="en-US" w:eastAsia="zh-CN"/>
        </w:rPr>
        <w:t>3</w:t>
      </w:r>
      <w:r>
        <w:rPr>
          <w:rFonts w:hint="default" w:ascii="Times New Roman" w:hAnsi="Times New Roman" w:eastAsia="仿宋_GB2312" w:cs="Times New Roman"/>
          <w:color w:val="auto"/>
          <w:spacing w:val="4"/>
          <w:sz w:val="32"/>
          <w:szCs w:val="32"/>
          <w:highlight w:val="none"/>
        </w:rPr>
        <w:t>），于2026年 月</w:t>
      </w:r>
      <w:r>
        <w:rPr>
          <w:rFonts w:hint="default" w:ascii="Times New Roman" w:hAnsi="Times New Roman" w:eastAsia="仿宋_GB2312" w:cs="Times New Roman"/>
          <w:color w:val="auto"/>
          <w:spacing w:val="4"/>
          <w:sz w:val="32"/>
          <w:szCs w:val="32"/>
          <w:highlight w:val="none"/>
          <w:lang w:val="en-US" w:eastAsia="zh-CN"/>
        </w:rPr>
        <w:t xml:space="preserve"> </w:t>
      </w:r>
      <w:r>
        <w:rPr>
          <w:rFonts w:hint="default" w:ascii="Times New Roman" w:hAnsi="Times New Roman" w:eastAsia="仿宋_GB2312" w:cs="Times New Roman"/>
          <w:color w:val="auto"/>
          <w:spacing w:val="4"/>
          <w:sz w:val="32"/>
          <w:szCs w:val="32"/>
          <w:highlight w:val="none"/>
        </w:rPr>
        <w:t>日前报送至县住建局，并按季度更新汇总。</w:t>
      </w:r>
    </w:p>
    <w:p w14:paraId="6A89C4DC">
      <w:pPr>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76" w:firstLineChars="200"/>
        <w:jc w:val="both"/>
        <w:textAlignment w:val="baseline"/>
        <w:outlineLvl w:val="1"/>
        <w:rPr>
          <w:rFonts w:hint="eastAsia" w:ascii="Times New Roman" w:hAnsi="Times New Roman" w:eastAsia="楷体_GB2312" w:cs="Times New Roman"/>
          <w:b w:val="0"/>
          <w:bCs w:val="0"/>
          <w:color w:val="auto"/>
          <w:spacing w:val="9"/>
          <w:sz w:val="32"/>
          <w:szCs w:val="32"/>
          <w:highlight w:val="none"/>
          <w:lang w:eastAsia="zh-CN"/>
        </w:rPr>
      </w:pPr>
      <w:r>
        <w:rPr>
          <w:rFonts w:hint="default" w:ascii="Times New Roman" w:hAnsi="Times New Roman" w:eastAsia="楷体_GB2312" w:cs="Times New Roman"/>
          <w:b w:val="0"/>
          <w:bCs w:val="0"/>
          <w:color w:val="auto"/>
          <w:spacing w:val="9"/>
          <w:sz w:val="32"/>
          <w:szCs w:val="32"/>
          <w:highlight w:val="none"/>
        </w:rPr>
        <w:t>（三）强化宣传</w:t>
      </w:r>
      <w:r>
        <w:rPr>
          <w:rFonts w:hint="eastAsia" w:ascii="Times New Roman" w:hAnsi="Times New Roman" w:eastAsia="楷体_GB2312" w:cs="Times New Roman"/>
          <w:b w:val="0"/>
          <w:bCs w:val="0"/>
          <w:color w:val="auto"/>
          <w:spacing w:val="9"/>
          <w:sz w:val="32"/>
          <w:szCs w:val="32"/>
          <w:highlight w:val="none"/>
          <w:lang w:eastAsia="zh-CN"/>
        </w:rPr>
        <w:t>发动</w:t>
      </w:r>
    </w:p>
    <w:p w14:paraId="1BD9B179">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strike w:val="0"/>
          <w:dstrike w:val="0"/>
          <w:color w:val="auto"/>
          <w:spacing w:val="4"/>
          <w:sz w:val="32"/>
          <w:szCs w:val="32"/>
          <w:highlight w:val="none"/>
          <w:lang w:eastAsia="zh-CN"/>
        </w:rPr>
      </w:pPr>
      <w:r>
        <w:rPr>
          <w:rFonts w:hint="default" w:ascii="Times New Roman" w:hAnsi="Times New Roman" w:eastAsia="仿宋_GB2312" w:cs="Times New Roman"/>
          <w:strike w:val="0"/>
          <w:dstrike w:val="0"/>
          <w:color w:val="auto"/>
          <w:spacing w:val="4"/>
          <w:sz w:val="32"/>
          <w:szCs w:val="32"/>
          <w:highlight w:val="none"/>
        </w:rPr>
        <w:t>县委宣传部</w:t>
      </w:r>
      <w:r>
        <w:rPr>
          <w:rFonts w:hint="default" w:ascii="Times New Roman" w:hAnsi="Times New Roman" w:eastAsia="仿宋_GB2312" w:cs="Times New Roman"/>
          <w:strike w:val="0"/>
          <w:dstrike w:val="0"/>
          <w:color w:val="auto"/>
          <w:spacing w:val="4"/>
          <w:sz w:val="32"/>
          <w:szCs w:val="32"/>
          <w:highlight w:val="none"/>
          <w:lang w:eastAsia="zh-CN"/>
        </w:rPr>
        <w:t>协调县融媒体中心精心策划，广泛宣传报道我县全方位服务新德化人定居瓷都行动的动态、成效、做法等</w:t>
      </w:r>
      <w:r>
        <w:rPr>
          <w:rFonts w:hint="eastAsia" w:ascii="Times New Roman" w:hAnsi="Times New Roman" w:eastAsia="仿宋_GB2312" w:cs="Times New Roman"/>
          <w:strike w:val="0"/>
          <w:dstrike w:val="0"/>
          <w:color w:val="auto"/>
          <w:spacing w:val="4"/>
          <w:sz w:val="32"/>
          <w:szCs w:val="32"/>
          <w:highlight w:val="none"/>
          <w:lang w:eastAsia="zh-CN"/>
        </w:rPr>
        <w:t>。</w:t>
      </w:r>
    </w:p>
    <w:p w14:paraId="22303C3E">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eastAsia" w:ascii="Times New Roman" w:hAnsi="Times New Roman" w:eastAsia="仿宋_GB2312" w:cs="Times New Roman"/>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县招商办负责整合相关部门和资源，推动招人与招商协同联动，加强信息共享，吸引中高端人才和优质企业入驻。</w:t>
      </w:r>
    </w:p>
    <w:p w14:paraId="5F298C23">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eastAsia" w:ascii="Times New Roman" w:hAnsi="Times New Roman" w:eastAsia="仿宋_GB2312" w:cs="Times New Roman"/>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县人社局负责宣传新德化人就业创业扶持政策，为有意向定居的外来人员提供就业岗位推荐、技能培训对接服务，助力其稳定就业。</w:t>
      </w:r>
    </w:p>
    <w:p w14:paraId="12C95F20">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eastAsia" w:ascii="Times New Roman" w:hAnsi="Times New Roman" w:eastAsia="仿宋_GB2312" w:cs="Times New Roman"/>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县工商联负责组织各行业商会、异地商会及会员企业开展“新德化人安居暖心”主题宣传活动，发挥商会桥梁纽带作用，向会员企业宣介我县吸引新德化人定居的政策措施，引导企业为新德化人提供就业岗位。</w:t>
      </w:r>
    </w:p>
    <w:p w14:paraId="182CA9A6">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eastAsia" w:ascii="Times New Roman" w:hAnsi="Times New Roman" w:eastAsia="仿宋_GB2312" w:cs="Times New Roman"/>
          <w:color w:val="auto"/>
          <w:spacing w:val="4"/>
          <w:sz w:val="32"/>
          <w:szCs w:val="32"/>
          <w:highlight w:val="none"/>
          <w:lang w:val="en-US" w:eastAsia="zh-CN"/>
        </w:rPr>
      </w:pPr>
      <w:r>
        <w:rPr>
          <w:rFonts w:hint="eastAsia" w:ascii="Times New Roman" w:hAnsi="Times New Roman" w:eastAsia="仿宋_GB2312" w:cs="Times New Roman"/>
          <w:color w:val="auto"/>
          <w:spacing w:val="4"/>
          <w:sz w:val="32"/>
          <w:szCs w:val="32"/>
          <w:highlight w:val="none"/>
          <w:lang w:val="en-US" w:eastAsia="zh-CN"/>
        </w:rPr>
        <w:t>县教育局负责宣传新德化人子女教育保障政策，为有意向定居的外来人员子女提供入学咨询、政策解读及入学手续帮办服务，确保其子女享有公平优质的教育资源，解除外来人员定居的教育后顾之忧。</w:t>
      </w:r>
    </w:p>
    <w:p w14:paraId="2ABF599D">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rPr>
      </w:pPr>
      <w:r>
        <w:rPr>
          <w:rFonts w:hint="default" w:ascii="Times New Roman" w:hAnsi="Times New Roman" w:eastAsia="仿宋_GB2312" w:cs="Times New Roman"/>
          <w:color w:val="auto"/>
          <w:spacing w:val="4"/>
          <w:sz w:val="32"/>
          <w:szCs w:val="32"/>
          <w:highlight w:val="none"/>
        </w:rPr>
        <w:t>县住建局组织房地产</w:t>
      </w:r>
      <w:r>
        <w:rPr>
          <w:rFonts w:hint="eastAsia" w:ascii="Times New Roman" w:hAnsi="Times New Roman" w:eastAsia="仿宋_GB2312" w:cs="Times New Roman"/>
          <w:color w:val="auto"/>
          <w:spacing w:val="4"/>
          <w:sz w:val="32"/>
          <w:szCs w:val="32"/>
          <w:highlight w:val="none"/>
          <w:lang w:eastAsia="zh-CN"/>
        </w:rPr>
        <w:t>业</w:t>
      </w:r>
      <w:r>
        <w:rPr>
          <w:rFonts w:hint="default" w:ascii="Times New Roman" w:hAnsi="Times New Roman" w:eastAsia="仿宋_GB2312" w:cs="Times New Roman"/>
          <w:color w:val="auto"/>
          <w:spacing w:val="4"/>
          <w:sz w:val="32"/>
          <w:szCs w:val="32"/>
          <w:highlight w:val="none"/>
        </w:rPr>
        <w:t>协会、开发商等搭建跨县区交流平台，邀请外地</w:t>
      </w:r>
      <w:r>
        <w:rPr>
          <w:rFonts w:hint="default" w:ascii="Times New Roman" w:hAnsi="Times New Roman" w:eastAsia="仿宋_GB2312" w:cs="Times New Roman"/>
          <w:color w:val="auto"/>
          <w:spacing w:val="4"/>
          <w:sz w:val="32"/>
          <w:szCs w:val="32"/>
          <w:highlight w:val="none"/>
          <w:lang w:eastAsia="zh-CN"/>
        </w:rPr>
        <w:t>有购房意向的家庭</w:t>
      </w:r>
      <w:r>
        <w:rPr>
          <w:rFonts w:hint="default" w:ascii="Times New Roman" w:hAnsi="Times New Roman" w:eastAsia="仿宋_GB2312" w:cs="Times New Roman"/>
          <w:color w:val="auto"/>
          <w:spacing w:val="4"/>
          <w:sz w:val="32"/>
          <w:szCs w:val="32"/>
          <w:highlight w:val="none"/>
          <w:lang w:val="en-US" w:eastAsia="zh-CN"/>
        </w:rPr>
        <w:t>或个人</w:t>
      </w:r>
      <w:r>
        <w:rPr>
          <w:rFonts w:hint="default" w:ascii="Times New Roman" w:hAnsi="Times New Roman" w:eastAsia="仿宋_GB2312" w:cs="Times New Roman"/>
          <w:color w:val="auto"/>
          <w:spacing w:val="4"/>
          <w:sz w:val="32"/>
          <w:szCs w:val="32"/>
          <w:highlight w:val="none"/>
        </w:rPr>
        <w:t>实地参观住房项目</w:t>
      </w:r>
      <w:r>
        <w:rPr>
          <w:rFonts w:hint="default" w:ascii="Times New Roman" w:hAnsi="Times New Roman" w:eastAsia="仿宋_GB2312" w:cs="Times New Roman"/>
          <w:color w:val="auto"/>
          <w:spacing w:val="4"/>
          <w:sz w:val="32"/>
          <w:szCs w:val="32"/>
          <w:highlight w:val="none"/>
          <w:lang w:eastAsia="zh-CN"/>
        </w:rPr>
        <w:t>和</w:t>
      </w:r>
      <w:r>
        <w:rPr>
          <w:rFonts w:hint="default" w:ascii="Times New Roman" w:hAnsi="Times New Roman" w:eastAsia="仿宋_GB2312" w:cs="Times New Roman"/>
          <w:color w:val="auto"/>
          <w:spacing w:val="4"/>
          <w:sz w:val="32"/>
          <w:szCs w:val="32"/>
          <w:highlight w:val="none"/>
        </w:rPr>
        <w:t>城市环境。</w:t>
      </w:r>
      <w:r>
        <w:rPr>
          <w:rFonts w:hint="eastAsia" w:ascii="Times New Roman" w:hAnsi="Times New Roman" w:eastAsia="仿宋_GB2312" w:cs="Times New Roman"/>
          <w:color w:val="auto"/>
          <w:spacing w:val="4"/>
          <w:sz w:val="32"/>
          <w:szCs w:val="32"/>
          <w:highlight w:val="none"/>
          <w:lang w:val="en-US" w:eastAsia="zh-CN"/>
        </w:rPr>
        <w:t>同时，发动本地企业、商会成员参与宣传，通过企业内部宣讲、员工推荐等方式，扩大政策覆盖面，增强外来人员定居瓷都的信心和意愿。</w:t>
      </w:r>
    </w:p>
    <w:p w14:paraId="7B6F15F1">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rPr>
      </w:pPr>
      <w:r>
        <w:rPr>
          <w:rFonts w:hint="eastAsia" w:ascii="Times New Roman" w:hAnsi="Times New Roman" w:eastAsia="仿宋_GB2312" w:cs="Times New Roman"/>
          <w:color w:val="auto"/>
          <w:spacing w:val="4"/>
          <w:sz w:val="32"/>
          <w:szCs w:val="32"/>
          <w:highlight w:val="none"/>
          <w:lang w:val="en-US" w:eastAsia="zh-CN"/>
        </w:rPr>
        <w:t>各乡镇应积极开展宣传动员工作，重点面向外来流动人口以及邻县交界乡镇的意向购房群体，让外来流动人口和邻县意向群体全面了解我县吸引定居的利好措施，拉动在我县购房定居。</w:t>
      </w:r>
    </w:p>
    <w:p w14:paraId="6CFD3935">
      <w:pPr>
        <w:keepNext w:val="0"/>
        <w:keepLines w:val="0"/>
        <w:pageBreakBefore w:val="0"/>
        <w:widowControl w:val="0"/>
        <w:numPr>
          <w:ilvl w:val="0"/>
          <w:numId w:val="0"/>
        </w:numPr>
        <w:kinsoku/>
        <w:wordWrap w:val="0"/>
        <w:overflowPunct w:val="0"/>
        <w:topLinePunct w:val="0"/>
        <w:autoSpaceDE w:val="0"/>
        <w:autoSpaceDN w:val="0"/>
        <w:bidi w:val="0"/>
        <w:adjustRightInd w:val="0"/>
        <w:snapToGrid w:val="0"/>
        <w:spacing w:line="520" w:lineRule="exact"/>
        <w:ind w:right="0" w:rightChars="0" w:firstLine="668" w:firstLineChars="200"/>
        <w:jc w:val="both"/>
        <w:textAlignment w:val="baseline"/>
        <w:outlineLvl w:val="1"/>
        <w:rPr>
          <w:rFonts w:hint="default" w:ascii="Times New Roman" w:hAnsi="Times New Roman" w:eastAsia="黑体" w:cs="Times New Roman"/>
          <w:color w:val="auto"/>
          <w:spacing w:val="7"/>
          <w:sz w:val="32"/>
          <w:szCs w:val="32"/>
          <w:highlight w:val="none"/>
          <w:lang w:eastAsia="zh-CN"/>
        </w:rPr>
      </w:pPr>
      <w:r>
        <w:rPr>
          <w:rFonts w:hint="eastAsia" w:ascii="Times New Roman" w:hAnsi="Times New Roman" w:eastAsia="黑体" w:cs="Times New Roman"/>
          <w:color w:val="auto"/>
          <w:spacing w:val="7"/>
          <w:sz w:val="32"/>
          <w:szCs w:val="32"/>
          <w:highlight w:val="none"/>
          <w:lang w:val="en-US" w:eastAsia="zh-CN"/>
        </w:rPr>
        <w:t>四、</w:t>
      </w:r>
      <w:r>
        <w:rPr>
          <w:rFonts w:hint="default" w:ascii="Times New Roman" w:hAnsi="Times New Roman" w:eastAsia="黑体" w:cs="Times New Roman"/>
          <w:color w:val="auto"/>
          <w:spacing w:val="7"/>
          <w:sz w:val="32"/>
          <w:szCs w:val="32"/>
          <w:highlight w:val="none"/>
          <w:lang w:eastAsia="zh-CN"/>
        </w:rPr>
        <w:t>其他</w:t>
      </w:r>
    </w:p>
    <w:p w14:paraId="65CCD9C6">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r>
        <w:rPr>
          <w:rFonts w:hint="default" w:ascii="Times New Roman" w:hAnsi="Times New Roman" w:eastAsia="仿宋_GB2312" w:cs="Times New Roman"/>
          <w:color w:val="auto"/>
          <w:spacing w:val="4"/>
          <w:sz w:val="32"/>
          <w:szCs w:val="32"/>
          <w:highlight w:val="none"/>
          <w:lang w:val="en-US" w:eastAsia="zh-CN"/>
        </w:rPr>
        <w:t>自本行动方案印发之日起，凡享受本方案支持政策的家庭或个人，不得同时享受其他同类别的购房补贴政策。</w:t>
      </w:r>
    </w:p>
    <w:p w14:paraId="691DA2B9">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bookmarkStart w:id="0" w:name="_GoBack"/>
      <w:bookmarkEnd w:id="0"/>
    </w:p>
    <w:p w14:paraId="5C4575AD">
      <w:pPr>
        <w:keepNext w:val="0"/>
        <w:keepLines w:val="0"/>
        <w:pageBreakBefore w:val="0"/>
        <w:widowControl w:val="0"/>
        <w:kinsoku/>
        <w:wordWrap/>
        <w:overflowPunct/>
        <w:topLinePunct w:val="0"/>
        <w:autoSpaceDE w:val="0"/>
        <w:autoSpaceDN w:val="0"/>
        <w:bidi w:val="0"/>
        <w:adjustRightInd w:val="0"/>
        <w:snapToGrid w:val="0"/>
        <w:spacing w:line="500" w:lineRule="exact"/>
        <w:ind w:left="0" w:right="0" w:firstLine="632" w:firstLineChars="200"/>
        <w:jc w:val="center"/>
        <w:textAlignment w:val="center"/>
        <w:outlineLvl w:val="0"/>
        <w:rPr>
          <w:rFonts w:hint="eastAsia" w:ascii="仿宋_GB2312" w:hAnsi="仿宋_GB2312" w:eastAsia="仿宋_GB2312" w:cs="仿宋_GB2312"/>
          <w:snapToGrid w:val="0"/>
          <w:color w:val="000000"/>
          <w:spacing w:val="-2"/>
          <w:kern w:val="0"/>
          <w:sz w:val="32"/>
          <w:szCs w:val="32"/>
          <w:lang w:val="en-US" w:eastAsia="en-US" w:bidi="ar-SA"/>
        </w:rPr>
      </w:pPr>
      <w:r>
        <w:rPr>
          <w:rFonts w:hint="eastAsia" w:ascii="仿宋_GB2312" w:hAnsi="仿宋_GB2312" w:eastAsia="仿宋_GB2312" w:cs="仿宋_GB2312"/>
          <w:snapToGrid w:val="0"/>
          <w:color w:val="000000"/>
          <w:spacing w:val="-2"/>
          <w:kern w:val="0"/>
          <w:sz w:val="32"/>
          <w:szCs w:val="32"/>
          <w:lang w:val="en-US" w:eastAsia="zh-CN" w:bidi="ar-SA"/>
        </w:rPr>
        <w:t xml:space="preserve">                       德化</w:t>
      </w:r>
      <w:r>
        <w:rPr>
          <w:rFonts w:hint="eastAsia" w:ascii="仿宋_GB2312" w:hAnsi="仿宋_GB2312" w:eastAsia="仿宋_GB2312" w:cs="仿宋_GB2312"/>
          <w:snapToGrid w:val="0"/>
          <w:color w:val="000000"/>
          <w:spacing w:val="-2"/>
          <w:kern w:val="0"/>
          <w:sz w:val="32"/>
          <w:szCs w:val="32"/>
          <w:lang w:val="en-US" w:eastAsia="en-US" w:bidi="ar-SA"/>
        </w:rPr>
        <w:t>县人民政府办公室</w:t>
      </w:r>
    </w:p>
    <w:p w14:paraId="4346A1C4">
      <w:pPr>
        <w:keepNext w:val="0"/>
        <w:keepLines w:val="0"/>
        <w:pageBreakBefore w:val="0"/>
        <w:widowControl w:val="0"/>
        <w:kinsoku/>
        <w:wordWrap/>
        <w:overflowPunct/>
        <w:topLinePunct w:val="0"/>
        <w:autoSpaceDE w:val="0"/>
        <w:autoSpaceDN w:val="0"/>
        <w:bidi w:val="0"/>
        <w:adjustRightInd w:val="0"/>
        <w:snapToGrid w:val="0"/>
        <w:spacing w:line="500" w:lineRule="exact"/>
        <w:ind w:left="0" w:right="0" w:firstLine="632" w:firstLineChars="200"/>
        <w:jc w:val="center"/>
        <w:textAlignment w:val="center"/>
        <w:outlineLvl w:val="0"/>
        <w:rPr>
          <w:rFonts w:hint="eastAsia" w:ascii="仿宋_GB2312" w:hAnsi="仿宋_GB2312" w:eastAsia="仿宋_GB2312" w:cs="仿宋_GB2312"/>
          <w:snapToGrid w:val="0"/>
          <w:color w:val="000000"/>
          <w:spacing w:val="-2"/>
          <w:kern w:val="0"/>
          <w:sz w:val="32"/>
          <w:szCs w:val="32"/>
          <w:lang w:val="en-US" w:eastAsia="en-US" w:bidi="ar-SA"/>
        </w:rPr>
      </w:pPr>
      <w:r>
        <w:rPr>
          <w:rFonts w:hint="eastAsia" w:ascii="仿宋_GB2312" w:hAnsi="仿宋_GB2312" w:eastAsia="仿宋_GB2312" w:cs="仿宋_GB2312"/>
          <w:snapToGrid w:val="0"/>
          <w:color w:val="000000"/>
          <w:spacing w:val="-2"/>
          <w:kern w:val="0"/>
          <w:sz w:val="32"/>
          <w:szCs w:val="32"/>
          <w:lang w:val="en-US" w:eastAsia="zh-CN" w:bidi="ar-SA"/>
        </w:rPr>
        <w:t xml:space="preserve">                        </w:t>
      </w:r>
      <w:r>
        <w:rPr>
          <w:rFonts w:ascii="仿宋_GB2312" w:hAnsi="宋体" w:eastAsia="仿宋_GB2312" w:cs="仿宋_GB2312"/>
          <w:i w:val="0"/>
          <w:iCs w:val="0"/>
          <w:caps w:val="0"/>
          <w:color w:val="000000"/>
          <w:spacing w:val="-2"/>
          <w:sz w:val="32"/>
          <w:szCs w:val="32"/>
          <w:shd w:val="clear" w:fill="FFFFFF"/>
        </w:rPr>
        <w:t>202</w:t>
      </w:r>
      <w:r>
        <w:rPr>
          <w:rFonts w:hint="eastAsia" w:ascii="仿宋_GB2312" w:hAnsi="宋体" w:eastAsia="仿宋_GB2312" w:cs="仿宋_GB2312"/>
          <w:i w:val="0"/>
          <w:iCs w:val="0"/>
          <w:caps w:val="0"/>
          <w:color w:val="000000"/>
          <w:spacing w:val="-2"/>
          <w:sz w:val="32"/>
          <w:szCs w:val="32"/>
          <w:shd w:val="clear" w:fill="FFFFFF"/>
          <w:lang w:val="en-US" w:eastAsia="zh-CN"/>
        </w:rPr>
        <w:t>6</w:t>
      </w:r>
      <w:r>
        <w:rPr>
          <w:rFonts w:ascii="仿宋_GB2312" w:hAnsi="宋体" w:eastAsia="仿宋_GB2312" w:cs="仿宋_GB2312"/>
          <w:i w:val="0"/>
          <w:iCs w:val="0"/>
          <w:caps w:val="0"/>
          <w:color w:val="000000"/>
          <w:spacing w:val="-2"/>
          <w:sz w:val="32"/>
          <w:szCs w:val="32"/>
          <w:shd w:val="clear" w:fill="FFFFFF"/>
        </w:rPr>
        <w:t>年</w:t>
      </w:r>
      <w:r>
        <w:rPr>
          <w:rFonts w:hint="eastAsia" w:ascii="仿宋_GB2312" w:hAnsi="宋体" w:eastAsia="仿宋_GB2312" w:cs="仿宋_GB2312"/>
          <w:i w:val="0"/>
          <w:iCs w:val="0"/>
          <w:caps w:val="0"/>
          <w:color w:val="000000"/>
          <w:spacing w:val="-2"/>
          <w:sz w:val="32"/>
          <w:szCs w:val="32"/>
          <w:shd w:val="clear" w:fill="FFFFFF"/>
          <w:lang w:val="en-US" w:eastAsia="zh-CN"/>
        </w:rPr>
        <w:t>5</w:t>
      </w:r>
      <w:r>
        <w:rPr>
          <w:rFonts w:hint="eastAsia" w:ascii="仿宋_GB2312" w:hAnsi="宋体" w:eastAsia="仿宋_GB2312" w:cs="仿宋_GB2312"/>
          <w:i w:val="0"/>
          <w:iCs w:val="0"/>
          <w:caps w:val="0"/>
          <w:color w:val="000000"/>
          <w:spacing w:val="-2"/>
          <w:sz w:val="32"/>
          <w:szCs w:val="32"/>
          <w:shd w:val="clear" w:fill="FFFFFF"/>
        </w:rPr>
        <w:t>月</w:t>
      </w:r>
      <w:r>
        <w:rPr>
          <w:rFonts w:hint="eastAsia" w:ascii="仿宋_GB2312" w:hAnsi="宋体" w:eastAsia="仿宋_GB2312" w:cs="仿宋_GB2312"/>
          <w:i w:val="0"/>
          <w:iCs w:val="0"/>
          <w:caps w:val="0"/>
          <w:color w:val="000000"/>
          <w:spacing w:val="-2"/>
          <w:sz w:val="32"/>
          <w:szCs w:val="32"/>
          <w:shd w:val="clear" w:fill="FFFFFF"/>
          <w:lang w:val="en-US" w:eastAsia="zh-CN"/>
        </w:rPr>
        <w:t>22</w:t>
      </w:r>
      <w:r>
        <w:rPr>
          <w:rFonts w:hint="eastAsia" w:ascii="仿宋_GB2312" w:hAnsi="宋体" w:eastAsia="仿宋_GB2312" w:cs="仿宋_GB2312"/>
          <w:i w:val="0"/>
          <w:iCs w:val="0"/>
          <w:caps w:val="0"/>
          <w:color w:val="000000"/>
          <w:spacing w:val="-2"/>
          <w:sz w:val="32"/>
          <w:szCs w:val="32"/>
          <w:shd w:val="clear" w:fill="FFFFFF"/>
        </w:rPr>
        <w:t>日</w:t>
      </w:r>
    </w:p>
    <w:p w14:paraId="6D60F0A6">
      <w:pPr>
        <w:keepNext w:val="0"/>
        <w:keepLines w:val="0"/>
        <w:pageBreakBefore w:val="0"/>
        <w:widowControl w:val="0"/>
        <w:kinsoku/>
        <w:wordWrap/>
        <w:overflowPunct w:val="0"/>
        <w:topLinePunct w:val="0"/>
        <w:autoSpaceDE/>
        <w:autoSpaceDN w:val="0"/>
        <w:bidi w:val="0"/>
        <w:spacing w:line="500" w:lineRule="exact"/>
        <w:ind w:left="0" w:leftChars="0" w:right="0" w:firstLine="629"/>
        <w:rPr>
          <w:rFonts w:hint="default" w:ascii="Times New Roman" w:hAnsi="Times New Roman" w:eastAsia="FangSong_GB2312" w:cs="Times New Roman"/>
          <w:color w:val="auto"/>
          <w:spacing w:val="6"/>
          <w:sz w:val="31"/>
          <w:szCs w:val="31"/>
          <w:highlight w:val="none"/>
          <w:lang w:eastAsia="zh-CN"/>
        </w:rPr>
      </w:pPr>
      <w:r>
        <w:rPr>
          <w:rFonts w:hint="eastAsia" w:ascii="Times New Roman" w:hAnsi="Times New Roman" w:eastAsia="FangSong_GB2312" w:cs="Times New Roman"/>
          <w:color w:val="auto"/>
          <w:spacing w:val="6"/>
          <w:sz w:val="31"/>
          <w:szCs w:val="31"/>
          <w:highlight w:val="none"/>
          <w:lang w:eastAsia="zh-CN"/>
        </w:rPr>
        <w:t>（此件主动公开）</w:t>
      </w:r>
    </w:p>
    <w:p w14:paraId="2B62415F">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p>
    <w:p w14:paraId="14CFDC13">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lang w:val="en-US" w:eastAsia="zh-CN"/>
        </w:rPr>
      </w:pPr>
    </w:p>
    <w:p w14:paraId="72559B15">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rPr>
      </w:pPr>
    </w:p>
    <w:p w14:paraId="5F20DF13">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left="0" w:right="0" w:firstLine="664"/>
        <w:jc w:val="both"/>
        <w:textAlignment w:val="baseline"/>
        <w:rPr>
          <w:rFonts w:hint="default" w:ascii="Times New Roman" w:hAnsi="Times New Roman" w:eastAsia="仿宋_GB2312" w:cs="Times New Roman"/>
          <w:color w:val="auto"/>
          <w:spacing w:val="4"/>
          <w:sz w:val="32"/>
          <w:szCs w:val="32"/>
          <w:highlight w:val="none"/>
        </w:rPr>
      </w:pPr>
      <w:r>
        <w:rPr>
          <w:rFonts w:hint="default" w:ascii="Times New Roman" w:hAnsi="Times New Roman" w:eastAsia="仿宋_GB2312" w:cs="Times New Roman"/>
          <w:color w:val="auto"/>
          <w:spacing w:val="4"/>
          <w:sz w:val="32"/>
          <w:szCs w:val="32"/>
          <w:highlight w:val="none"/>
        </w:rPr>
        <w:t>附件：1.全方位服务新德化人定居瓷都行动领导小组</w:t>
      </w:r>
    </w:p>
    <w:p w14:paraId="4129904F">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right="0" w:firstLine="1640" w:firstLineChars="500"/>
        <w:jc w:val="both"/>
        <w:textAlignment w:val="baseline"/>
        <w:rPr>
          <w:rFonts w:hint="default" w:ascii="Times New Roman" w:hAnsi="Times New Roman" w:eastAsia="仿宋_GB2312" w:cs="Times New Roman"/>
          <w:color w:val="auto"/>
          <w:spacing w:val="-23"/>
          <w:sz w:val="32"/>
          <w:szCs w:val="32"/>
          <w:highlight w:val="none"/>
        </w:rPr>
      </w:pPr>
      <w:r>
        <w:rPr>
          <w:rFonts w:hint="eastAsia" w:ascii="Times New Roman" w:hAnsi="Times New Roman" w:eastAsia="仿宋_GB2312" w:cs="Times New Roman"/>
          <w:color w:val="auto"/>
          <w:spacing w:val="4"/>
          <w:sz w:val="32"/>
          <w:szCs w:val="32"/>
          <w:highlight w:val="none"/>
          <w:lang w:val="en-US" w:eastAsia="zh-CN"/>
        </w:rPr>
        <w:t>2.</w:t>
      </w:r>
      <w:r>
        <w:rPr>
          <w:rFonts w:hint="default" w:ascii="Times New Roman" w:hAnsi="Times New Roman" w:eastAsia="仿宋_GB2312" w:cs="Times New Roman"/>
          <w:color w:val="auto"/>
          <w:spacing w:val="-23"/>
          <w:sz w:val="32"/>
          <w:szCs w:val="32"/>
          <w:highlight w:val="none"/>
        </w:rPr>
        <w:t>外来流动人口住房现状及购</w:t>
      </w:r>
      <w:r>
        <w:rPr>
          <w:rFonts w:hint="eastAsia" w:ascii="Times New Roman" w:hAnsi="Times New Roman" w:eastAsia="仿宋_GB2312" w:cs="Times New Roman"/>
          <w:color w:val="auto"/>
          <w:spacing w:val="-23"/>
          <w:sz w:val="32"/>
          <w:szCs w:val="32"/>
          <w:highlight w:val="none"/>
          <w:lang w:eastAsia="zh-CN"/>
        </w:rPr>
        <w:t>（租）</w:t>
      </w:r>
      <w:r>
        <w:rPr>
          <w:rFonts w:hint="default" w:ascii="Times New Roman" w:hAnsi="Times New Roman" w:eastAsia="仿宋_GB2312" w:cs="Times New Roman"/>
          <w:color w:val="auto"/>
          <w:spacing w:val="-23"/>
          <w:sz w:val="32"/>
          <w:szCs w:val="32"/>
          <w:highlight w:val="none"/>
        </w:rPr>
        <w:t>房意愿调查摸底表</w:t>
      </w:r>
    </w:p>
    <w:p w14:paraId="2BF7AAA3">
      <w:pPr>
        <w:pStyle w:val="2"/>
        <w:keepNext w:val="0"/>
        <w:keepLines w:val="0"/>
        <w:pageBreakBefore w:val="0"/>
        <w:widowControl w:val="0"/>
        <w:kinsoku/>
        <w:wordWrap w:val="0"/>
        <w:overflowPunct w:val="0"/>
        <w:topLinePunct w:val="0"/>
        <w:autoSpaceDE w:val="0"/>
        <w:autoSpaceDN w:val="0"/>
        <w:bidi w:val="0"/>
        <w:adjustRightInd w:val="0"/>
        <w:snapToGrid w:val="0"/>
        <w:spacing w:line="520" w:lineRule="exact"/>
        <w:ind w:right="0" w:firstLine="1600" w:firstLineChars="500"/>
        <w:jc w:val="both"/>
        <w:textAlignment w:val="baseline"/>
        <w:rPr>
          <w:rFonts w:hint="default" w:ascii="Times New Roman" w:hAnsi="Times New Roman" w:eastAsia="仿宋_GB2312" w:cs="Times New Roman"/>
          <w:color w:val="auto"/>
          <w:spacing w:val="-45"/>
          <w:sz w:val="32"/>
          <w:szCs w:val="32"/>
          <w:highlight w:val="none"/>
          <w:lang w:val="en-US" w:eastAsia="zh-CN"/>
        </w:rPr>
      </w:pPr>
      <w:r>
        <w:rPr>
          <w:rFonts w:hint="eastAsia" w:ascii="Times New Roman" w:hAnsi="Times New Roman" w:eastAsia="仿宋_GB2312" w:cs="Times New Roman"/>
          <w:color w:val="auto"/>
          <w:kern w:val="0"/>
          <w:sz w:val="32"/>
          <w:szCs w:val="32"/>
          <w:highlight w:val="none"/>
          <w:lang w:val="en-US" w:eastAsia="zh-CN"/>
        </w:rPr>
        <w:t>3.</w:t>
      </w:r>
      <w:r>
        <w:rPr>
          <w:rFonts w:hint="eastAsia" w:ascii="Times New Roman" w:hAnsi="Times New Roman" w:eastAsia="仿宋_GB2312" w:cs="Times New Roman"/>
          <w:color w:val="auto"/>
          <w:spacing w:val="-45"/>
          <w:sz w:val="32"/>
          <w:szCs w:val="32"/>
          <w:highlight w:val="none"/>
          <w:lang w:val="en-US" w:eastAsia="zh-CN"/>
        </w:rPr>
        <w:t>外来流动人口住房现状及购（租）房意愿调查摸底汇总表</w:t>
      </w:r>
    </w:p>
    <w:p w14:paraId="19D50017">
      <w:pPr>
        <w:pStyle w:val="2"/>
        <w:keepNext w:val="0"/>
        <w:keepLines w:val="0"/>
        <w:pageBreakBefore w:val="0"/>
        <w:widowControl w:val="0"/>
        <w:kinsoku/>
        <w:wordWrap w:val="0"/>
        <w:overflowPunct w:val="0"/>
        <w:topLinePunct w:val="0"/>
        <w:autoSpaceDE w:val="0"/>
        <w:autoSpaceDN w:val="0"/>
        <w:bidi w:val="0"/>
        <w:adjustRightInd w:val="0"/>
        <w:snapToGrid w:val="0"/>
        <w:spacing w:line="500" w:lineRule="exact"/>
        <w:ind w:right="0" w:firstLine="1150" w:firstLineChars="500"/>
        <w:jc w:val="both"/>
        <w:textAlignment w:val="baseline"/>
        <w:rPr>
          <w:rFonts w:hint="default" w:ascii="Times New Roman" w:hAnsi="Times New Roman" w:eastAsia="仿宋_GB2312" w:cs="Times New Roman"/>
          <w:color w:val="auto"/>
          <w:spacing w:val="-45"/>
          <w:sz w:val="32"/>
          <w:szCs w:val="32"/>
          <w:highlight w:val="none"/>
        </w:rPr>
        <w:sectPr>
          <w:footerReference r:id="rId5" w:type="default"/>
          <w:pgSz w:w="11906" w:h="16839"/>
          <w:pgMar w:top="1417" w:right="1474" w:bottom="1417" w:left="1587" w:header="0" w:footer="964" w:gutter="0"/>
          <w:pgNumType w:fmt="numberInDash"/>
          <w:cols w:space="0" w:num="1"/>
          <w:rtlGutter w:val="0"/>
          <w:docGrid w:linePitch="0" w:charSpace="0"/>
        </w:sectPr>
      </w:pPr>
    </w:p>
    <w:p w14:paraId="6ADE6D32">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附件1</w:t>
      </w:r>
    </w:p>
    <w:p w14:paraId="39FA4B3A">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全方位服务新德化人定居瓷都行动领导小组</w:t>
      </w:r>
    </w:p>
    <w:p w14:paraId="7A2AC3EE">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p>
    <w:p w14:paraId="0A5EA406">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firstLine="643"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组  长：</w:t>
      </w:r>
      <w:r>
        <w:rPr>
          <w:rFonts w:hint="eastAsia" w:ascii="仿宋_GB2312" w:hAnsi="仿宋_GB2312" w:eastAsia="仿宋_GB2312" w:cs="仿宋_GB2312"/>
          <w:color w:val="auto"/>
          <w:sz w:val="32"/>
          <w:szCs w:val="32"/>
          <w:highlight w:val="none"/>
          <w:lang w:val="en-US" w:eastAsia="zh-CN"/>
        </w:rPr>
        <w:t>苏泰山  县政府副县长</w:t>
      </w:r>
    </w:p>
    <w:p w14:paraId="0E029349">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firstLine="643"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副组长：</w:t>
      </w:r>
      <w:r>
        <w:rPr>
          <w:rFonts w:hint="eastAsia" w:ascii="仿宋_GB2312" w:hAnsi="仿宋_GB2312" w:eastAsia="仿宋_GB2312" w:cs="仿宋_GB2312"/>
          <w:color w:val="auto"/>
          <w:sz w:val="32"/>
          <w:szCs w:val="32"/>
          <w:highlight w:val="none"/>
          <w:lang w:val="en-US" w:eastAsia="zh-CN"/>
        </w:rPr>
        <w:t>林文滨  县住建局党组书记、局长</w:t>
      </w:r>
    </w:p>
    <w:p w14:paraId="00C47A27">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成  员：</w:t>
      </w:r>
      <w:r>
        <w:rPr>
          <w:rFonts w:hint="default" w:ascii="仿宋_GB2312" w:hAnsi="仿宋_GB2312" w:eastAsia="仿宋_GB2312" w:cs="仿宋_GB2312"/>
          <w:color w:val="auto"/>
          <w:sz w:val="32"/>
          <w:szCs w:val="32"/>
          <w:highlight w:val="none"/>
          <w:u w:val="none"/>
          <w:lang w:val="en-US" w:eastAsia="zh-CN"/>
        </w:rPr>
        <w:t>王明珍</w:t>
      </w:r>
      <w:r>
        <w:rPr>
          <w:rFonts w:hint="eastAsia" w:ascii="仿宋_GB2312" w:hAnsi="仿宋_GB2312" w:eastAsia="仿宋_GB2312" w:cs="仿宋_GB2312"/>
          <w:b/>
          <w:bCs/>
          <w:color w:val="auto"/>
          <w:sz w:val="32"/>
          <w:szCs w:val="32"/>
          <w:highlight w:val="none"/>
          <w:lang w:val="en-US" w:eastAsia="zh-CN"/>
        </w:rPr>
        <w:t xml:space="preserve">  </w:t>
      </w:r>
      <w:r>
        <w:rPr>
          <w:rFonts w:hint="default" w:ascii="仿宋_GB2312" w:hAnsi="仿宋_GB2312" w:eastAsia="仿宋_GB2312" w:cs="仿宋_GB2312"/>
          <w:color w:val="auto"/>
          <w:sz w:val="32"/>
          <w:szCs w:val="32"/>
          <w:highlight w:val="none"/>
          <w:u w:val="none"/>
          <w:lang w:val="en-US" w:eastAsia="zh-CN"/>
        </w:rPr>
        <w:t>县委组织部副部长</w:t>
      </w:r>
    </w:p>
    <w:p w14:paraId="62B1F08E">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许章槐  县委宣传部副部长</w:t>
      </w:r>
    </w:p>
    <w:p w14:paraId="3FFC2DC8">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firstLine="1920" w:firstLineChars="600"/>
        <w:jc w:val="left"/>
        <w:textAlignment w:val="auto"/>
        <w:rPr>
          <w:rFonts w:hint="eastAsia" w:ascii="仿宋_GB2312" w:hAnsi="仿宋_GB2312" w:eastAsia="仿宋_GB2312" w:cs="仿宋_GB2312"/>
          <w:color w:val="auto"/>
          <w:sz w:val="30"/>
          <w:szCs w:val="30"/>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周崇楚  </w:t>
      </w:r>
      <w:r>
        <w:rPr>
          <w:rFonts w:hint="eastAsia" w:ascii="仿宋_GB2312" w:hAnsi="仿宋_GB2312" w:eastAsia="仿宋_GB2312" w:cs="仿宋_GB2312"/>
          <w:color w:val="auto"/>
          <w:sz w:val="30"/>
          <w:szCs w:val="30"/>
          <w:highlight w:val="none"/>
          <w:u w:val="none"/>
          <w:lang w:val="en-US" w:eastAsia="zh-CN"/>
        </w:rPr>
        <w:t>县委统战部副部长、兼任工商联常务副主席</w:t>
      </w:r>
    </w:p>
    <w:p w14:paraId="1F79D862">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            曾华伟  县委招商办副主任</w:t>
      </w:r>
    </w:p>
    <w:p w14:paraId="6567F2C8">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            郭庆宏  县工信商务局副局长</w:t>
      </w:r>
    </w:p>
    <w:p w14:paraId="73B9930E">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陈海民  县教育局副局长</w:t>
      </w:r>
    </w:p>
    <w:p w14:paraId="04A6B255">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吴荣枢  县财政局副局长</w:t>
      </w:r>
    </w:p>
    <w:p w14:paraId="35EDE95E">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吴苍灿  县人社局人力资源服务中心主任</w:t>
      </w:r>
    </w:p>
    <w:p w14:paraId="4D30B29D">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陈振裕  县自然资源局不动产登记中心主任</w:t>
      </w:r>
    </w:p>
    <w:p w14:paraId="357B809B">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firstLine="1285" w:firstLineChars="4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林长杰  县住建局党组成员、四级主任科员</w:t>
      </w:r>
    </w:p>
    <w:p w14:paraId="79600587">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郑  欣  县卫健局副局长</w:t>
      </w:r>
    </w:p>
    <w:p w14:paraId="742F7AF1">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王永鑫  龙浔镇党群服务中心主任</w:t>
      </w:r>
    </w:p>
    <w:p w14:paraId="10A2E6F2">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黄仲霖  浔中镇党群服务中心主任</w:t>
      </w:r>
    </w:p>
    <w:p w14:paraId="154F6FFF">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陈林杨  盖德镇政府副镇长</w:t>
      </w:r>
    </w:p>
    <w:p w14:paraId="6B197FAF">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陈汛万  三班镇政府副镇长</w:t>
      </w:r>
    </w:p>
    <w:p w14:paraId="4E91D1BB">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刘国垤  龙门滩镇党群服务中心主任</w:t>
      </w:r>
    </w:p>
    <w:p w14:paraId="5084EACC">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曾庆燊  雷峰镇党委委员、武装部部长</w:t>
      </w:r>
    </w:p>
    <w:p w14:paraId="3FA04CD0">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苏文光  南埕镇宣传委员</w:t>
      </w:r>
    </w:p>
    <w:p w14:paraId="7692C8FD">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颜一鸣  水口镇政府副镇长</w:t>
      </w:r>
    </w:p>
    <w:p w14:paraId="07D593E7">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陈伟彬  国宝乡综合执法队队长</w:t>
      </w:r>
    </w:p>
    <w:p w14:paraId="4438750C">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苏建平  赤水镇党委委员、武装部部长</w:t>
      </w:r>
    </w:p>
    <w:p w14:paraId="18A05E4D">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苏双魁  美湖镇执法大队队长</w:t>
      </w:r>
    </w:p>
    <w:p w14:paraId="5B526145">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李自有  大铭乡党委副书记</w:t>
      </w:r>
    </w:p>
    <w:p w14:paraId="705FC86C">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苏珠哲  春美乡党委副书记、政法委员</w:t>
      </w:r>
    </w:p>
    <w:p w14:paraId="265C943D">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苏锡凯  上涌镇政府副镇长</w:t>
      </w:r>
    </w:p>
    <w:p w14:paraId="65801682">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陈贵庆  汤头乡政府副乡长</w:t>
      </w:r>
    </w:p>
    <w:p w14:paraId="7A3959EE">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郑甲强  葛坑镇社会事务服务中心主任</w:t>
      </w:r>
    </w:p>
    <w:p w14:paraId="55198B41">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林诗荣  桂阳乡党群服务中心主任</w:t>
      </w:r>
    </w:p>
    <w:p w14:paraId="7EC4B23D">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蔡凌斌  杨梅乡党委组织委员</w:t>
      </w:r>
    </w:p>
    <w:p w14:paraId="4CE6FA73">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林明朗  县城建集团副总经理</w:t>
      </w:r>
    </w:p>
    <w:p w14:paraId="2EB161B6">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陈诗楚  县</w:t>
      </w:r>
      <w:r>
        <w:rPr>
          <w:rFonts w:hint="eastAsia" w:ascii="仿宋_GB2312" w:hAnsi="仿宋_GB2312" w:eastAsia="仿宋_GB2312" w:cs="仿宋_GB2312"/>
          <w:color w:val="auto"/>
          <w:sz w:val="32"/>
          <w:szCs w:val="32"/>
          <w:highlight w:val="none"/>
          <w:lang w:eastAsia="zh-CN"/>
        </w:rPr>
        <w:t>文旅集团</w:t>
      </w:r>
      <w:r>
        <w:rPr>
          <w:rFonts w:hint="eastAsia" w:ascii="仿宋_GB2312" w:hAnsi="仿宋_GB2312" w:eastAsia="仿宋_GB2312" w:cs="仿宋_GB2312"/>
          <w:color w:val="auto"/>
          <w:sz w:val="32"/>
          <w:szCs w:val="32"/>
          <w:highlight w:val="none"/>
          <w:u w:val="none"/>
          <w:lang w:val="en-US" w:eastAsia="zh-CN"/>
        </w:rPr>
        <w:t>党委委员</w:t>
      </w:r>
    </w:p>
    <w:p w14:paraId="1CB67FF2">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b/>
          <w:bCs/>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苏国穗  德化工业园区开发投资有限公司总经理</w:t>
      </w:r>
    </w:p>
    <w:p w14:paraId="410490BF">
      <w:pPr>
        <w:keepNext w:val="0"/>
        <w:keepLines w:val="0"/>
        <w:pageBreakBefore w:val="0"/>
        <w:widowControl w:val="0"/>
        <w:kinsoku/>
        <w:wordWrap w:val="0"/>
        <w:overflowPunct w:val="0"/>
        <w:topLinePunct w:val="0"/>
        <w:autoSpaceDE w:val="0"/>
        <w:autoSpaceDN w:val="0"/>
        <w:bidi w:val="0"/>
        <w:adjustRightInd/>
        <w:snapToGrid/>
        <w:spacing w:line="560" w:lineRule="exact"/>
        <w:ind w:left="0" w:leftChars="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林嫦娥  泉州工艺美院学生处处长</w:t>
      </w:r>
    </w:p>
    <w:p w14:paraId="6D518387">
      <w:pPr>
        <w:keepNext w:val="0"/>
        <w:keepLines w:val="0"/>
        <w:pageBreakBefore w:val="0"/>
        <w:widowControl w:val="0"/>
        <w:kinsoku/>
        <w:wordWrap w:val="0"/>
        <w:overflowPunct/>
        <w:topLinePunct w:val="0"/>
        <w:autoSpaceDE w:val="0"/>
        <w:autoSpaceDN w:val="0"/>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领导小组下设办公室，挂靠在县住建局，由其牵头</w:t>
      </w:r>
      <w:r>
        <w:rPr>
          <w:rFonts w:hint="eastAsia" w:ascii="仿宋_GB2312" w:hAnsi="仿宋_GB2312" w:eastAsia="仿宋_GB2312" w:cs="仿宋_GB2312"/>
          <w:color w:val="auto"/>
          <w:sz w:val="32"/>
          <w:szCs w:val="32"/>
          <w:highlight w:val="none"/>
        </w:rPr>
        <w:t>设立“一站式”服务窗口</w:t>
      </w:r>
      <w:r>
        <w:rPr>
          <w:rFonts w:hint="eastAsia" w:ascii="仿宋_GB2312" w:hAnsi="仿宋_GB2312" w:eastAsia="仿宋_GB2312" w:cs="仿宋_GB2312"/>
          <w:color w:val="auto"/>
          <w:sz w:val="32"/>
          <w:szCs w:val="32"/>
          <w:highlight w:val="none"/>
          <w:lang w:eastAsia="zh-CN"/>
        </w:rPr>
        <w:t>，“共有产权”住房支持政策的</w:t>
      </w:r>
      <w:r>
        <w:rPr>
          <w:rFonts w:hint="eastAsia" w:ascii="仿宋_GB2312" w:hAnsi="仿宋_GB2312" w:eastAsia="仿宋_GB2312" w:cs="仿宋_GB2312"/>
          <w:color w:val="auto"/>
          <w:sz w:val="32"/>
          <w:szCs w:val="32"/>
          <w:highlight w:val="none"/>
          <w:lang w:val="en-US" w:eastAsia="zh-CN"/>
        </w:rPr>
        <w:t>具体</w:t>
      </w:r>
      <w:r>
        <w:rPr>
          <w:rFonts w:hint="eastAsia" w:ascii="仿宋_GB2312" w:hAnsi="仿宋_GB2312" w:eastAsia="仿宋_GB2312" w:cs="仿宋_GB2312"/>
          <w:color w:val="auto"/>
          <w:sz w:val="32"/>
          <w:szCs w:val="32"/>
          <w:highlight w:val="none"/>
          <w:lang w:eastAsia="zh-CN"/>
        </w:rPr>
        <w:t>实施由</w:t>
      </w:r>
      <w:r>
        <w:rPr>
          <w:rFonts w:hint="eastAsia" w:ascii="仿宋_GB2312" w:hAnsi="仿宋_GB2312" w:eastAsia="仿宋_GB2312" w:cs="仿宋_GB2312"/>
          <w:color w:val="auto"/>
          <w:sz w:val="32"/>
          <w:szCs w:val="32"/>
          <w:highlight w:val="none"/>
          <w:lang w:val="en-US" w:eastAsia="zh-CN"/>
        </w:rPr>
        <w:t>城建集团牵头负责，协同</w:t>
      </w:r>
      <w:r>
        <w:rPr>
          <w:rFonts w:hint="eastAsia" w:ascii="仿宋_GB2312" w:hAnsi="仿宋_GB2312" w:eastAsia="仿宋_GB2312" w:cs="仿宋_GB2312"/>
          <w:color w:val="auto"/>
          <w:sz w:val="32"/>
          <w:szCs w:val="32"/>
          <w:highlight w:val="none"/>
          <w:lang w:eastAsia="zh-CN"/>
        </w:rPr>
        <w:t>开展</w:t>
      </w:r>
      <w:r>
        <w:rPr>
          <w:rFonts w:hint="eastAsia" w:ascii="仿宋_GB2312" w:hAnsi="仿宋_GB2312" w:eastAsia="仿宋_GB2312" w:cs="仿宋_GB2312"/>
          <w:color w:val="auto"/>
          <w:sz w:val="32"/>
          <w:szCs w:val="32"/>
          <w:highlight w:val="none"/>
          <w:lang w:val="en-US" w:eastAsia="zh-CN"/>
        </w:rPr>
        <w:t>全方位服务新德化人定居瓷都行动的</w:t>
      </w:r>
      <w:r>
        <w:rPr>
          <w:rFonts w:hint="eastAsia" w:ascii="仿宋_GB2312" w:hAnsi="仿宋_GB2312" w:eastAsia="仿宋_GB2312" w:cs="仿宋_GB2312"/>
          <w:color w:val="auto"/>
          <w:sz w:val="32"/>
          <w:szCs w:val="32"/>
          <w:highlight w:val="none"/>
          <w:lang w:eastAsia="zh-CN"/>
        </w:rPr>
        <w:t>相关日常工作，</w:t>
      </w:r>
      <w:r>
        <w:rPr>
          <w:rFonts w:hint="eastAsia" w:ascii="仿宋_GB2312" w:hAnsi="仿宋_GB2312" w:eastAsia="仿宋_GB2312" w:cs="仿宋_GB2312"/>
          <w:color w:val="auto"/>
          <w:sz w:val="32"/>
          <w:szCs w:val="32"/>
          <w:highlight w:val="none"/>
          <w:lang w:val="en-US" w:eastAsia="zh-CN"/>
        </w:rPr>
        <w:t>其他部门按照职责落实该项行动方案。</w:t>
      </w:r>
    </w:p>
    <w:p w14:paraId="2259E529">
      <w:pPr>
        <w:keepNext w:val="0"/>
        <w:keepLines w:val="0"/>
        <w:pageBreakBefore w:val="0"/>
        <w:widowControl w:val="0"/>
        <w:kinsoku/>
        <w:wordWrap w:val="0"/>
        <w:overflowPunct/>
        <w:topLinePunct w:val="0"/>
        <w:autoSpaceDE w:val="0"/>
        <w:autoSpaceDN w:val="0"/>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领导小组</w:t>
      </w:r>
      <w:r>
        <w:rPr>
          <w:rFonts w:hint="default" w:ascii="仿宋_GB2312" w:hAnsi="仿宋_GB2312" w:eastAsia="仿宋_GB2312" w:cs="仿宋_GB2312"/>
          <w:color w:val="auto"/>
          <w:sz w:val="32"/>
          <w:szCs w:val="32"/>
          <w:highlight w:val="none"/>
          <w:lang w:val="en-US" w:eastAsia="zh-CN"/>
        </w:rPr>
        <w:t>成员职务如有变动，由继任者自然接任，不再另行发文通知。</w:t>
      </w:r>
    </w:p>
    <w:p w14:paraId="2CC1F878">
      <w:pPr>
        <w:keepNext w:val="0"/>
        <w:keepLines w:val="0"/>
        <w:pageBreakBefore w:val="0"/>
        <w:widowControl w:val="0"/>
        <w:kinsoku/>
        <w:wordWrap w:val="0"/>
        <w:overflowPunct/>
        <w:topLinePunct w:val="0"/>
        <w:autoSpaceDE w:val="0"/>
        <w:autoSpaceDN w:val="0"/>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p>
    <w:p w14:paraId="61F9F7CF">
      <w:pPr>
        <w:keepNext w:val="0"/>
        <w:keepLines w:val="0"/>
        <w:pageBreakBefore w:val="0"/>
        <w:widowControl w:val="0"/>
        <w:kinsoku/>
        <w:wordWrap w:val="0"/>
        <w:overflowPunct/>
        <w:topLinePunct w:val="0"/>
        <w:autoSpaceDE w:val="0"/>
        <w:autoSpaceDN w:val="0"/>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p>
    <w:p w14:paraId="164DAD00">
      <w:pPr>
        <w:keepNext w:val="0"/>
        <w:keepLines w:val="0"/>
        <w:pageBreakBefore w:val="0"/>
        <w:widowControl w:val="0"/>
        <w:kinsoku/>
        <w:wordWrap w:val="0"/>
        <w:overflowPunct w:val="0"/>
        <w:topLinePunct w:val="0"/>
        <w:autoSpaceDE w:val="0"/>
        <w:autoSpaceDN w:val="0"/>
        <w:bidi w:val="0"/>
        <w:spacing w:line="560" w:lineRule="exact"/>
        <w:ind w:left="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附件2</w:t>
      </w:r>
    </w:p>
    <w:p w14:paraId="65CD9939">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方正小标宋简体" w:hAnsi="方正小标宋简体" w:eastAsia="方正小标宋简体" w:cs="方正小标宋简体"/>
          <w:color w:val="auto"/>
          <w:spacing w:val="4"/>
          <w:sz w:val="36"/>
          <w:szCs w:val="36"/>
          <w:highlight w:val="none"/>
        </w:rPr>
      </w:pPr>
      <w:r>
        <w:rPr>
          <w:rFonts w:hint="eastAsia" w:ascii="方正小标宋简体" w:hAnsi="方正小标宋简体" w:eastAsia="方正小标宋简体" w:cs="方正小标宋简体"/>
          <w:color w:val="auto"/>
          <w:spacing w:val="4"/>
          <w:sz w:val="36"/>
          <w:szCs w:val="36"/>
          <w:highlight w:val="none"/>
        </w:rPr>
        <w:t>外来流动人口住房现状及购</w:t>
      </w:r>
      <w:r>
        <w:rPr>
          <w:rFonts w:hint="eastAsia" w:ascii="方正小标宋简体" w:hAnsi="方正小标宋简体" w:eastAsia="方正小标宋简体" w:cs="方正小标宋简体"/>
          <w:color w:val="auto"/>
          <w:spacing w:val="4"/>
          <w:sz w:val="36"/>
          <w:szCs w:val="36"/>
          <w:highlight w:val="none"/>
          <w:lang w:eastAsia="zh-CN"/>
        </w:rPr>
        <w:t>（租）</w:t>
      </w:r>
      <w:r>
        <w:rPr>
          <w:rFonts w:hint="eastAsia" w:ascii="方正小标宋简体" w:hAnsi="方正小标宋简体" w:eastAsia="方正小标宋简体" w:cs="方正小标宋简体"/>
          <w:color w:val="auto"/>
          <w:spacing w:val="4"/>
          <w:sz w:val="36"/>
          <w:szCs w:val="36"/>
          <w:highlight w:val="none"/>
        </w:rPr>
        <w:t>房意愿调查摸底表</w:t>
      </w:r>
    </w:p>
    <w:p w14:paraId="319F7E80">
      <w:pPr>
        <w:keepNext w:val="0"/>
        <w:keepLines w:val="0"/>
        <w:pageBreakBefore w:val="0"/>
        <w:widowControl w:val="0"/>
        <w:kinsoku/>
        <w:wordWrap w:val="0"/>
        <w:overflowPunct w:val="0"/>
        <w:topLinePunct w:val="0"/>
        <w:autoSpaceDE w:val="0"/>
        <w:autoSpaceDN w:val="0"/>
        <w:bidi w:val="0"/>
        <w:spacing w:line="560" w:lineRule="exact"/>
        <w:ind w:firstLine="210" w:firstLineChars="100"/>
        <w:jc w:val="both"/>
        <w:rPr>
          <w:rFonts w:hint="eastAsia" w:ascii="方正小标宋_GBK" w:hAnsi="方正小标宋_GBK" w:eastAsia="方正小标宋_GBK" w:cs="方正小标宋_GBK"/>
          <w:color w:val="auto"/>
          <w:sz w:val="21"/>
          <w:szCs w:val="21"/>
          <w:highlight w:val="none"/>
          <w:u w:val="none"/>
          <w:lang w:val="en-US" w:eastAsia="zh-CN"/>
        </w:rPr>
      </w:pPr>
      <w:r>
        <w:rPr>
          <w:rFonts w:hint="eastAsia" w:ascii="方正小标宋_GBK" w:hAnsi="方正小标宋_GBK" w:eastAsia="方正小标宋_GBK" w:cs="方正小标宋_GBK"/>
          <w:color w:val="auto"/>
          <w:sz w:val="21"/>
          <w:szCs w:val="21"/>
          <w:highlight w:val="none"/>
          <w:u w:val="none"/>
          <w:lang w:val="en-US" w:eastAsia="zh-CN"/>
        </w:rPr>
        <w:t>镇（乡）：                                  社区（村）：</w:t>
      </w:r>
    </w:p>
    <w:tbl>
      <w:tblPr>
        <w:tblStyle w:val="7"/>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1437"/>
        <w:gridCol w:w="675"/>
        <w:gridCol w:w="839"/>
        <w:gridCol w:w="839"/>
        <w:gridCol w:w="1450"/>
        <w:gridCol w:w="1097"/>
        <w:gridCol w:w="991"/>
      </w:tblGrid>
      <w:tr w14:paraId="7AD0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90" w:type="dxa"/>
            <w:vAlign w:val="center"/>
          </w:tcPr>
          <w:p w14:paraId="165488F9">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r>
              <w:rPr>
                <w:rFonts w:hint="eastAsia" w:ascii="黑体" w:hAnsi="黑体" w:eastAsia="黑体" w:cs="黑体"/>
                <w:color w:val="auto"/>
                <w:sz w:val="21"/>
                <w:szCs w:val="21"/>
                <w:highlight w:val="none"/>
                <w:u w:val="none"/>
                <w:vertAlign w:val="baseline"/>
                <w:lang w:val="en-US" w:eastAsia="zh-CN"/>
              </w:rPr>
              <w:t>姓  名</w:t>
            </w:r>
          </w:p>
        </w:tc>
        <w:tc>
          <w:tcPr>
            <w:tcW w:w="1437" w:type="dxa"/>
            <w:vAlign w:val="center"/>
          </w:tcPr>
          <w:p w14:paraId="6DBA8BC1">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p>
        </w:tc>
        <w:tc>
          <w:tcPr>
            <w:tcW w:w="675" w:type="dxa"/>
            <w:vAlign w:val="center"/>
          </w:tcPr>
          <w:p w14:paraId="5DC3D3C9">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r>
              <w:rPr>
                <w:rFonts w:hint="eastAsia" w:ascii="黑体" w:hAnsi="黑体" w:eastAsia="黑体" w:cs="黑体"/>
                <w:color w:val="auto"/>
                <w:sz w:val="21"/>
                <w:szCs w:val="21"/>
                <w:highlight w:val="none"/>
                <w:u w:val="none"/>
                <w:vertAlign w:val="baseline"/>
                <w:lang w:val="en-US" w:eastAsia="zh-CN"/>
              </w:rPr>
              <w:t>年龄</w:t>
            </w:r>
          </w:p>
        </w:tc>
        <w:tc>
          <w:tcPr>
            <w:tcW w:w="839" w:type="dxa"/>
            <w:vAlign w:val="center"/>
          </w:tcPr>
          <w:p w14:paraId="5DB2D235">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p>
        </w:tc>
        <w:tc>
          <w:tcPr>
            <w:tcW w:w="839" w:type="dxa"/>
            <w:vAlign w:val="center"/>
          </w:tcPr>
          <w:p w14:paraId="39E0709E">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r>
              <w:rPr>
                <w:rFonts w:hint="eastAsia" w:ascii="黑体" w:hAnsi="黑体" w:eastAsia="黑体" w:cs="黑体"/>
                <w:color w:val="auto"/>
                <w:sz w:val="21"/>
                <w:szCs w:val="21"/>
                <w:highlight w:val="none"/>
                <w:u w:val="none"/>
                <w:vertAlign w:val="baseline"/>
                <w:lang w:val="en-US" w:eastAsia="zh-CN"/>
              </w:rPr>
              <w:t>原籍</w:t>
            </w:r>
          </w:p>
        </w:tc>
        <w:tc>
          <w:tcPr>
            <w:tcW w:w="1450" w:type="dxa"/>
            <w:vAlign w:val="center"/>
          </w:tcPr>
          <w:p w14:paraId="0F01D0A4">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p>
        </w:tc>
        <w:tc>
          <w:tcPr>
            <w:tcW w:w="1097" w:type="dxa"/>
            <w:vAlign w:val="center"/>
          </w:tcPr>
          <w:p w14:paraId="05C0965B">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r>
              <w:rPr>
                <w:rFonts w:hint="eastAsia" w:ascii="黑体" w:hAnsi="黑体" w:eastAsia="黑体" w:cs="黑体"/>
                <w:color w:val="auto"/>
                <w:sz w:val="21"/>
                <w:szCs w:val="21"/>
                <w:highlight w:val="none"/>
                <w:u w:val="none"/>
                <w:vertAlign w:val="baseline"/>
                <w:lang w:val="en-US" w:eastAsia="zh-CN"/>
              </w:rPr>
              <w:t>家庭人口</w:t>
            </w:r>
          </w:p>
        </w:tc>
        <w:tc>
          <w:tcPr>
            <w:tcW w:w="991" w:type="dxa"/>
            <w:vAlign w:val="center"/>
          </w:tcPr>
          <w:p w14:paraId="69937C67">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p>
        </w:tc>
      </w:tr>
      <w:tr w14:paraId="7846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90" w:type="dxa"/>
            <w:shd w:val="clear" w:color="auto" w:fill="auto"/>
            <w:vAlign w:val="center"/>
          </w:tcPr>
          <w:p w14:paraId="79A07809">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leftChars="0"/>
              <w:jc w:val="center"/>
              <w:textAlignment w:val="baseline"/>
              <w:rPr>
                <w:rFonts w:hint="eastAsia" w:ascii="黑体" w:hAnsi="黑体" w:eastAsia="黑体" w:cs="黑体"/>
                <w:snapToGrid w:val="0"/>
                <w:color w:val="auto"/>
                <w:kern w:val="0"/>
                <w:sz w:val="21"/>
                <w:szCs w:val="21"/>
                <w:highlight w:val="none"/>
                <w:u w:val="none"/>
                <w:vertAlign w:val="baseline"/>
                <w:lang w:val="en-US" w:eastAsia="zh-CN" w:bidi="ar-SA"/>
              </w:rPr>
            </w:pPr>
            <w:r>
              <w:rPr>
                <w:rFonts w:hint="eastAsia" w:ascii="黑体" w:hAnsi="黑体" w:eastAsia="黑体" w:cs="黑体"/>
                <w:color w:val="auto"/>
                <w:sz w:val="21"/>
                <w:szCs w:val="21"/>
                <w:highlight w:val="none"/>
                <w:u w:val="none"/>
                <w:vertAlign w:val="baseline"/>
                <w:lang w:val="en-US" w:eastAsia="zh-CN"/>
              </w:rPr>
              <w:t>来德年限</w:t>
            </w:r>
          </w:p>
        </w:tc>
        <w:tc>
          <w:tcPr>
            <w:tcW w:w="3790" w:type="dxa"/>
            <w:gridSpan w:val="4"/>
            <w:shd w:val="clear" w:color="auto" w:fill="auto"/>
            <w:vAlign w:val="center"/>
          </w:tcPr>
          <w:p w14:paraId="5E79A2D0">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leftChars="0"/>
              <w:jc w:val="both"/>
              <w:textAlignment w:val="baseline"/>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□1年以内</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□1-3年</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3</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-5年</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p>
          <w:p w14:paraId="7CF64F2C">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leftChars="0"/>
              <w:jc w:val="both"/>
              <w:textAlignment w:val="baseline"/>
              <w:rPr>
                <w:rFonts w:hint="eastAsia" w:ascii="黑体" w:hAnsi="黑体" w:eastAsia="黑体" w:cs="黑体"/>
                <w:snapToGrid w:val="0"/>
                <w:color w:val="auto"/>
                <w:kern w:val="0"/>
                <w:sz w:val="21"/>
                <w:szCs w:val="21"/>
                <w:highlight w:val="none"/>
                <w:u w:val="none"/>
                <w:vertAlign w:val="baseline"/>
                <w:lang w:val="en-US" w:eastAsia="zh-CN" w:bidi="ar-SA"/>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□5-10年</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10</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年以上。</w:t>
            </w:r>
          </w:p>
        </w:tc>
        <w:tc>
          <w:tcPr>
            <w:tcW w:w="1450" w:type="dxa"/>
            <w:vAlign w:val="center"/>
          </w:tcPr>
          <w:p w14:paraId="2DD20FB7">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r>
              <w:rPr>
                <w:rFonts w:hint="eastAsia" w:ascii="黑体" w:hAnsi="黑体" w:eastAsia="黑体" w:cs="黑体"/>
                <w:color w:val="auto"/>
                <w:sz w:val="21"/>
                <w:szCs w:val="21"/>
                <w:highlight w:val="none"/>
                <w:u w:val="none"/>
                <w:vertAlign w:val="baseline"/>
                <w:lang w:val="en-US" w:eastAsia="zh-CN"/>
              </w:rPr>
              <w:t>联系电话</w:t>
            </w:r>
          </w:p>
        </w:tc>
        <w:tc>
          <w:tcPr>
            <w:tcW w:w="2088" w:type="dxa"/>
            <w:gridSpan w:val="2"/>
            <w:vAlign w:val="center"/>
          </w:tcPr>
          <w:p w14:paraId="74453B09">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p>
        </w:tc>
      </w:tr>
      <w:tr w14:paraId="7B6C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90" w:type="dxa"/>
            <w:vAlign w:val="center"/>
          </w:tcPr>
          <w:p w14:paraId="65220543">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1"/>
                <w:szCs w:val="21"/>
                <w:highlight w:val="none"/>
                <w:u w:val="none"/>
                <w:vertAlign w:val="baseline"/>
                <w:lang w:val="en-US" w:eastAsia="zh-CN"/>
              </w:rPr>
            </w:pPr>
            <w:r>
              <w:rPr>
                <w:rFonts w:hint="eastAsia" w:ascii="黑体" w:hAnsi="黑体" w:eastAsia="黑体" w:cs="黑体"/>
                <w:color w:val="auto"/>
                <w:sz w:val="21"/>
                <w:szCs w:val="21"/>
                <w:highlight w:val="none"/>
                <w:u w:val="none"/>
                <w:vertAlign w:val="baseline"/>
                <w:lang w:val="en-US" w:eastAsia="zh-CN"/>
              </w:rPr>
              <w:t>从事行业</w:t>
            </w:r>
          </w:p>
        </w:tc>
        <w:tc>
          <w:tcPr>
            <w:tcW w:w="3790" w:type="dxa"/>
            <w:gridSpan w:val="4"/>
            <w:vAlign w:val="center"/>
          </w:tcPr>
          <w:p w14:paraId="7AA439A3">
            <w:pPr>
              <w:keepNext w:val="0"/>
              <w:keepLines w:val="0"/>
              <w:pageBreakBefore w:val="0"/>
              <w:widowControl w:val="0"/>
              <w:kinsoku/>
              <w:wordWrap w:val="0"/>
              <w:overflowPunct w:val="0"/>
              <w:topLinePunct w:val="0"/>
              <w:autoSpaceDE w:val="0"/>
              <w:autoSpaceDN w:val="0"/>
              <w:bidi w:val="0"/>
              <w:adjustRightInd w:val="0"/>
              <w:snapToGrid w:val="0"/>
              <w:spacing w:line="360" w:lineRule="exact"/>
              <w:ind w:left="0"/>
              <w:jc w:val="both"/>
              <w:textAlignment w:val="baseline"/>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□陶瓷产业</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□建筑工程</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p>
          <w:p w14:paraId="5EE4F990">
            <w:pPr>
              <w:keepNext w:val="0"/>
              <w:keepLines w:val="0"/>
              <w:pageBreakBefore w:val="0"/>
              <w:widowControl w:val="0"/>
              <w:kinsoku/>
              <w:wordWrap w:val="0"/>
              <w:overflowPunct w:val="0"/>
              <w:topLinePunct w:val="0"/>
              <w:autoSpaceDE w:val="0"/>
              <w:autoSpaceDN w:val="0"/>
              <w:bidi w:val="0"/>
              <w:adjustRightInd w:val="0"/>
              <w:snapToGrid w:val="0"/>
              <w:spacing w:line="360" w:lineRule="exact"/>
              <w:ind w:left="0"/>
              <w:jc w:val="both"/>
              <w:textAlignment w:val="baseline"/>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□文旅服务</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□商贸物流</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p>
          <w:p w14:paraId="54FAD037">
            <w:pPr>
              <w:keepNext w:val="0"/>
              <w:keepLines w:val="0"/>
              <w:pageBreakBefore w:val="0"/>
              <w:widowControl w:val="0"/>
              <w:kinsoku/>
              <w:wordWrap w:val="0"/>
              <w:overflowPunct w:val="0"/>
              <w:topLinePunct w:val="0"/>
              <w:autoSpaceDE w:val="0"/>
              <w:autoSpaceDN w:val="0"/>
              <w:bidi w:val="0"/>
              <w:adjustRightInd w:val="0"/>
              <w:snapToGrid w:val="0"/>
              <w:spacing w:line="360" w:lineRule="exact"/>
              <w:ind w:left="0"/>
              <w:jc w:val="both"/>
              <w:textAlignment w:val="baseline"/>
              <w:rPr>
                <w:rFonts w:hint="default" w:ascii="黑体" w:hAnsi="黑体" w:eastAsia="黑体" w:cs="黑体"/>
                <w:color w:val="auto"/>
                <w:sz w:val="21"/>
                <w:szCs w:val="21"/>
                <w:highlight w:val="none"/>
                <w:u w:val="single"/>
                <w:vertAlign w:val="baseline"/>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□其他</w:t>
            </w:r>
            <w:r>
              <w:rPr>
                <w:rFonts w:hint="eastAsia" w:ascii="仿宋_GB2312" w:hAnsi="仿宋_GB2312" w:eastAsia="仿宋_GB2312" w:cs="仿宋_GB2312"/>
                <w:i w:val="0"/>
                <w:iCs w:val="0"/>
                <w:caps w:val="0"/>
                <w:color w:val="auto"/>
                <w:spacing w:val="0"/>
                <w:sz w:val="24"/>
                <w:szCs w:val="24"/>
                <w:highlight w:val="none"/>
                <w:u w:val="single"/>
                <w:shd w:val="clear" w:color="auto" w:fill="FAFAFA"/>
                <w:lang w:val="en-US" w:eastAsia="zh-CN"/>
              </w:rPr>
              <w:t xml:space="preserve">              </w:t>
            </w:r>
          </w:p>
        </w:tc>
        <w:tc>
          <w:tcPr>
            <w:tcW w:w="1450" w:type="dxa"/>
            <w:vAlign w:val="center"/>
          </w:tcPr>
          <w:p w14:paraId="32B7AE32">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1"/>
                <w:szCs w:val="21"/>
                <w:highlight w:val="none"/>
                <w:u w:val="none"/>
                <w:vertAlign w:val="baseline"/>
                <w:lang w:val="en-US" w:eastAsia="zh-CN"/>
              </w:rPr>
            </w:pPr>
            <w:r>
              <w:rPr>
                <w:rFonts w:hint="eastAsia" w:ascii="黑体" w:hAnsi="黑体" w:eastAsia="黑体" w:cs="黑体"/>
                <w:color w:val="auto"/>
                <w:sz w:val="21"/>
                <w:szCs w:val="21"/>
                <w:highlight w:val="none"/>
                <w:u w:val="none"/>
                <w:vertAlign w:val="baseline"/>
                <w:lang w:val="en-US" w:eastAsia="zh-CN"/>
              </w:rPr>
              <w:t>家庭年收入</w:t>
            </w:r>
          </w:p>
        </w:tc>
        <w:tc>
          <w:tcPr>
            <w:tcW w:w="2088" w:type="dxa"/>
            <w:gridSpan w:val="2"/>
            <w:vAlign w:val="center"/>
          </w:tcPr>
          <w:p w14:paraId="7D9714C5">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both"/>
              <w:textAlignment w:val="baseline"/>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□10万元以下；</w:t>
            </w:r>
          </w:p>
          <w:p w14:paraId="1025F20F">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both"/>
              <w:textAlignment w:val="baseline"/>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□10-20万元；</w:t>
            </w:r>
          </w:p>
          <w:p w14:paraId="7E93EF46">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both"/>
              <w:textAlignment w:val="baseline"/>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□20-30万元；</w:t>
            </w:r>
          </w:p>
          <w:p w14:paraId="5A0A2E7B">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both"/>
              <w:textAlignment w:val="baseline"/>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□30万元以上。</w:t>
            </w:r>
          </w:p>
        </w:tc>
      </w:tr>
      <w:tr w14:paraId="1C00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90" w:type="dxa"/>
            <w:vAlign w:val="center"/>
          </w:tcPr>
          <w:p w14:paraId="2575773D">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r>
              <w:rPr>
                <w:rFonts w:hint="eastAsia" w:ascii="黑体" w:hAnsi="黑体" w:eastAsia="黑体" w:cs="黑体"/>
                <w:color w:val="auto"/>
                <w:sz w:val="21"/>
                <w:szCs w:val="21"/>
                <w:highlight w:val="none"/>
                <w:u w:val="none"/>
                <w:vertAlign w:val="baseline"/>
                <w:lang w:val="en-US" w:eastAsia="zh-CN"/>
              </w:rPr>
              <w:t>居住现状</w:t>
            </w:r>
          </w:p>
        </w:tc>
        <w:tc>
          <w:tcPr>
            <w:tcW w:w="7328" w:type="dxa"/>
            <w:gridSpan w:val="7"/>
            <w:vAlign w:val="center"/>
          </w:tcPr>
          <w:p w14:paraId="0DBBC93B">
            <w:pPr>
              <w:keepNext w:val="0"/>
              <w:keepLines w:val="0"/>
              <w:pageBreakBefore w:val="0"/>
              <w:widowControl w:val="0"/>
              <w:kinsoku/>
              <w:wordWrap w:val="0"/>
              <w:overflowPunct w:val="0"/>
              <w:topLinePunct w:val="0"/>
              <w:autoSpaceDE w:val="0"/>
              <w:autoSpaceDN w:val="0"/>
              <w:bidi w:val="0"/>
              <w:spacing w:line="400" w:lineRule="exact"/>
              <w:ind w:left="0"/>
              <w:jc w:val="center"/>
              <w:rPr>
                <w:rFonts w:hint="default" w:ascii="方正小标宋_GBK" w:hAnsi="方正小标宋_GBK" w:eastAsia="方正小标宋_GBK" w:cs="方正小标宋_GBK"/>
                <w:color w:val="auto"/>
                <w:sz w:val="21"/>
                <w:szCs w:val="21"/>
                <w:highlight w:val="none"/>
                <w:u w:val="none"/>
                <w:vertAlign w:val="baseline"/>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□已购房；</w:t>
            </w:r>
            <w:r>
              <w:rPr>
                <w:rFonts w:hint="eastAsia" w:ascii="仿宋_GB2312" w:hAnsi="仿宋_GB2312" w:eastAsia="仿宋_GB2312" w:cs="仿宋_GB2312"/>
                <w:i w:val="0"/>
                <w:iCs w:val="0"/>
                <w:caps w:val="0"/>
                <w:color w:val="auto"/>
                <w:spacing w:val="0"/>
                <w:sz w:val="24"/>
                <w:szCs w:val="24"/>
                <w:highlight w:val="none"/>
                <w:shd w:val="clear" w:color="auto" w:fill="FAFAFA"/>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租房；</w:t>
            </w:r>
            <w:r>
              <w:rPr>
                <w:rFonts w:hint="eastAsia" w:ascii="仿宋_GB2312" w:hAnsi="仿宋_GB2312" w:eastAsia="仿宋_GB2312" w:cs="仿宋_GB2312"/>
                <w:i w:val="0"/>
                <w:iCs w:val="0"/>
                <w:caps w:val="0"/>
                <w:color w:val="auto"/>
                <w:spacing w:val="0"/>
                <w:sz w:val="24"/>
                <w:szCs w:val="24"/>
                <w:highlight w:val="none"/>
                <w:shd w:val="clear" w:color="auto" w:fill="FAFAFA"/>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职工宿舍。</w:t>
            </w:r>
          </w:p>
        </w:tc>
      </w:tr>
      <w:tr w14:paraId="6D1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190" w:type="dxa"/>
            <w:vAlign w:val="center"/>
          </w:tcPr>
          <w:p w14:paraId="5B601167">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r>
              <w:rPr>
                <w:rFonts w:hint="eastAsia" w:ascii="黑体" w:hAnsi="黑体" w:eastAsia="黑体" w:cs="黑体"/>
                <w:color w:val="auto"/>
                <w:sz w:val="21"/>
                <w:szCs w:val="21"/>
                <w:highlight w:val="none"/>
                <w:u w:val="none"/>
                <w:vertAlign w:val="baseline"/>
                <w:lang w:val="en-US" w:eastAsia="zh-CN"/>
              </w:rPr>
              <w:t>未来计划</w:t>
            </w:r>
          </w:p>
        </w:tc>
        <w:tc>
          <w:tcPr>
            <w:tcW w:w="7328" w:type="dxa"/>
            <w:gridSpan w:val="7"/>
            <w:vAlign w:val="center"/>
          </w:tcPr>
          <w:p w14:paraId="02988CF1">
            <w:pPr>
              <w:keepNext w:val="0"/>
              <w:keepLines w:val="0"/>
              <w:pageBreakBefore w:val="0"/>
              <w:widowControl w:val="0"/>
              <w:kinsoku/>
              <w:wordWrap w:val="0"/>
              <w:overflowPunct w:val="0"/>
              <w:topLinePunct w:val="0"/>
              <w:autoSpaceDE w:val="0"/>
              <w:autoSpaceDN w:val="0"/>
              <w:bidi w:val="0"/>
              <w:spacing w:line="400" w:lineRule="exact"/>
              <w:ind w:left="0"/>
              <w:jc w:val="cente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购买商品房；</w:t>
            </w:r>
            <w:r>
              <w:rPr>
                <w:rFonts w:hint="eastAsia" w:ascii="仿宋_GB2312" w:hAnsi="仿宋_GB2312" w:eastAsia="仿宋_GB2312" w:cs="仿宋_GB2312"/>
                <w:i w:val="0"/>
                <w:iCs w:val="0"/>
                <w:caps w:val="0"/>
                <w:color w:val="auto"/>
                <w:spacing w:val="0"/>
                <w:sz w:val="24"/>
                <w:szCs w:val="24"/>
                <w:highlight w:val="none"/>
                <w:shd w:val="clear" w:color="auto" w:fill="FAFAFA"/>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租房。</w:t>
            </w:r>
          </w:p>
        </w:tc>
      </w:tr>
      <w:tr w14:paraId="2941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90" w:type="dxa"/>
            <w:vMerge w:val="restart"/>
            <w:vAlign w:val="center"/>
          </w:tcPr>
          <w:p w14:paraId="4AA8853F">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r>
              <w:rPr>
                <w:rFonts w:hint="eastAsia" w:ascii="黑体" w:hAnsi="黑体" w:eastAsia="黑体" w:cs="黑体"/>
                <w:color w:val="auto"/>
                <w:sz w:val="21"/>
                <w:szCs w:val="21"/>
                <w:highlight w:val="none"/>
                <w:u w:val="none"/>
                <w:vertAlign w:val="baseline"/>
                <w:lang w:val="en-US" w:eastAsia="zh-CN"/>
              </w:rPr>
              <w:t>购房意向</w:t>
            </w:r>
          </w:p>
          <w:p w14:paraId="26400828">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default" w:ascii="仿宋_GB2312" w:hAnsi="仿宋_GB2312" w:eastAsia="仿宋_GB2312" w:cs="仿宋_GB2312"/>
                <w:i w:val="0"/>
                <w:iCs w:val="0"/>
                <w:caps w:val="0"/>
                <w:color w:val="auto"/>
                <w:spacing w:val="-6"/>
                <w:sz w:val="24"/>
                <w:szCs w:val="24"/>
                <w:highlight w:val="none"/>
                <w:shd w:val="clear" w:color="auto" w:fill="FAFAFA"/>
              </w:rPr>
            </w:pPr>
          </w:p>
          <w:p w14:paraId="1B00C2E6">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i w:val="0"/>
                <w:iCs w:val="0"/>
                <w:caps w:val="0"/>
                <w:color w:val="auto"/>
                <w:spacing w:val="-6"/>
                <w:sz w:val="24"/>
                <w:szCs w:val="24"/>
                <w:highlight w:val="none"/>
                <w:shd w:val="clear" w:color="auto" w:fill="FAFAFA"/>
                <w:lang w:eastAsia="zh-CN"/>
              </w:rPr>
            </w:pPr>
            <w:r>
              <w:rPr>
                <w:rFonts w:hint="default" w:ascii="仿宋_GB2312" w:hAnsi="仿宋_GB2312" w:eastAsia="仿宋_GB2312" w:cs="仿宋_GB2312"/>
                <w:i w:val="0"/>
                <w:iCs w:val="0"/>
                <w:caps w:val="0"/>
                <w:color w:val="auto"/>
                <w:spacing w:val="-6"/>
                <w:sz w:val="24"/>
                <w:szCs w:val="24"/>
                <w:highlight w:val="none"/>
                <w:shd w:val="clear" w:color="auto" w:fill="FAFAFA"/>
              </w:rPr>
              <w:t>□</w:t>
            </w: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毛坯</w:t>
            </w:r>
          </w:p>
          <w:p w14:paraId="66F35327">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i w:val="0"/>
                <w:iCs w:val="0"/>
                <w:caps w:val="0"/>
                <w:color w:val="auto"/>
                <w:spacing w:val="-6"/>
                <w:sz w:val="24"/>
                <w:szCs w:val="24"/>
                <w:highlight w:val="none"/>
                <w:shd w:val="clear" w:color="auto" w:fill="FAFAFA"/>
                <w:lang w:val="en-US" w:eastAsia="zh-CN"/>
              </w:rPr>
            </w:pPr>
            <w:r>
              <w:rPr>
                <w:rFonts w:hint="default" w:ascii="仿宋_GB2312" w:hAnsi="仿宋_GB2312" w:eastAsia="仿宋_GB2312" w:cs="仿宋_GB2312"/>
                <w:i w:val="0"/>
                <w:iCs w:val="0"/>
                <w:caps w:val="0"/>
                <w:color w:val="auto"/>
                <w:spacing w:val="-6"/>
                <w:sz w:val="24"/>
                <w:szCs w:val="24"/>
                <w:highlight w:val="none"/>
                <w:shd w:val="clear" w:color="auto" w:fill="FAFAFA"/>
              </w:rPr>
              <w:t>□</w:t>
            </w: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精装</w:t>
            </w:r>
          </w:p>
        </w:tc>
        <w:tc>
          <w:tcPr>
            <w:tcW w:w="7328" w:type="dxa"/>
            <w:gridSpan w:val="7"/>
            <w:vAlign w:val="center"/>
          </w:tcPr>
          <w:p w14:paraId="16ECC4C0">
            <w:pPr>
              <w:keepNext w:val="0"/>
              <w:keepLines w:val="0"/>
              <w:pageBreakBefore w:val="0"/>
              <w:widowControl w:val="0"/>
              <w:kinsoku/>
              <w:wordWrap w:val="0"/>
              <w:overflowPunct w:val="0"/>
              <w:topLinePunct w:val="0"/>
              <w:autoSpaceDE w:val="0"/>
              <w:autoSpaceDN w:val="0"/>
              <w:bidi w:val="0"/>
              <w:spacing w:line="400" w:lineRule="exact"/>
              <w:ind w:left="0"/>
              <w:jc w:val="both"/>
              <w:rPr>
                <w:rFonts w:hint="eastAsia" w:ascii="仿宋_GB2312" w:hAnsi="仿宋_GB2312" w:eastAsia="仿宋_GB2312" w:cs="仿宋_GB2312"/>
                <w:i w:val="0"/>
                <w:iCs w:val="0"/>
                <w:caps w:val="0"/>
                <w:color w:val="auto"/>
                <w:spacing w:val="0"/>
                <w:sz w:val="24"/>
                <w:szCs w:val="24"/>
                <w:highlight w:val="none"/>
                <w:shd w:val="clear" w:color="auto" w:fill="FAFAFA"/>
                <w:lang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购房计划：□</w:t>
            </w:r>
            <w:r>
              <w:rPr>
                <w:rFonts w:hint="eastAsia" w:ascii="仿宋_GB2312" w:hAnsi="仿宋_GB2312" w:eastAsia="仿宋_GB2312" w:cs="仿宋_GB2312"/>
                <w:i w:val="0"/>
                <w:iCs w:val="0"/>
                <w:caps w:val="0"/>
                <w:color w:val="auto"/>
                <w:spacing w:val="0"/>
                <w:sz w:val="24"/>
                <w:szCs w:val="24"/>
                <w:highlight w:val="none"/>
                <w:shd w:val="clear" w:color="auto" w:fill="FAFAFA"/>
              </w:rPr>
              <w:t>1年内</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rPr>
              <w:t>□1</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rPr>
              <w:t>2年</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；□2-3年；□</w:t>
            </w:r>
            <w:r>
              <w:rPr>
                <w:rFonts w:hint="eastAsia" w:ascii="仿宋_GB2312" w:hAnsi="仿宋_GB2312" w:eastAsia="仿宋_GB2312" w:cs="仿宋_GB2312"/>
                <w:i w:val="0"/>
                <w:iCs w:val="0"/>
                <w:caps w:val="0"/>
                <w:color w:val="auto"/>
                <w:spacing w:val="0"/>
                <w:sz w:val="24"/>
                <w:szCs w:val="24"/>
                <w:highlight w:val="none"/>
                <w:shd w:val="clear" w:color="auto" w:fill="FAFAFA"/>
              </w:rPr>
              <w:t>3-5年</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w:t>
            </w:r>
          </w:p>
        </w:tc>
      </w:tr>
      <w:tr w14:paraId="163B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90" w:type="dxa"/>
            <w:vMerge w:val="continue"/>
            <w:vAlign w:val="center"/>
          </w:tcPr>
          <w:p w14:paraId="647016B8">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p>
        </w:tc>
        <w:tc>
          <w:tcPr>
            <w:tcW w:w="7328" w:type="dxa"/>
            <w:gridSpan w:val="7"/>
            <w:vAlign w:val="center"/>
          </w:tcPr>
          <w:p w14:paraId="50654493">
            <w:pPr>
              <w:keepNext w:val="0"/>
              <w:keepLines w:val="0"/>
              <w:pageBreakBefore w:val="0"/>
              <w:widowControl w:val="0"/>
              <w:kinsoku/>
              <w:wordWrap w:val="0"/>
              <w:overflowPunct w:val="0"/>
              <w:topLinePunct w:val="0"/>
              <w:autoSpaceDE w:val="0"/>
              <w:autoSpaceDN w:val="0"/>
              <w:bidi w:val="0"/>
              <w:spacing w:line="400" w:lineRule="exact"/>
              <w:ind w:left="0"/>
              <w:jc w:val="both"/>
              <w:rPr>
                <w:rFonts w:hint="default" w:ascii="仿宋_GB2312" w:hAnsi="仿宋_GB2312" w:eastAsia="仿宋_GB2312" w:cs="仿宋_GB2312"/>
                <w:i w:val="0"/>
                <w:iCs w:val="0"/>
                <w:caps w:val="0"/>
                <w:color w:val="auto"/>
                <w:spacing w:val="0"/>
                <w:sz w:val="24"/>
                <w:szCs w:val="24"/>
                <w:highlight w:val="none"/>
                <w:u w:val="single"/>
                <w:shd w:val="clear" w:color="auto" w:fill="FAFAFA"/>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意向区域：□</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中心城区</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□城西</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城东</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□城南</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□城北</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□其他</w:t>
            </w:r>
            <w:r>
              <w:rPr>
                <w:rFonts w:hint="eastAsia" w:ascii="仿宋_GB2312" w:hAnsi="仿宋_GB2312" w:eastAsia="仿宋_GB2312" w:cs="仿宋_GB2312"/>
                <w:i w:val="0"/>
                <w:iCs w:val="0"/>
                <w:caps w:val="0"/>
                <w:color w:val="auto"/>
                <w:spacing w:val="0"/>
                <w:sz w:val="24"/>
                <w:szCs w:val="24"/>
                <w:highlight w:val="none"/>
                <w:u w:val="single"/>
                <w:shd w:val="clear" w:color="auto" w:fill="FAFAFA"/>
                <w:lang w:val="en-US" w:eastAsia="zh-CN"/>
              </w:rPr>
              <w:t xml:space="preserve">    </w:t>
            </w:r>
          </w:p>
        </w:tc>
      </w:tr>
      <w:tr w14:paraId="68E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90" w:type="dxa"/>
            <w:vMerge w:val="continue"/>
            <w:vAlign w:val="center"/>
          </w:tcPr>
          <w:p w14:paraId="21FD0E4E">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p>
        </w:tc>
        <w:tc>
          <w:tcPr>
            <w:tcW w:w="7328" w:type="dxa"/>
            <w:gridSpan w:val="7"/>
            <w:vAlign w:val="center"/>
          </w:tcPr>
          <w:p w14:paraId="2F808A37">
            <w:pPr>
              <w:keepNext w:val="0"/>
              <w:keepLines w:val="0"/>
              <w:pageBreakBefore w:val="0"/>
              <w:widowControl w:val="0"/>
              <w:kinsoku/>
              <w:wordWrap w:val="0"/>
              <w:overflowPunct w:val="0"/>
              <w:topLinePunct w:val="0"/>
              <w:autoSpaceDE w:val="0"/>
              <w:autoSpaceDN w:val="0"/>
              <w:bidi w:val="0"/>
              <w:adjustRightInd/>
              <w:snapToGrid/>
              <w:spacing w:line="400" w:lineRule="exact"/>
              <w:ind w:left="0"/>
              <w:jc w:val="both"/>
              <w:textAlignment w:val="auto"/>
              <w:rPr>
                <w:rFonts w:hint="eastAsia" w:ascii="仿宋_GB2312" w:hAnsi="仿宋_GB2312" w:eastAsia="仿宋_GB2312" w:cs="仿宋_GB2312"/>
                <w:i w:val="0"/>
                <w:iCs w:val="0"/>
                <w:caps w:val="0"/>
                <w:color w:val="auto"/>
                <w:spacing w:val="0"/>
                <w:sz w:val="24"/>
                <w:szCs w:val="24"/>
                <w:highlight w:val="none"/>
                <w:shd w:val="clear" w:color="auto" w:fill="FAFAFA"/>
                <w:lang w:eastAsia="zh-CN"/>
              </w:rPr>
            </w:pPr>
            <w:r>
              <w:rPr>
                <w:rFonts w:hint="default" w:ascii="仿宋_GB2312" w:hAnsi="仿宋_GB2312" w:eastAsia="仿宋_GB2312" w:cs="仿宋_GB2312"/>
                <w:i w:val="0"/>
                <w:iCs w:val="0"/>
                <w:caps w:val="0"/>
                <w:color w:val="auto"/>
                <w:spacing w:val="0"/>
                <w:sz w:val="24"/>
                <w:szCs w:val="24"/>
                <w:highlight w:val="none"/>
                <w:shd w:val="clear" w:color="auto" w:fill="FAFAFA"/>
              </w:rPr>
              <w:t>期望面积：</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default" w:ascii="仿宋_GB2312" w:hAnsi="仿宋_GB2312" w:eastAsia="仿宋_GB2312" w:cs="仿宋_GB2312"/>
                <w:i w:val="0"/>
                <w:iCs w:val="0"/>
                <w:caps w:val="0"/>
                <w:color w:val="auto"/>
                <w:spacing w:val="0"/>
                <w:sz w:val="24"/>
                <w:szCs w:val="24"/>
                <w:highlight w:val="none"/>
                <w:shd w:val="clear" w:color="auto" w:fill="FAFAFA"/>
              </w:rPr>
              <w:t>60-80㎡</w:t>
            </w:r>
            <w:r>
              <w:rPr>
                <w:rFonts w:hint="default" w:ascii="仿宋_GB2312" w:hAnsi="仿宋_GB2312" w:eastAsia="仿宋_GB2312" w:cs="仿宋_GB2312"/>
                <w:i w:val="0"/>
                <w:iCs w:val="0"/>
                <w:caps w:val="0"/>
                <w:color w:val="auto"/>
                <w:spacing w:val="0"/>
                <w:sz w:val="24"/>
                <w:szCs w:val="24"/>
                <w:highlight w:val="none"/>
                <w:shd w:val="clear" w:color="auto" w:fill="FAFAFA"/>
                <w:lang w:val="en-US"/>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default" w:ascii="仿宋_GB2312" w:hAnsi="仿宋_GB2312" w:eastAsia="仿宋_GB2312" w:cs="仿宋_GB2312"/>
                <w:i w:val="0"/>
                <w:iCs w:val="0"/>
                <w:caps w:val="0"/>
                <w:color w:val="auto"/>
                <w:spacing w:val="0"/>
                <w:sz w:val="24"/>
                <w:szCs w:val="24"/>
                <w:highlight w:val="none"/>
                <w:shd w:val="clear" w:color="auto" w:fill="FAFAFA"/>
              </w:rPr>
              <w:t>80-100㎡</w:t>
            </w:r>
            <w:r>
              <w:rPr>
                <w:rFonts w:hint="default" w:ascii="仿宋_GB2312" w:hAnsi="仿宋_GB2312" w:eastAsia="仿宋_GB2312" w:cs="仿宋_GB2312"/>
                <w:i w:val="0"/>
                <w:iCs w:val="0"/>
                <w:caps w:val="0"/>
                <w:color w:val="auto"/>
                <w:spacing w:val="0"/>
                <w:sz w:val="24"/>
                <w:szCs w:val="24"/>
                <w:highlight w:val="none"/>
                <w:shd w:val="clear" w:color="auto" w:fill="FAFAFA"/>
                <w:lang w:val="en-US"/>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100-120</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default" w:ascii="仿宋_GB2312" w:hAnsi="仿宋_GB2312" w:eastAsia="仿宋_GB2312" w:cs="仿宋_GB2312"/>
                <w:i w:val="0"/>
                <w:iCs w:val="0"/>
                <w:caps w:val="0"/>
                <w:color w:val="auto"/>
                <w:spacing w:val="0"/>
                <w:sz w:val="24"/>
                <w:szCs w:val="24"/>
                <w:highlight w:val="none"/>
                <w:shd w:val="clear" w:color="auto" w:fill="FAFAFA"/>
                <w:lang w:val="en-US"/>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1</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20㎡以上。</w:t>
            </w:r>
          </w:p>
        </w:tc>
      </w:tr>
      <w:tr w14:paraId="669C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90" w:type="dxa"/>
            <w:vMerge w:val="continue"/>
            <w:vAlign w:val="center"/>
          </w:tcPr>
          <w:p w14:paraId="6C70E2E1">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p>
        </w:tc>
        <w:tc>
          <w:tcPr>
            <w:tcW w:w="7328" w:type="dxa"/>
            <w:gridSpan w:val="7"/>
            <w:vAlign w:val="center"/>
          </w:tcPr>
          <w:p w14:paraId="7D1F203F">
            <w:pPr>
              <w:keepNext w:val="0"/>
              <w:keepLines w:val="0"/>
              <w:pageBreakBefore w:val="0"/>
              <w:widowControl w:val="0"/>
              <w:kinsoku/>
              <w:wordWrap w:val="0"/>
              <w:overflowPunct w:val="0"/>
              <w:topLinePunct w:val="0"/>
              <w:autoSpaceDE w:val="0"/>
              <w:autoSpaceDN w:val="0"/>
              <w:bidi w:val="0"/>
              <w:spacing w:line="400" w:lineRule="exact"/>
              <w:ind w:left="0"/>
              <w:jc w:val="both"/>
              <w:rPr>
                <w:rFonts w:hint="default" w:ascii="仿宋_GB2312" w:hAnsi="仿宋_GB2312" w:eastAsia="仿宋_GB2312" w:cs="仿宋_GB2312"/>
                <w:i w:val="0"/>
                <w:iCs w:val="0"/>
                <w:caps w:val="0"/>
                <w:color w:val="auto"/>
                <w:spacing w:val="0"/>
                <w:sz w:val="24"/>
                <w:szCs w:val="24"/>
                <w:highlight w:val="none"/>
                <w:u w:val="single"/>
                <w:shd w:val="clear" w:color="auto" w:fill="FAFAFA"/>
                <w:lang w:val="en-US" w:eastAsia="zh-CN"/>
              </w:rPr>
            </w:pPr>
            <w:r>
              <w:rPr>
                <w:rFonts w:hint="default" w:ascii="仿宋_GB2312" w:hAnsi="仿宋_GB2312" w:eastAsia="仿宋_GB2312" w:cs="仿宋_GB2312"/>
                <w:i w:val="0"/>
                <w:iCs w:val="0"/>
                <w:caps w:val="0"/>
                <w:color w:val="auto"/>
                <w:spacing w:val="-6"/>
                <w:sz w:val="24"/>
                <w:szCs w:val="24"/>
                <w:highlight w:val="none"/>
                <w:shd w:val="clear" w:color="auto" w:fill="FAFAFA"/>
              </w:rPr>
              <w:t>期望户型：□一居室</w:t>
            </w:r>
            <w:r>
              <w:rPr>
                <w:rFonts w:hint="default" w:ascii="仿宋_GB2312" w:hAnsi="仿宋_GB2312" w:eastAsia="仿宋_GB2312" w:cs="仿宋_GB2312"/>
                <w:i w:val="0"/>
                <w:iCs w:val="0"/>
                <w:caps w:val="0"/>
                <w:color w:val="auto"/>
                <w:spacing w:val="0"/>
                <w:sz w:val="24"/>
                <w:szCs w:val="24"/>
                <w:highlight w:val="none"/>
                <w:shd w:val="clear" w:color="auto" w:fill="FAFAFA"/>
                <w:lang w:val="en-US"/>
              </w:rPr>
              <w:t>;</w:t>
            </w: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w:t>
            </w:r>
            <w:r>
              <w:rPr>
                <w:rFonts w:hint="default" w:ascii="仿宋_GB2312" w:hAnsi="仿宋_GB2312" w:eastAsia="仿宋_GB2312" w:cs="仿宋_GB2312"/>
                <w:i w:val="0"/>
                <w:iCs w:val="0"/>
                <w:caps w:val="0"/>
                <w:color w:val="auto"/>
                <w:spacing w:val="-6"/>
                <w:sz w:val="24"/>
                <w:szCs w:val="24"/>
                <w:highlight w:val="none"/>
                <w:shd w:val="clear" w:color="auto" w:fill="FAFAFA"/>
              </w:rPr>
              <w:t>两居室</w:t>
            </w:r>
            <w:r>
              <w:rPr>
                <w:rFonts w:hint="default" w:ascii="仿宋_GB2312" w:hAnsi="仿宋_GB2312" w:eastAsia="仿宋_GB2312" w:cs="仿宋_GB2312"/>
                <w:i w:val="0"/>
                <w:iCs w:val="0"/>
                <w:caps w:val="0"/>
                <w:color w:val="auto"/>
                <w:spacing w:val="0"/>
                <w:sz w:val="24"/>
                <w:szCs w:val="24"/>
                <w:highlight w:val="none"/>
                <w:shd w:val="clear" w:color="auto" w:fill="FAFAFA"/>
                <w:lang w:val="en-US"/>
              </w:rPr>
              <w:t>;</w:t>
            </w: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w:t>
            </w:r>
            <w:r>
              <w:rPr>
                <w:rFonts w:hint="default" w:ascii="仿宋_GB2312" w:hAnsi="仿宋_GB2312" w:eastAsia="仿宋_GB2312" w:cs="仿宋_GB2312"/>
                <w:i w:val="0"/>
                <w:iCs w:val="0"/>
                <w:caps w:val="0"/>
                <w:color w:val="auto"/>
                <w:spacing w:val="-6"/>
                <w:sz w:val="24"/>
                <w:szCs w:val="24"/>
                <w:highlight w:val="none"/>
                <w:shd w:val="clear" w:color="auto" w:fill="FAFAFA"/>
              </w:rPr>
              <w:t>三居室</w:t>
            </w:r>
            <w:r>
              <w:rPr>
                <w:rFonts w:hint="default" w:ascii="仿宋_GB2312" w:hAnsi="仿宋_GB2312" w:eastAsia="仿宋_GB2312" w:cs="仿宋_GB2312"/>
                <w:i w:val="0"/>
                <w:iCs w:val="0"/>
                <w:caps w:val="0"/>
                <w:color w:val="auto"/>
                <w:spacing w:val="0"/>
                <w:sz w:val="24"/>
                <w:szCs w:val="24"/>
                <w:highlight w:val="none"/>
                <w:shd w:val="clear" w:color="auto" w:fill="FAFAFA"/>
                <w:lang w:val="en-US"/>
              </w:rPr>
              <w:t>;</w:t>
            </w: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□四</w:t>
            </w:r>
            <w:r>
              <w:rPr>
                <w:rFonts w:hint="default" w:ascii="仿宋_GB2312" w:hAnsi="仿宋_GB2312" w:eastAsia="仿宋_GB2312" w:cs="仿宋_GB2312"/>
                <w:i w:val="0"/>
                <w:iCs w:val="0"/>
                <w:caps w:val="0"/>
                <w:color w:val="auto"/>
                <w:spacing w:val="-6"/>
                <w:sz w:val="24"/>
                <w:szCs w:val="24"/>
                <w:highlight w:val="none"/>
                <w:shd w:val="clear" w:color="auto" w:fill="FAFAFA"/>
              </w:rPr>
              <w:t>居室</w:t>
            </w:r>
            <w:r>
              <w:rPr>
                <w:rFonts w:hint="default" w:ascii="仿宋_GB2312" w:hAnsi="仿宋_GB2312" w:eastAsia="仿宋_GB2312" w:cs="仿宋_GB2312"/>
                <w:i w:val="0"/>
                <w:iCs w:val="0"/>
                <w:caps w:val="0"/>
                <w:color w:val="auto"/>
                <w:spacing w:val="0"/>
                <w:sz w:val="24"/>
                <w:szCs w:val="24"/>
                <w:highlight w:val="none"/>
                <w:shd w:val="clear" w:color="auto" w:fill="FAFAFA"/>
                <w:lang w:val="en-US"/>
              </w:rPr>
              <w:t>;</w:t>
            </w: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□其他</w:t>
            </w:r>
            <w:r>
              <w:rPr>
                <w:rFonts w:hint="eastAsia" w:ascii="仿宋_GB2312" w:hAnsi="仿宋_GB2312" w:eastAsia="仿宋_GB2312" w:cs="仿宋_GB2312"/>
                <w:i w:val="0"/>
                <w:iCs w:val="0"/>
                <w:caps w:val="0"/>
                <w:color w:val="auto"/>
                <w:spacing w:val="-6"/>
                <w:sz w:val="24"/>
                <w:szCs w:val="24"/>
                <w:highlight w:val="none"/>
                <w:u w:val="single"/>
                <w:shd w:val="clear" w:color="auto" w:fill="FAFAFA"/>
                <w:lang w:val="en-US" w:eastAsia="zh-CN"/>
              </w:rPr>
              <w:t xml:space="preserve">       </w:t>
            </w:r>
          </w:p>
        </w:tc>
      </w:tr>
      <w:tr w14:paraId="0BE3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90" w:type="dxa"/>
            <w:vMerge w:val="continue"/>
            <w:vAlign w:val="center"/>
          </w:tcPr>
          <w:p w14:paraId="7B718674">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p>
        </w:tc>
        <w:tc>
          <w:tcPr>
            <w:tcW w:w="7328" w:type="dxa"/>
            <w:gridSpan w:val="7"/>
            <w:vAlign w:val="center"/>
          </w:tcPr>
          <w:p w14:paraId="5DE2FA55">
            <w:pPr>
              <w:keepNext w:val="0"/>
              <w:keepLines w:val="0"/>
              <w:pageBreakBefore w:val="0"/>
              <w:widowControl w:val="0"/>
              <w:numPr>
                <w:ilvl w:val="0"/>
                <w:numId w:val="0"/>
              </w:numPr>
              <w:kinsoku/>
              <w:wordWrap w:val="0"/>
              <w:overflowPunct w:val="0"/>
              <w:topLinePunct w:val="0"/>
              <w:autoSpaceDE w:val="0"/>
              <w:autoSpaceDN w:val="0"/>
              <w:bidi w:val="0"/>
              <w:adjustRightInd/>
              <w:snapToGrid/>
              <w:spacing w:line="400" w:lineRule="exact"/>
              <w:jc w:val="left"/>
              <w:textAlignment w:val="auto"/>
              <w:rPr>
                <w:rFonts w:hint="eastAsia" w:ascii="仿宋_GB2312" w:hAnsi="仿宋_GB2312" w:eastAsia="仿宋_GB2312" w:cs="仿宋_GB2312"/>
                <w:i w:val="0"/>
                <w:iCs w:val="0"/>
                <w:caps w:val="0"/>
                <w:color w:val="auto"/>
                <w:spacing w:val="0"/>
                <w:sz w:val="24"/>
                <w:szCs w:val="24"/>
                <w:highlight w:val="none"/>
                <w:shd w:val="clear" w:color="auto" w:fill="FAFAFA"/>
                <w:lang w:eastAsia="zh-CN"/>
              </w:rPr>
            </w:pPr>
            <w:r>
              <w:rPr>
                <w:rFonts w:hint="default" w:ascii="仿宋_GB2312" w:hAnsi="仿宋_GB2312" w:eastAsia="仿宋_GB2312" w:cs="仿宋_GB2312"/>
                <w:i w:val="0"/>
                <w:iCs w:val="0"/>
                <w:caps w:val="0"/>
                <w:color w:val="auto"/>
                <w:spacing w:val="0"/>
                <w:sz w:val="24"/>
                <w:szCs w:val="24"/>
                <w:highlight w:val="none"/>
                <w:shd w:val="clear" w:color="auto" w:fill="FAFAFA"/>
              </w:rPr>
              <w:t>购房总价区间：</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default" w:ascii="仿宋_GB2312" w:hAnsi="仿宋_GB2312" w:eastAsia="仿宋_GB2312" w:cs="仿宋_GB2312"/>
                <w:i w:val="0"/>
                <w:iCs w:val="0"/>
                <w:caps w:val="0"/>
                <w:color w:val="auto"/>
                <w:spacing w:val="0"/>
                <w:sz w:val="24"/>
                <w:szCs w:val="24"/>
                <w:highlight w:val="none"/>
                <w:shd w:val="clear" w:color="auto" w:fill="FAFAFA"/>
              </w:rPr>
              <w:t>50-</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70</w:t>
            </w:r>
            <w:r>
              <w:rPr>
                <w:rFonts w:hint="default" w:ascii="仿宋_GB2312" w:hAnsi="仿宋_GB2312" w:eastAsia="仿宋_GB2312" w:cs="仿宋_GB2312"/>
                <w:i w:val="0"/>
                <w:iCs w:val="0"/>
                <w:caps w:val="0"/>
                <w:color w:val="auto"/>
                <w:spacing w:val="0"/>
                <w:sz w:val="24"/>
                <w:szCs w:val="24"/>
                <w:highlight w:val="none"/>
                <w:shd w:val="clear" w:color="auto" w:fill="FAFAFA"/>
              </w:rPr>
              <w:t>万</w:t>
            </w:r>
            <w:r>
              <w:rPr>
                <w:rFonts w:hint="default" w:ascii="仿宋_GB2312" w:hAnsi="仿宋_GB2312" w:eastAsia="仿宋_GB2312" w:cs="仿宋_GB2312"/>
                <w:i w:val="0"/>
                <w:iCs w:val="0"/>
                <w:caps w:val="0"/>
                <w:color w:val="auto"/>
                <w:spacing w:val="0"/>
                <w:sz w:val="24"/>
                <w:szCs w:val="24"/>
                <w:highlight w:val="none"/>
                <w:shd w:val="clear" w:color="auto" w:fill="FAFAFA"/>
                <w:lang w:val="en-US"/>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□70</w:t>
            </w:r>
            <w:r>
              <w:rPr>
                <w:rFonts w:hint="default" w:ascii="仿宋_GB2312" w:hAnsi="仿宋_GB2312" w:eastAsia="仿宋_GB2312" w:cs="仿宋_GB2312"/>
                <w:i w:val="0"/>
                <w:iCs w:val="0"/>
                <w:caps w:val="0"/>
                <w:color w:val="auto"/>
                <w:spacing w:val="0"/>
                <w:sz w:val="24"/>
                <w:szCs w:val="24"/>
                <w:highlight w:val="none"/>
                <w:shd w:val="clear" w:color="auto" w:fill="FAFAFA"/>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90</w:t>
            </w:r>
            <w:r>
              <w:rPr>
                <w:rFonts w:hint="default" w:ascii="仿宋_GB2312" w:hAnsi="仿宋_GB2312" w:eastAsia="仿宋_GB2312" w:cs="仿宋_GB2312"/>
                <w:i w:val="0"/>
                <w:iCs w:val="0"/>
                <w:caps w:val="0"/>
                <w:color w:val="auto"/>
                <w:spacing w:val="0"/>
                <w:sz w:val="24"/>
                <w:szCs w:val="24"/>
                <w:highlight w:val="none"/>
                <w:shd w:val="clear" w:color="auto" w:fill="FAFAFA"/>
              </w:rPr>
              <w:t>万</w:t>
            </w:r>
            <w:r>
              <w:rPr>
                <w:rFonts w:hint="default" w:ascii="仿宋_GB2312" w:hAnsi="仿宋_GB2312" w:eastAsia="仿宋_GB2312" w:cs="仿宋_GB2312"/>
                <w:i w:val="0"/>
                <w:iCs w:val="0"/>
                <w:caps w:val="0"/>
                <w:color w:val="auto"/>
                <w:spacing w:val="0"/>
                <w:sz w:val="24"/>
                <w:szCs w:val="24"/>
                <w:highlight w:val="none"/>
                <w:shd w:val="clear" w:color="auto" w:fill="FAFAFA"/>
                <w:lang w:val="en-US"/>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□90</w:t>
            </w:r>
            <w:r>
              <w:rPr>
                <w:rFonts w:hint="default" w:ascii="仿宋_GB2312" w:hAnsi="仿宋_GB2312" w:eastAsia="仿宋_GB2312" w:cs="仿宋_GB2312"/>
                <w:i w:val="0"/>
                <w:iCs w:val="0"/>
                <w:caps w:val="0"/>
                <w:color w:val="auto"/>
                <w:spacing w:val="0"/>
                <w:sz w:val="24"/>
                <w:szCs w:val="24"/>
                <w:highlight w:val="none"/>
                <w:shd w:val="clear" w:color="auto" w:fill="FAFAFA"/>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110</w:t>
            </w:r>
            <w:r>
              <w:rPr>
                <w:rFonts w:hint="default" w:ascii="仿宋_GB2312" w:hAnsi="仿宋_GB2312" w:eastAsia="仿宋_GB2312" w:cs="仿宋_GB2312"/>
                <w:i w:val="0"/>
                <w:iCs w:val="0"/>
                <w:caps w:val="0"/>
                <w:color w:val="auto"/>
                <w:spacing w:val="0"/>
                <w:sz w:val="24"/>
                <w:szCs w:val="24"/>
                <w:highlight w:val="none"/>
                <w:shd w:val="clear" w:color="auto" w:fill="FAFAFA"/>
              </w:rPr>
              <w:t>万</w:t>
            </w:r>
            <w:r>
              <w:rPr>
                <w:rFonts w:hint="default" w:ascii="仿宋_GB2312" w:hAnsi="仿宋_GB2312" w:eastAsia="仿宋_GB2312" w:cs="仿宋_GB2312"/>
                <w:i w:val="0"/>
                <w:iCs w:val="0"/>
                <w:caps w:val="0"/>
                <w:color w:val="auto"/>
                <w:spacing w:val="0"/>
                <w:sz w:val="24"/>
                <w:szCs w:val="24"/>
                <w:highlight w:val="none"/>
                <w:shd w:val="clear" w:color="auto" w:fill="FAFAFA"/>
                <w:lang w:val="en-US"/>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□110</w:t>
            </w:r>
            <w:r>
              <w:rPr>
                <w:rFonts w:hint="default" w:ascii="仿宋_GB2312" w:hAnsi="仿宋_GB2312" w:eastAsia="仿宋_GB2312" w:cs="仿宋_GB2312"/>
                <w:i w:val="0"/>
                <w:iCs w:val="0"/>
                <w:caps w:val="0"/>
                <w:color w:val="auto"/>
                <w:spacing w:val="0"/>
                <w:sz w:val="24"/>
                <w:szCs w:val="24"/>
                <w:highlight w:val="none"/>
                <w:shd w:val="clear" w:color="auto" w:fill="FAFAFA"/>
              </w:rPr>
              <w:t>-</w:t>
            </w:r>
            <w:r>
              <w:rPr>
                <w:rFonts w:hint="default" w:ascii="仿宋_GB2312" w:hAnsi="仿宋_GB2312" w:eastAsia="仿宋_GB2312" w:cs="仿宋_GB2312"/>
                <w:i w:val="0"/>
                <w:iCs w:val="0"/>
                <w:caps w:val="0"/>
                <w:color w:val="auto"/>
                <w:spacing w:val="0"/>
                <w:sz w:val="24"/>
                <w:szCs w:val="24"/>
                <w:highlight w:val="none"/>
                <w:shd w:val="clear" w:color="auto" w:fill="FAFAFA"/>
                <w:lang w:val="en-US"/>
              </w:rPr>
              <w:t>130</w:t>
            </w:r>
            <w:r>
              <w:rPr>
                <w:rFonts w:hint="default" w:ascii="仿宋_GB2312" w:hAnsi="仿宋_GB2312" w:eastAsia="仿宋_GB2312" w:cs="仿宋_GB2312"/>
                <w:i w:val="0"/>
                <w:iCs w:val="0"/>
                <w:caps w:val="0"/>
                <w:color w:val="auto"/>
                <w:spacing w:val="0"/>
                <w:sz w:val="24"/>
                <w:szCs w:val="24"/>
                <w:highlight w:val="none"/>
                <w:shd w:val="clear" w:color="auto" w:fill="FAFAFA"/>
              </w:rPr>
              <w:t>万</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w:t>
            </w:r>
          </w:p>
          <w:p w14:paraId="1F5A4003">
            <w:pPr>
              <w:keepNext w:val="0"/>
              <w:keepLines w:val="0"/>
              <w:pageBreakBefore w:val="0"/>
              <w:widowControl w:val="0"/>
              <w:numPr>
                <w:ilvl w:val="0"/>
                <w:numId w:val="0"/>
              </w:numPr>
              <w:kinsoku/>
              <w:wordWrap w:val="0"/>
              <w:overflowPunct w:val="0"/>
              <w:topLinePunct w:val="0"/>
              <w:autoSpaceDE w:val="0"/>
              <w:autoSpaceDN w:val="0"/>
              <w:bidi w:val="0"/>
              <w:adjustRightInd/>
              <w:snapToGrid/>
              <w:spacing w:line="400" w:lineRule="exact"/>
              <w:ind w:firstLine="1680" w:firstLineChars="700"/>
              <w:jc w:val="left"/>
              <w:textAlignment w:val="auto"/>
              <w:rPr>
                <w:rFonts w:hint="default" w:ascii="仿宋_GB2312" w:hAnsi="仿宋_GB2312" w:eastAsia="仿宋_GB2312" w:cs="仿宋_GB2312"/>
                <w:i w:val="0"/>
                <w:iCs w:val="0"/>
                <w:caps w:val="0"/>
                <w:color w:val="auto"/>
                <w:spacing w:val="0"/>
                <w:sz w:val="24"/>
                <w:szCs w:val="24"/>
                <w:highlight w:val="none"/>
                <w:u w:val="single"/>
                <w:shd w:val="clear" w:color="auto" w:fill="FAFAFA"/>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□其他</w:t>
            </w:r>
            <w:r>
              <w:rPr>
                <w:rFonts w:hint="eastAsia" w:ascii="仿宋_GB2312" w:hAnsi="仿宋_GB2312" w:eastAsia="仿宋_GB2312" w:cs="仿宋_GB2312"/>
                <w:i w:val="0"/>
                <w:iCs w:val="0"/>
                <w:caps w:val="0"/>
                <w:color w:val="auto"/>
                <w:spacing w:val="0"/>
                <w:sz w:val="24"/>
                <w:szCs w:val="24"/>
                <w:highlight w:val="none"/>
                <w:u w:val="single"/>
                <w:shd w:val="clear" w:color="auto" w:fill="FAFAFA"/>
                <w:lang w:val="en-US" w:eastAsia="zh-CN"/>
              </w:rPr>
              <w:t xml:space="preserve">          </w:t>
            </w:r>
          </w:p>
        </w:tc>
      </w:tr>
      <w:tr w14:paraId="42231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90" w:type="dxa"/>
            <w:vMerge w:val="continue"/>
            <w:vAlign w:val="center"/>
          </w:tcPr>
          <w:p w14:paraId="41C94366">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p>
        </w:tc>
        <w:tc>
          <w:tcPr>
            <w:tcW w:w="7328" w:type="dxa"/>
            <w:gridSpan w:val="7"/>
            <w:vAlign w:val="center"/>
          </w:tcPr>
          <w:p w14:paraId="6C56B053">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both"/>
              <w:textAlignment w:val="baseline"/>
              <w:rPr>
                <w:rFonts w:hint="default" w:ascii="仿宋_GB2312" w:hAnsi="仿宋_GB2312" w:eastAsia="仿宋_GB2312" w:cs="仿宋_GB2312"/>
                <w:i w:val="0"/>
                <w:iCs w:val="0"/>
                <w:caps w:val="0"/>
                <w:color w:val="auto"/>
                <w:spacing w:val="-6"/>
                <w:sz w:val="24"/>
                <w:szCs w:val="24"/>
                <w:highlight w:val="none"/>
                <w:shd w:val="clear" w:color="auto" w:fill="FAFAFA"/>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按揭承受能力：</w:t>
            </w:r>
            <w:r>
              <w:rPr>
                <w:rFonts w:hint="eastAsia" w:ascii="仿宋_GB2312" w:hAnsi="仿宋_GB2312" w:eastAsia="仿宋_GB2312" w:cs="仿宋_GB2312"/>
                <w:i w:val="0"/>
                <w:iCs w:val="0"/>
                <w:caps w:val="0"/>
                <w:color w:val="auto"/>
                <w:spacing w:val="-6"/>
                <w:sz w:val="24"/>
                <w:szCs w:val="24"/>
                <w:highlight w:val="none"/>
                <w:shd w:val="clear" w:color="auto" w:fill="FAFAFA"/>
                <w:lang w:val="en-US" w:eastAsia="zh-CN"/>
              </w:rPr>
              <w:t>□2000元/月</w:t>
            </w:r>
            <w:r>
              <w:rPr>
                <w:rFonts w:hint="default" w:ascii="仿宋_GB2312" w:hAnsi="仿宋_GB2312" w:eastAsia="仿宋_GB2312" w:cs="仿宋_GB2312"/>
                <w:i w:val="0"/>
                <w:iCs w:val="0"/>
                <w:caps w:val="0"/>
                <w:color w:val="auto"/>
                <w:spacing w:val="-6"/>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6"/>
                <w:sz w:val="24"/>
                <w:szCs w:val="24"/>
                <w:highlight w:val="none"/>
                <w:shd w:val="clear" w:color="auto" w:fill="FAFAFA"/>
                <w:lang w:val="en-US" w:eastAsia="zh-CN"/>
              </w:rPr>
              <w:t>□</w:t>
            </w:r>
            <w:r>
              <w:rPr>
                <w:rFonts w:hint="default" w:ascii="仿宋_GB2312" w:hAnsi="仿宋_GB2312" w:eastAsia="仿宋_GB2312" w:cs="仿宋_GB2312"/>
                <w:i w:val="0"/>
                <w:iCs w:val="0"/>
                <w:caps w:val="0"/>
                <w:color w:val="auto"/>
                <w:spacing w:val="-6"/>
                <w:sz w:val="24"/>
                <w:szCs w:val="24"/>
                <w:highlight w:val="none"/>
                <w:shd w:val="clear" w:color="auto" w:fill="FAFAFA"/>
                <w:lang w:val="en-US" w:eastAsia="zh-CN"/>
              </w:rPr>
              <w:t>3</w:t>
            </w:r>
            <w:r>
              <w:rPr>
                <w:rFonts w:hint="eastAsia" w:ascii="仿宋_GB2312" w:hAnsi="仿宋_GB2312" w:eastAsia="仿宋_GB2312" w:cs="仿宋_GB2312"/>
                <w:i w:val="0"/>
                <w:iCs w:val="0"/>
                <w:caps w:val="0"/>
                <w:color w:val="auto"/>
                <w:spacing w:val="-6"/>
                <w:sz w:val="24"/>
                <w:szCs w:val="24"/>
                <w:highlight w:val="none"/>
                <w:shd w:val="clear" w:color="auto" w:fill="FAFAFA"/>
                <w:lang w:val="en-US" w:eastAsia="zh-CN"/>
              </w:rPr>
              <w:t>000元/月</w:t>
            </w:r>
            <w:r>
              <w:rPr>
                <w:rFonts w:hint="default" w:ascii="仿宋_GB2312" w:hAnsi="仿宋_GB2312" w:eastAsia="仿宋_GB2312" w:cs="仿宋_GB2312"/>
                <w:i w:val="0"/>
                <w:iCs w:val="0"/>
                <w:caps w:val="0"/>
                <w:color w:val="auto"/>
                <w:spacing w:val="-6"/>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6"/>
                <w:sz w:val="24"/>
                <w:szCs w:val="24"/>
                <w:highlight w:val="none"/>
                <w:shd w:val="clear" w:color="auto" w:fill="FAFAFA"/>
                <w:lang w:val="en-US" w:eastAsia="zh-CN"/>
              </w:rPr>
              <w:t>□</w:t>
            </w:r>
            <w:r>
              <w:rPr>
                <w:rFonts w:hint="default" w:ascii="仿宋_GB2312" w:hAnsi="仿宋_GB2312" w:eastAsia="仿宋_GB2312" w:cs="仿宋_GB2312"/>
                <w:i w:val="0"/>
                <w:iCs w:val="0"/>
                <w:caps w:val="0"/>
                <w:color w:val="auto"/>
                <w:spacing w:val="-6"/>
                <w:sz w:val="24"/>
                <w:szCs w:val="24"/>
                <w:highlight w:val="none"/>
                <w:shd w:val="clear" w:color="auto" w:fill="FAFAFA"/>
                <w:lang w:val="en-US" w:eastAsia="zh-CN"/>
              </w:rPr>
              <w:t>4</w:t>
            </w:r>
            <w:r>
              <w:rPr>
                <w:rFonts w:hint="eastAsia" w:ascii="仿宋_GB2312" w:hAnsi="仿宋_GB2312" w:eastAsia="仿宋_GB2312" w:cs="仿宋_GB2312"/>
                <w:i w:val="0"/>
                <w:iCs w:val="0"/>
                <w:caps w:val="0"/>
                <w:color w:val="auto"/>
                <w:spacing w:val="-6"/>
                <w:sz w:val="24"/>
                <w:szCs w:val="24"/>
                <w:highlight w:val="none"/>
                <w:shd w:val="clear" w:color="auto" w:fill="FAFAFA"/>
                <w:lang w:val="en-US" w:eastAsia="zh-CN"/>
              </w:rPr>
              <w:t>000元/月</w:t>
            </w:r>
            <w:r>
              <w:rPr>
                <w:rFonts w:hint="default" w:ascii="仿宋_GB2312" w:hAnsi="仿宋_GB2312" w:eastAsia="仿宋_GB2312" w:cs="仿宋_GB2312"/>
                <w:i w:val="0"/>
                <w:iCs w:val="0"/>
                <w:caps w:val="0"/>
                <w:color w:val="auto"/>
                <w:spacing w:val="-6"/>
                <w:sz w:val="24"/>
                <w:szCs w:val="24"/>
                <w:highlight w:val="none"/>
                <w:shd w:val="clear" w:color="auto" w:fill="FAFAFA"/>
                <w:lang w:val="en-US" w:eastAsia="zh-CN"/>
              </w:rPr>
              <w:t>;</w:t>
            </w:r>
          </w:p>
          <w:p w14:paraId="17BD0C99">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firstLine="1824" w:firstLineChars="800"/>
              <w:jc w:val="both"/>
              <w:textAlignment w:val="baseline"/>
              <w:rPr>
                <w:rFonts w:hint="default" w:ascii="仿宋_GB2312" w:hAnsi="仿宋_GB2312" w:eastAsia="仿宋_GB2312" w:cs="仿宋_GB2312"/>
                <w:b/>
                <w:bCs/>
                <w:i w:val="0"/>
                <w:iCs w:val="0"/>
                <w:caps w:val="0"/>
                <w:color w:val="auto"/>
                <w:spacing w:val="0"/>
                <w:sz w:val="24"/>
                <w:szCs w:val="24"/>
                <w:highlight w:val="none"/>
                <w:u w:val="single"/>
                <w:shd w:val="clear" w:color="auto" w:fill="FAFAFA"/>
                <w:lang w:val="en-US" w:eastAsia="zh-CN"/>
              </w:rPr>
            </w:pPr>
            <w:r>
              <w:rPr>
                <w:rFonts w:hint="eastAsia" w:ascii="仿宋_GB2312" w:hAnsi="仿宋_GB2312" w:eastAsia="仿宋_GB2312" w:cs="仿宋_GB2312"/>
                <w:i w:val="0"/>
                <w:iCs w:val="0"/>
                <w:caps w:val="0"/>
                <w:color w:val="auto"/>
                <w:spacing w:val="-6"/>
                <w:sz w:val="24"/>
                <w:szCs w:val="24"/>
                <w:highlight w:val="none"/>
                <w:shd w:val="clear" w:color="auto" w:fill="FAFAFA"/>
                <w:lang w:val="en-US" w:eastAsia="zh-CN"/>
              </w:rPr>
              <w:t>□</w:t>
            </w:r>
            <w:r>
              <w:rPr>
                <w:rFonts w:hint="default" w:ascii="仿宋_GB2312" w:hAnsi="仿宋_GB2312" w:eastAsia="仿宋_GB2312" w:cs="仿宋_GB2312"/>
                <w:i w:val="0"/>
                <w:iCs w:val="0"/>
                <w:caps w:val="0"/>
                <w:color w:val="auto"/>
                <w:spacing w:val="-6"/>
                <w:sz w:val="24"/>
                <w:szCs w:val="24"/>
                <w:highlight w:val="none"/>
                <w:shd w:val="clear" w:color="auto" w:fill="FAFAFA"/>
                <w:lang w:val="en-US" w:eastAsia="zh-CN"/>
              </w:rPr>
              <w:t>5</w:t>
            </w:r>
            <w:r>
              <w:rPr>
                <w:rFonts w:hint="eastAsia" w:ascii="仿宋_GB2312" w:hAnsi="仿宋_GB2312" w:eastAsia="仿宋_GB2312" w:cs="仿宋_GB2312"/>
                <w:i w:val="0"/>
                <w:iCs w:val="0"/>
                <w:caps w:val="0"/>
                <w:color w:val="auto"/>
                <w:spacing w:val="-6"/>
                <w:sz w:val="24"/>
                <w:szCs w:val="24"/>
                <w:highlight w:val="none"/>
                <w:shd w:val="clear" w:color="auto" w:fill="FAFAFA"/>
                <w:lang w:val="en-US" w:eastAsia="zh-CN"/>
              </w:rPr>
              <w:t>000元/月</w:t>
            </w:r>
            <w:r>
              <w:rPr>
                <w:rFonts w:hint="default" w:ascii="仿宋_GB2312" w:hAnsi="仿宋_GB2312" w:eastAsia="仿宋_GB2312" w:cs="仿宋_GB2312"/>
                <w:i w:val="0"/>
                <w:iCs w:val="0"/>
                <w:caps w:val="0"/>
                <w:color w:val="auto"/>
                <w:spacing w:val="-6"/>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6"/>
                <w:sz w:val="24"/>
                <w:szCs w:val="24"/>
                <w:highlight w:val="none"/>
                <w:shd w:val="clear" w:color="auto" w:fill="FAFAFA"/>
                <w:lang w:val="en-US" w:eastAsia="zh-CN"/>
              </w:rPr>
              <w:t>□6000元/月</w:t>
            </w:r>
            <w:r>
              <w:rPr>
                <w:rFonts w:hint="default" w:ascii="仿宋_GB2312" w:hAnsi="仿宋_GB2312" w:eastAsia="仿宋_GB2312" w:cs="仿宋_GB2312"/>
                <w:i w:val="0"/>
                <w:iCs w:val="0"/>
                <w:caps w:val="0"/>
                <w:color w:val="auto"/>
                <w:spacing w:val="-6"/>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6"/>
                <w:sz w:val="24"/>
                <w:szCs w:val="24"/>
                <w:highlight w:val="none"/>
                <w:shd w:val="clear" w:color="auto" w:fill="FAFAFA"/>
                <w:lang w:val="en-US" w:eastAsia="zh-CN"/>
              </w:rPr>
              <w:t>□其他</w:t>
            </w:r>
            <w:r>
              <w:rPr>
                <w:rFonts w:hint="eastAsia" w:ascii="仿宋_GB2312" w:hAnsi="仿宋_GB2312" w:eastAsia="仿宋_GB2312" w:cs="仿宋_GB2312"/>
                <w:i w:val="0"/>
                <w:iCs w:val="0"/>
                <w:caps w:val="0"/>
                <w:color w:val="auto"/>
                <w:spacing w:val="-6"/>
                <w:sz w:val="24"/>
                <w:szCs w:val="24"/>
                <w:highlight w:val="none"/>
                <w:u w:val="single"/>
                <w:shd w:val="clear" w:color="auto" w:fill="FAFAFA"/>
                <w:lang w:val="en-US" w:eastAsia="zh-CN"/>
              </w:rPr>
              <w:t xml:space="preserve">          </w:t>
            </w:r>
          </w:p>
        </w:tc>
      </w:tr>
      <w:tr w14:paraId="00EF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90" w:type="dxa"/>
            <w:vMerge w:val="restart"/>
            <w:vAlign w:val="center"/>
          </w:tcPr>
          <w:p w14:paraId="70058D12">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黑体" w:hAnsi="黑体" w:eastAsia="黑体" w:cs="黑体"/>
                <w:color w:val="auto"/>
                <w:sz w:val="21"/>
                <w:szCs w:val="21"/>
                <w:highlight w:val="none"/>
                <w:u w:val="none"/>
                <w:vertAlign w:val="baseline"/>
                <w:lang w:val="en-US" w:eastAsia="zh-CN"/>
              </w:rPr>
            </w:pPr>
            <w:r>
              <w:rPr>
                <w:rFonts w:hint="eastAsia" w:ascii="黑体" w:hAnsi="黑体" w:eastAsia="黑体" w:cs="黑体"/>
                <w:color w:val="auto"/>
                <w:sz w:val="21"/>
                <w:szCs w:val="21"/>
                <w:highlight w:val="none"/>
                <w:u w:val="none"/>
                <w:vertAlign w:val="baseline"/>
                <w:lang w:val="en-US" w:eastAsia="zh-CN"/>
              </w:rPr>
              <w:t>租房意向</w:t>
            </w:r>
          </w:p>
          <w:p w14:paraId="53C764C8">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center"/>
              <w:textAlignment w:val="baseline"/>
              <w:rPr>
                <w:rFonts w:hint="eastAsia" w:ascii="仿宋_GB2312" w:hAnsi="仿宋_GB2312" w:eastAsia="仿宋_GB2312" w:cs="仿宋_GB2312"/>
                <w:i w:val="0"/>
                <w:iCs w:val="0"/>
                <w:caps w:val="0"/>
                <w:color w:val="auto"/>
                <w:spacing w:val="-6"/>
                <w:sz w:val="24"/>
                <w:szCs w:val="24"/>
                <w:highlight w:val="none"/>
                <w:shd w:val="clear" w:color="auto" w:fill="FAFAFA"/>
                <w:lang w:eastAsia="zh-CN"/>
              </w:rPr>
            </w:pPr>
          </w:p>
          <w:p w14:paraId="0B40B83B">
            <w:pPr>
              <w:keepNext w:val="0"/>
              <w:keepLines w:val="0"/>
              <w:pageBreakBefore w:val="0"/>
              <w:widowControl w:val="0"/>
              <w:kinsoku/>
              <w:wordWrap w:val="0"/>
              <w:overflowPunct w:val="0"/>
              <w:topLinePunct w:val="0"/>
              <w:autoSpaceDE w:val="0"/>
              <w:autoSpaceDN w:val="0"/>
              <w:bidi w:val="0"/>
              <w:adjustRightInd w:val="0"/>
              <w:snapToGrid w:val="0"/>
              <w:spacing w:line="400" w:lineRule="exact"/>
              <w:ind w:left="0"/>
              <w:jc w:val="both"/>
              <w:textAlignment w:val="baseline"/>
              <w:rPr>
                <w:rFonts w:hint="eastAsia" w:ascii="黑体" w:hAnsi="黑体" w:eastAsia="黑体" w:cs="黑体"/>
                <w:color w:val="auto"/>
                <w:sz w:val="21"/>
                <w:szCs w:val="21"/>
                <w:highlight w:val="none"/>
                <w:u w:val="none"/>
                <w:vertAlign w:val="baseline"/>
                <w:lang w:val="en-US" w:eastAsia="zh-CN"/>
              </w:rPr>
            </w:pP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□简装</w:t>
            </w:r>
          </w:p>
          <w:p w14:paraId="504D1B3B">
            <w:pPr>
              <w:keepNext w:val="0"/>
              <w:keepLines w:val="0"/>
              <w:pageBreakBefore w:val="0"/>
              <w:widowControl w:val="0"/>
              <w:kinsoku/>
              <w:wordWrap w:val="0"/>
              <w:overflowPunct w:val="0"/>
              <w:topLinePunct w:val="0"/>
              <w:autoSpaceDE w:val="0"/>
              <w:autoSpaceDN w:val="0"/>
              <w:bidi w:val="0"/>
              <w:adjustRightInd w:val="0"/>
              <w:snapToGrid w:val="0"/>
              <w:spacing w:line="360" w:lineRule="exact"/>
              <w:ind w:left="114" w:hanging="114" w:hangingChars="50"/>
              <w:jc w:val="both"/>
              <w:textAlignment w:val="baseline"/>
              <w:rPr>
                <w:rFonts w:hint="default" w:ascii="黑体" w:hAnsi="黑体" w:eastAsia="仿宋_GB2312" w:cs="黑体"/>
                <w:color w:val="auto"/>
                <w:sz w:val="21"/>
                <w:szCs w:val="21"/>
                <w:highlight w:val="none"/>
                <w:u w:val="none"/>
                <w:vertAlign w:val="baseline"/>
                <w:lang w:val="en-US" w:eastAsia="zh-CN"/>
              </w:rPr>
            </w:pPr>
            <w:r>
              <w:rPr>
                <w:rFonts w:hint="default" w:ascii="仿宋_GB2312" w:hAnsi="仿宋_GB2312" w:eastAsia="仿宋_GB2312" w:cs="仿宋_GB2312"/>
                <w:i w:val="0"/>
                <w:iCs w:val="0"/>
                <w:caps w:val="0"/>
                <w:color w:val="auto"/>
                <w:spacing w:val="-6"/>
                <w:sz w:val="24"/>
                <w:szCs w:val="24"/>
                <w:highlight w:val="none"/>
                <w:shd w:val="clear" w:color="auto" w:fill="FAFAFA"/>
              </w:rPr>
              <w:t>□</w:t>
            </w:r>
            <w:r>
              <w:rPr>
                <w:rFonts w:hint="eastAsia" w:ascii="仿宋_GB2312" w:hAnsi="仿宋_GB2312" w:eastAsia="仿宋_GB2312" w:cs="仿宋_GB2312"/>
                <w:i w:val="0"/>
                <w:iCs w:val="0"/>
                <w:caps w:val="0"/>
                <w:color w:val="auto"/>
                <w:spacing w:val="-40"/>
                <w:sz w:val="21"/>
                <w:szCs w:val="21"/>
                <w:highlight w:val="none"/>
                <w:shd w:val="clear" w:color="auto" w:fill="FAFAFA"/>
                <w:lang w:eastAsia="zh-CN"/>
              </w:rPr>
              <w:t>全屋整装</w:t>
            </w:r>
            <w:r>
              <w:rPr>
                <w:rFonts w:hint="default" w:ascii="仿宋_GB2312" w:hAnsi="仿宋_GB2312" w:eastAsia="仿宋_GB2312" w:cs="仿宋_GB2312"/>
                <w:i w:val="0"/>
                <w:iCs w:val="0"/>
                <w:caps w:val="0"/>
                <w:color w:val="auto"/>
                <w:spacing w:val="-40"/>
                <w:sz w:val="21"/>
                <w:szCs w:val="21"/>
                <w:highlight w:val="none"/>
                <w:shd w:val="clear" w:color="auto" w:fill="FAFAFA"/>
                <w:lang w:val="en-US" w:eastAsia="zh-CN"/>
              </w:rPr>
              <w:t>(</w:t>
            </w:r>
            <w:r>
              <w:rPr>
                <w:rFonts w:hint="eastAsia" w:ascii="仿宋_GB2312" w:hAnsi="仿宋_GB2312" w:eastAsia="仿宋_GB2312" w:cs="仿宋_GB2312"/>
                <w:i w:val="0"/>
                <w:iCs w:val="0"/>
                <w:caps w:val="0"/>
                <w:color w:val="auto"/>
                <w:spacing w:val="-40"/>
                <w:sz w:val="21"/>
                <w:szCs w:val="21"/>
                <w:highlight w:val="none"/>
                <w:shd w:val="clear" w:color="auto" w:fill="FAFAFA"/>
                <w:lang w:eastAsia="zh-CN"/>
              </w:rPr>
              <w:t>拧包入住</w:t>
            </w:r>
            <w:r>
              <w:rPr>
                <w:rFonts w:hint="default" w:ascii="仿宋_GB2312" w:hAnsi="仿宋_GB2312" w:eastAsia="仿宋_GB2312" w:cs="仿宋_GB2312"/>
                <w:i w:val="0"/>
                <w:iCs w:val="0"/>
                <w:caps w:val="0"/>
                <w:color w:val="auto"/>
                <w:spacing w:val="-40"/>
                <w:sz w:val="21"/>
                <w:szCs w:val="21"/>
                <w:highlight w:val="none"/>
                <w:shd w:val="clear" w:color="auto" w:fill="FAFAFA"/>
                <w:lang w:val="en-US" w:eastAsia="zh-CN"/>
              </w:rPr>
              <w:t>)</w:t>
            </w:r>
          </w:p>
        </w:tc>
        <w:tc>
          <w:tcPr>
            <w:tcW w:w="7328" w:type="dxa"/>
            <w:gridSpan w:val="7"/>
            <w:vAlign w:val="center"/>
          </w:tcPr>
          <w:p w14:paraId="534953E7">
            <w:pPr>
              <w:keepNext w:val="0"/>
              <w:keepLines w:val="0"/>
              <w:pageBreakBefore w:val="0"/>
              <w:widowControl w:val="0"/>
              <w:kinsoku/>
              <w:wordWrap w:val="0"/>
              <w:overflowPunct w:val="0"/>
              <w:topLinePunct w:val="0"/>
              <w:autoSpaceDE w:val="0"/>
              <w:autoSpaceDN w:val="0"/>
              <w:bidi w:val="0"/>
              <w:spacing w:line="400" w:lineRule="exact"/>
              <w:ind w:left="0"/>
              <w:jc w:val="both"/>
              <w:rPr>
                <w:rFonts w:hint="eastAsia" w:ascii="仿宋_GB2312" w:hAnsi="仿宋_GB2312" w:eastAsia="仿宋_GB2312" w:cs="仿宋_GB2312"/>
                <w:i w:val="0"/>
                <w:iCs w:val="0"/>
                <w:caps w:val="0"/>
                <w:color w:val="auto"/>
                <w:spacing w:val="0"/>
                <w:sz w:val="24"/>
                <w:szCs w:val="24"/>
                <w:highlight w:val="none"/>
                <w:shd w:val="clear" w:color="auto" w:fill="FAFAFA"/>
                <w:lang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意向区域：□</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中心城区</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□城西</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城东</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□城南</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□城北</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□其他</w:t>
            </w:r>
            <w:r>
              <w:rPr>
                <w:rFonts w:hint="eastAsia" w:ascii="仿宋_GB2312" w:hAnsi="仿宋_GB2312" w:eastAsia="仿宋_GB2312" w:cs="仿宋_GB2312"/>
                <w:i w:val="0"/>
                <w:iCs w:val="0"/>
                <w:caps w:val="0"/>
                <w:color w:val="auto"/>
                <w:spacing w:val="0"/>
                <w:sz w:val="24"/>
                <w:szCs w:val="24"/>
                <w:highlight w:val="none"/>
                <w:u w:val="single"/>
                <w:shd w:val="clear" w:color="auto" w:fill="FAFAFA"/>
                <w:lang w:val="en-US" w:eastAsia="zh-CN"/>
              </w:rPr>
              <w:t xml:space="preserve">    </w:t>
            </w:r>
          </w:p>
        </w:tc>
      </w:tr>
      <w:tr w14:paraId="436A2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90" w:type="dxa"/>
            <w:vMerge w:val="continue"/>
            <w:vAlign w:val="center"/>
          </w:tcPr>
          <w:p w14:paraId="05A9AB96">
            <w:pPr>
              <w:keepNext w:val="0"/>
              <w:keepLines w:val="0"/>
              <w:pageBreakBefore w:val="0"/>
              <w:widowControl w:val="0"/>
              <w:kinsoku/>
              <w:wordWrap w:val="0"/>
              <w:overflowPunct w:val="0"/>
              <w:topLinePunct w:val="0"/>
              <w:autoSpaceDE w:val="0"/>
              <w:autoSpaceDN w:val="0"/>
              <w:bidi w:val="0"/>
              <w:adjustRightInd/>
              <w:snapToGrid/>
              <w:spacing w:line="400" w:lineRule="exact"/>
              <w:ind w:left="0"/>
              <w:jc w:val="center"/>
              <w:textAlignment w:val="auto"/>
              <w:rPr>
                <w:rFonts w:hint="eastAsia" w:ascii="黑体" w:hAnsi="黑体" w:eastAsia="黑体" w:cs="黑体"/>
                <w:color w:val="auto"/>
                <w:sz w:val="21"/>
                <w:szCs w:val="21"/>
                <w:highlight w:val="none"/>
                <w:u w:val="none"/>
                <w:vertAlign w:val="baseline"/>
                <w:lang w:val="en-US" w:eastAsia="zh-CN"/>
              </w:rPr>
            </w:pPr>
          </w:p>
        </w:tc>
        <w:tc>
          <w:tcPr>
            <w:tcW w:w="7328" w:type="dxa"/>
            <w:gridSpan w:val="7"/>
            <w:vAlign w:val="center"/>
          </w:tcPr>
          <w:p w14:paraId="6C5E51EA">
            <w:pPr>
              <w:keepNext w:val="0"/>
              <w:keepLines w:val="0"/>
              <w:pageBreakBefore w:val="0"/>
              <w:widowControl w:val="0"/>
              <w:kinsoku/>
              <w:wordWrap w:val="0"/>
              <w:overflowPunct w:val="0"/>
              <w:topLinePunct w:val="0"/>
              <w:autoSpaceDE w:val="0"/>
              <w:autoSpaceDN w:val="0"/>
              <w:bidi w:val="0"/>
              <w:spacing w:line="400" w:lineRule="exact"/>
              <w:ind w:left="0"/>
              <w:jc w:val="both"/>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租房期限：□</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3</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年；</w:t>
            </w:r>
            <w:r>
              <w:rPr>
                <w:rFonts w:hint="eastAsia" w:ascii="仿宋_GB2312" w:hAnsi="仿宋_GB2312" w:eastAsia="仿宋_GB2312" w:cs="仿宋_GB2312"/>
                <w:i w:val="0"/>
                <w:iCs w:val="0"/>
                <w:caps w:val="0"/>
                <w:color w:val="auto"/>
                <w:spacing w:val="0"/>
                <w:sz w:val="24"/>
                <w:szCs w:val="24"/>
                <w:highlight w:val="none"/>
                <w:shd w:val="clear" w:color="auto" w:fill="FAFAFA"/>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5</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年；□</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7</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年；□</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10</w:t>
            </w:r>
            <w:r>
              <w:rPr>
                <w:rFonts w:hint="eastAsia" w:ascii="仿宋_GB2312" w:hAnsi="仿宋_GB2312" w:eastAsia="仿宋_GB2312" w:cs="仿宋_GB2312"/>
                <w:i w:val="0"/>
                <w:iCs w:val="0"/>
                <w:caps w:val="0"/>
                <w:color w:val="auto"/>
                <w:spacing w:val="0"/>
                <w:sz w:val="24"/>
                <w:szCs w:val="24"/>
                <w:highlight w:val="none"/>
                <w:shd w:val="clear" w:color="auto" w:fill="FAFAFA"/>
              </w:rPr>
              <w:t>年</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w:t>
            </w:r>
          </w:p>
        </w:tc>
      </w:tr>
      <w:tr w14:paraId="11FC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90" w:type="dxa"/>
            <w:vMerge w:val="continue"/>
            <w:vAlign w:val="center"/>
          </w:tcPr>
          <w:p w14:paraId="1B37374C">
            <w:pPr>
              <w:keepNext w:val="0"/>
              <w:keepLines w:val="0"/>
              <w:pageBreakBefore w:val="0"/>
              <w:widowControl w:val="0"/>
              <w:kinsoku/>
              <w:wordWrap w:val="0"/>
              <w:overflowPunct w:val="0"/>
              <w:topLinePunct w:val="0"/>
              <w:autoSpaceDE w:val="0"/>
              <w:autoSpaceDN w:val="0"/>
              <w:bidi w:val="0"/>
              <w:adjustRightInd/>
              <w:snapToGrid/>
              <w:spacing w:line="400" w:lineRule="exact"/>
              <w:ind w:left="0"/>
              <w:jc w:val="center"/>
              <w:textAlignment w:val="auto"/>
              <w:rPr>
                <w:rFonts w:hint="eastAsia" w:ascii="黑体" w:hAnsi="黑体" w:eastAsia="黑体" w:cs="黑体"/>
                <w:color w:val="auto"/>
                <w:sz w:val="21"/>
                <w:szCs w:val="21"/>
                <w:highlight w:val="none"/>
                <w:u w:val="none"/>
                <w:vertAlign w:val="baseline"/>
                <w:lang w:val="en-US" w:eastAsia="zh-CN"/>
              </w:rPr>
            </w:pPr>
          </w:p>
        </w:tc>
        <w:tc>
          <w:tcPr>
            <w:tcW w:w="7328" w:type="dxa"/>
            <w:gridSpan w:val="7"/>
            <w:vAlign w:val="center"/>
          </w:tcPr>
          <w:p w14:paraId="35FAAA75">
            <w:pPr>
              <w:keepNext w:val="0"/>
              <w:keepLines w:val="0"/>
              <w:pageBreakBefore w:val="0"/>
              <w:widowControl w:val="0"/>
              <w:kinsoku/>
              <w:wordWrap w:val="0"/>
              <w:overflowPunct w:val="0"/>
              <w:topLinePunct w:val="0"/>
              <w:autoSpaceDE w:val="0"/>
              <w:autoSpaceDN w:val="0"/>
              <w:bidi w:val="0"/>
              <w:spacing w:line="400" w:lineRule="exact"/>
              <w:ind w:left="0"/>
              <w:jc w:val="both"/>
              <w:rPr>
                <w:rFonts w:hint="eastAsia" w:ascii="仿宋_GB2312" w:hAnsi="仿宋_GB2312" w:eastAsia="仿宋_GB2312" w:cs="仿宋_GB2312"/>
                <w:i w:val="0"/>
                <w:iCs w:val="0"/>
                <w:caps w:val="0"/>
                <w:color w:val="auto"/>
                <w:spacing w:val="0"/>
                <w:sz w:val="24"/>
                <w:szCs w:val="24"/>
                <w:highlight w:val="none"/>
                <w:shd w:val="clear" w:color="auto" w:fill="FAFAFA"/>
                <w:lang w:eastAsia="zh-CN"/>
              </w:rPr>
            </w:pPr>
            <w:r>
              <w:rPr>
                <w:rFonts w:hint="default" w:ascii="仿宋_GB2312" w:hAnsi="仿宋_GB2312" w:eastAsia="仿宋_GB2312" w:cs="仿宋_GB2312"/>
                <w:i w:val="0"/>
                <w:iCs w:val="0"/>
                <w:caps w:val="0"/>
                <w:color w:val="auto"/>
                <w:spacing w:val="-6"/>
                <w:sz w:val="24"/>
                <w:szCs w:val="24"/>
                <w:highlight w:val="none"/>
                <w:shd w:val="clear" w:color="auto" w:fill="FAFAFA"/>
              </w:rPr>
              <w:t>期望户型：□单间</w:t>
            </w: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w:t>
            </w:r>
            <w:r>
              <w:rPr>
                <w:rFonts w:hint="default" w:ascii="仿宋_GB2312" w:hAnsi="仿宋_GB2312" w:eastAsia="仿宋_GB2312" w:cs="仿宋_GB2312"/>
                <w:i w:val="0"/>
                <w:iCs w:val="0"/>
                <w:caps w:val="0"/>
                <w:color w:val="auto"/>
                <w:spacing w:val="-6"/>
                <w:sz w:val="24"/>
                <w:szCs w:val="24"/>
                <w:highlight w:val="none"/>
                <w:shd w:val="clear" w:color="auto" w:fill="FAFAFA"/>
              </w:rPr>
              <w:t>□一居室</w:t>
            </w: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w:t>
            </w:r>
            <w:r>
              <w:rPr>
                <w:rFonts w:hint="default" w:ascii="仿宋_GB2312" w:hAnsi="仿宋_GB2312" w:eastAsia="仿宋_GB2312" w:cs="仿宋_GB2312"/>
                <w:i w:val="0"/>
                <w:iCs w:val="0"/>
                <w:caps w:val="0"/>
                <w:color w:val="auto"/>
                <w:spacing w:val="-6"/>
                <w:sz w:val="24"/>
                <w:szCs w:val="24"/>
                <w:highlight w:val="none"/>
                <w:shd w:val="clear" w:color="auto" w:fill="FAFAFA"/>
              </w:rPr>
              <w:t>两居室</w:t>
            </w: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w:t>
            </w:r>
            <w:r>
              <w:rPr>
                <w:rFonts w:hint="default" w:ascii="仿宋_GB2312" w:hAnsi="仿宋_GB2312" w:eastAsia="仿宋_GB2312" w:cs="仿宋_GB2312"/>
                <w:i w:val="0"/>
                <w:iCs w:val="0"/>
                <w:caps w:val="0"/>
                <w:color w:val="auto"/>
                <w:spacing w:val="-6"/>
                <w:sz w:val="24"/>
                <w:szCs w:val="24"/>
                <w:highlight w:val="none"/>
                <w:shd w:val="clear" w:color="auto" w:fill="FAFAFA"/>
              </w:rPr>
              <w:t>三居室</w:t>
            </w: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；□四</w:t>
            </w:r>
            <w:r>
              <w:rPr>
                <w:rFonts w:hint="default" w:ascii="仿宋_GB2312" w:hAnsi="仿宋_GB2312" w:eastAsia="仿宋_GB2312" w:cs="仿宋_GB2312"/>
                <w:i w:val="0"/>
                <w:iCs w:val="0"/>
                <w:caps w:val="0"/>
                <w:color w:val="auto"/>
                <w:spacing w:val="-6"/>
                <w:sz w:val="24"/>
                <w:szCs w:val="24"/>
                <w:highlight w:val="none"/>
                <w:shd w:val="clear" w:color="auto" w:fill="FAFAFA"/>
              </w:rPr>
              <w:t>居室</w:t>
            </w:r>
            <w:r>
              <w:rPr>
                <w:rFonts w:hint="eastAsia" w:ascii="仿宋_GB2312" w:hAnsi="仿宋_GB2312" w:eastAsia="仿宋_GB2312" w:cs="仿宋_GB2312"/>
                <w:i w:val="0"/>
                <w:iCs w:val="0"/>
                <w:caps w:val="0"/>
                <w:color w:val="auto"/>
                <w:spacing w:val="-6"/>
                <w:sz w:val="24"/>
                <w:szCs w:val="24"/>
                <w:highlight w:val="none"/>
                <w:shd w:val="clear" w:color="auto" w:fill="FAFAFA"/>
                <w:lang w:eastAsia="zh-CN"/>
              </w:rPr>
              <w:t>。</w:t>
            </w:r>
          </w:p>
        </w:tc>
      </w:tr>
      <w:tr w14:paraId="7725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90" w:type="dxa"/>
            <w:vMerge w:val="continue"/>
            <w:vAlign w:val="center"/>
          </w:tcPr>
          <w:p w14:paraId="501EB271">
            <w:pPr>
              <w:keepNext w:val="0"/>
              <w:keepLines w:val="0"/>
              <w:pageBreakBefore w:val="0"/>
              <w:widowControl w:val="0"/>
              <w:kinsoku/>
              <w:wordWrap w:val="0"/>
              <w:overflowPunct w:val="0"/>
              <w:topLinePunct w:val="0"/>
              <w:autoSpaceDE w:val="0"/>
              <w:autoSpaceDN w:val="0"/>
              <w:bidi w:val="0"/>
              <w:adjustRightInd/>
              <w:snapToGrid/>
              <w:spacing w:line="400" w:lineRule="exact"/>
              <w:ind w:left="0"/>
              <w:jc w:val="center"/>
              <w:textAlignment w:val="auto"/>
              <w:rPr>
                <w:rFonts w:hint="eastAsia" w:ascii="黑体" w:hAnsi="黑体" w:eastAsia="黑体" w:cs="黑体"/>
                <w:color w:val="auto"/>
                <w:sz w:val="21"/>
                <w:szCs w:val="21"/>
                <w:highlight w:val="none"/>
                <w:u w:val="none"/>
                <w:vertAlign w:val="baseline"/>
                <w:lang w:val="en-US" w:eastAsia="zh-CN"/>
              </w:rPr>
            </w:pPr>
          </w:p>
        </w:tc>
        <w:tc>
          <w:tcPr>
            <w:tcW w:w="7328" w:type="dxa"/>
            <w:gridSpan w:val="7"/>
            <w:vAlign w:val="center"/>
          </w:tcPr>
          <w:p w14:paraId="23018CE8">
            <w:pPr>
              <w:keepNext w:val="0"/>
              <w:keepLines w:val="0"/>
              <w:pageBreakBefore w:val="0"/>
              <w:widowControl w:val="0"/>
              <w:kinsoku/>
              <w:wordWrap w:val="0"/>
              <w:overflowPunct w:val="0"/>
              <w:topLinePunct w:val="0"/>
              <w:autoSpaceDE w:val="0"/>
              <w:autoSpaceDN w:val="0"/>
              <w:bidi w:val="0"/>
              <w:spacing w:line="400" w:lineRule="exact"/>
              <w:ind w:left="0"/>
              <w:jc w:val="left"/>
              <w:rPr>
                <w:rFonts w:hint="eastAsia" w:ascii="仿宋_GB2312" w:hAnsi="仿宋_GB2312" w:eastAsia="仿宋_GB2312" w:cs="仿宋_GB2312"/>
                <w:i w:val="0"/>
                <w:iCs w:val="0"/>
                <w:caps w:val="0"/>
                <w:color w:val="auto"/>
                <w:spacing w:val="0"/>
                <w:sz w:val="24"/>
                <w:szCs w:val="24"/>
                <w:highlight w:val="none"/>
                <w:shd w:val="clear" w:color="auto" w:fill="FAFAFA"/>
                <w:lang w:eastAsia="zh-CN"/>
              </w:rPr>
            </w:pP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期望租金：□</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4</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00-600元/月</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600-1000元/月</w:t>
            </w:r>
            <w:r>
              <w:rPr>
                <w:rFonts w:hint="default" w:ascii="仿宋_GB2312" w:hAnsi="仿宋_GB2312" w:eastAsia="仿宋_GB2312" w:cs="仿宋_GB2312"/>
                <w:i w:val="0"/>
                <w:iCs w:val="0"/>
                <w:caps w:val="0"/>
                <w:color w:val="auto"/>
                <w:spacing w:val="0"/>
                <w:sz w:val="24"/>
                <w:szCs w:val="24"/>
                <w:highlight w:val="none"/>
                <w:shd w:val="clear" w:color="auto" w:fill="FAFAFA"/>
                <w:lang w:val="en-US"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eastAsia="zh-CN"/>
              </w:rPr>
              <w:t>□</w:t>
            </w:r>
            <w:r>
              <w:rPr>
                <w:rFonts w:hint="eastAsia" w:ascii="仿宋_GB2312" w:hAnsi="仿宋_GB2312" w:eastAsia="仿宋_GB2312" w:cs="仿宋_GB2312"/>
                <w:i w:val="0"/>
                <w:iCs w:val="0"/>
                <w:caps w:val="0"/>
                <w:color w:val="auto"/>
                <w:spacing w:val="0"/>
                <w:sz w:val="24"/>
                <w:szCs w:val="24"/>
                <w:highlight w:val="none"/>
                <w:shd w:val="clear" w:color="auto" w:fill="FAFAFA"/>
                <w:lang w:val="en-US" w:eastAsia="zh-CN"/>
              </w:rPr>
              <w:t>1000-1500元/月。</w:t>
            </w:r>
          </w:p>
        </w:tc>
      </w:tr>
    </w:tbl>
    <w:p w14:paraId="06122734">
      <w:pPr>
        <w:keepNext w:val="0"/>
        <w:keepLines w:val="0"/>
        <w:pageBreakBefore w:val="0"/>
        <w:widowControl w:val="0"/>
        <w:kinsoku/>
        <w:wordWrap w:val="0"/>
        <w:overflowPunct w:val="0"/>
        <w:topLinePunct w:val="0"/>
        <w:autoSpaceDE w:val="0"/>
        <w:autoSpaceDN w:val="0"/>
        <w:bidi w:val="0"/>
        <w:adjustRightInd/>
        <w:snapToGrid/>
        <w:spacing w:line="560" w:lineRule="exact"/>
        <w:ind w:left="0"/>
        <w:jc w:val="left"/>
        <w:textAlignment w:val="auto"/>
        <w:rPr>
          <w:rFonts w:hint="eastAsia" w:ascii="方正小标宋_GBK" w:hAnsi="方正小标宋_GBK" w:eastAsia="方正小标宋_GBK" w:cs="方正小标宋_GBK"/>
          <w:color w:val="auto"/>
          <w:sz w:val="21"/>
          <w:szCs w:val="21"/>
          <w:highlight w:val="none"/>
          <w:u w:val="none"/>
          <w:lang w:val="en-US" w:eastAsia="zh-CN"/>
        </w:rPr>
      </w:pPr>
      <w:r>
        <w:rPr>
          <w:rFonts w:hint="eastAsia" w:ascii="方正小标宋_GBK" w:hAnsi="方正小标宋_GBK" w:eastAsia="方正小标宋_GBK" w:cs="方正小标宋_GBK"/>
          <w:color w:val="auto"/>
          <w:sz w:val="21"/>
          <w:szCs w:val="21"/>
          <w:highlight w:val="none"/>
          <w:u w:val="none"/>
          <w:lang w:val="en-US" w:eastAsia="zh-CN"/>
        </w:rPr>
        <w:t xml:space="preserve">挂片领导：     </w:t>
      </w:r>
    </w:p>
    <w:p w14:paraId="0D52DEBD">
      <w:pPr>
        <w:keepNext w:val="0"/>
        <w:keepLines w:val="0"/>
        <w:pageBreakBefore w:val="0"/>
        <w:widowControl w:val="0"/>
        <w:kinsoku/>
        <w:wordWrap w:val="0"/>
        <w:overflowPunct w:val="0"/>
        <w:topLinePunct w:val="0"/>
        <w:autoSpaceDE w:val="0"/>
        <w:autoSpaceDN w:val="0"/>
        <w:bidi w:val="0"/>
        <w:adjustRightInd/>
        <w:snapToGrid/>
        <w:spacing w:line="560" w:lineRule="exact"/>
        <w:ind w:left="0"/>
        <w:jc w:val="left"/>
        <w:textAlignment w:val="auto"/>
        <w:rPr>
          <w:rFonts w:hint="eastAsia" w:ascii="方正小标宋_GBK" w:hAnsi="方正小标宋_GBK" w:eastAsia="方正小标宋_GBK" w:cs="方正小标宋_GBK"/>
          <w:color w:val="auto"/>
          <w:sz w:val="21"/>
          <w:szCs w:val="21"/>
          <w:highlight w:val="none"/>
          <w:u w:val="none"/>
          <w:lang w:val="en-US" w:eastAsia="zh-CN"/>
        </w:rPr>
      </w:pPr>
      <w:r>
        <w:rPr>
          <w:rFonts w:hint="eastAsia" w:ascii="方正小标宋_GBK" w:hAnsi="方正小标宋_GBK" w:eastAsia="方正小标宋_GBK" w:cs="方正小标宋_GBK"/>
          <w:color w:val="auto"/>
          <w:sz w:val="21"/>
          <w:szCs w:val="21"/>
          <w:highlight w:val="none"/>
          <w:u w:val="none"/>
          <w:lang w:val="en-US" w:eastAsia="zh-CN"/>
        </w:rPr>
        <w:t xml:space="preserve">村（社区）主干：   </w:t>
      </w:r>
    </w:p>
    <w:p w14:paraId="01FAA4BB">
      <w:pPr>
        <w:keepNext w:val="0"/>
        <w:keepLines w:val="0"/>
        <w:pageBreakBefore w:val="0"/>
        <w:widowControl w:val="0"/>
        <w:kinsoku/>
        <w:wordWrap w:val="0"/>
        <w:overflowPunct w:val="0"/>
        <w:topLinePunct w:val="0"/>
        <w:autoSpaceDE w:val="0"/>
        <w:autoSpaceDN w:val="0"/>
        <w:bidi w:val="0"/>
        <w:adjustRightInd/>
        <w:snapToGrid/>
        <w:spacing w:line="560" w:lineRule="exact"/>
        <w:ind w:left="0"/>
        <w:jc w:val="left"/>
        <w:textAlignment w:val="auto"/>
        <w:rPr>
          <w:rFonts w:hint="eastAsia" w:ascii="方正小标宋_GBK" w:hAnsi="方正小标宋_GBK" w:eastAsia="方正小标宋_GBK" w:cs="方正小标宋_GBK"/>
          <w:color w:val="auto"/>
          <w:sz w:val="21"/>
          <w:szCs w:val="21"/>
          <w:highlight w:val="none"/>
          <w:u w:val="none"/>
          <w:lang w:val="en-US" w:eastAsia="zh-CN"/>
        </w:rPr>
        <w:sectPr>
          <w:footerReference r:id="rId6" w:type="default"/>
          <w:pgSz w:w="11906" w:h="16838"/>
          <w:pgMar w:top="1780" w:right="1451" w:bottom="1780" w:left="1451" w:header="851" w:footer="992" w:gutter="0"/>
          <w:pgNumType w:fmt="numberInDash"/>
          <w:cols w:space="0" w:num="1"/>
          <w:rtlGutter w:val="0"/>
          <w:docGrid w:type="lines" w:linePitch="312" w:charSpace="0"/>
        </w:sectPr>
      </w:pPr>
      <w:r>
        <w:rPr>
          <w:rFonts w:hint="eastAsia" w:ascii="方正小标宋_GBK" w:hAnsi="方正小标宋_GBK" w:eastAsia="方正小标宋_GBK" w:cs="方正小标宋_GBK"/>
          <w:color w:val="auto"/>
          <w:sz w:val="21"/>
          <w:szCs w:val="21"/>
          <w:highlight w:val="none"/>
          <w:u w:val="none"/>
          <w:lang w:val="en-US" w:eastAsia="zh-CN"/>
        </w:rPr>
        <w:t>调查人：                                           调查时间：           年       月       日</w:t>
      </w:r>
    </w:p>
    <w:p w14:paraId="766A7A21">
      <w:pPr>
        <w:keepNext w:val="0"/>
        <w:keepLines w:val="0"/>
        <w:pageBreakBefore w:val="0"/>
        <w:widowControl w:val="0"/>
        <w:kinsoku/>
        <w:wordWrap w:val="0"/>
        <w:overflowPunct w:val="0"/>
        <w:topLinePunct w:val="0"/>
        <w:autoSpaceDE w:val="0"/>
        <w:autoSpaceDN w:val="0"/>
        <w:bidi w:val="0"/>
        <w:spacing w:line="560" w:lineRule="exact"/>
        <w:ind w:left="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附件3</w:t>
      </w:r>
    </w:p>
    <w:p w14:paraId="5C8086BB">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方正小标宋简体" w:hAnsi="方正小标宋简体" w:eastAsia="方正小标宋简体" w:cs="方正小标宋简体"/>
          <w:color w:val="auto"/>
          <w:spacing w:val="4"/>
          <w:sz w:val="36"/>
          <w:szCs w:val="36"/>
          <w:highlight w:val="none"/>
        </w:rPr>
      </w:pPr>
    </w:p>
    <w:p w14:paraId="65D32355">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方正小标宋简体" w:hAnsi="方正小标宋简体" w:eastAsia="方正小标宋简体" w:cs="方正小标宋简体"/>
          <w:color w:val="auto"/>
          <w:spacing w:val="4"/>
          <w:sz w:val="36"/>
          <w:szCs w:val="36"/>
          <w:highlight w:val="none"/>
          <w:lang w:eastAsia="zh-CN"/>
        </w:rPr>
      </w:pPr>
      <w:r>
        <w:rPr>
          <w:rFonts w:hint="eastAsia" w:ascii="方正小标宋简体" w:hAnsi="方正小标宋简体" w:eastAsia="方正小标宋简体" w:cs="方正小标宋简体"/>
          <w:color w:val="auto"/>
          <w:spacing w:val="4"/>
          <w:sz w:val="36"/>
          <w:szCs w:val="36"/>
          <w:highlight w:val="none"/>
          <w:lang w:eastAsia="zh-CN"/>
        </w:rPr>
        <w:t>外来流动人口住房现状及购（租）房意愿调查摸底汇总表</w:t>
      </w:r>
    </w:p>
    <w:p w14:paraId="4CF8F34D">
      <w:pPr>
        <w:keepNext w:val="0"/>
        <w:keepLines w:val="0"/>
        <w:pageBreakBefore w:val="0"/>
        <w:widowControl w:val="0"/>
        <w:kinsoku/>
        <w:wordWrap w:val="0"/>
        <w:overflowPunct w:val="0"/>
        <w:topLinePunct w:val="0"/>
        <w:autoSpaceDE w:val="0"/>
        <w:autoSpaceDN w:val="0"/>
        <w:bidi w:val="0"/>
        <w:spacing w:line="560" w:lineRule="exact"/>
        <w:ind w:left="0"/>
        <w:jc w:val="left"/>
        <w:rPr>
          <w:rFonts w:hint="default" w:ascii="方正小标宋_GBK" w:hAnsi="方正小标宋_GBK" w:eastAsia="方正小标宋_GBK" w:cs="方正小标宋_GBK"/>
          <w:color w:val="auto"/>
          <w:sz w:val="21"/>
          <w:szCs w:val="21"/>
          <w:highlight w:val="none"/>
          <w:u w:val="none"/>
          <w:lang w:val="en-US" w:eastAsia="zh-CN"/>
        </w:rPr>
      </w:pPr>
      <w:r>
        <w:rPr>
          <w:rFonts w:hint="eastAsia" w:ascii="方正小标宋_GBK" w:hAnsi="方正小标宋_GBK" w:eastAsia="方正小标宋_GBK" w:cs="方正小标宋_GBK"/>
          <w:color w:val="auto"/>
          <w:sz w:val="21"/>
          <w:szCs w:val="21"/>
          <w:highlight w:val="none"/>
          <w:u w:val="none"/>
          <w:lang w:val="en-US" w:eastAsia="zh-CN"/>
        </w:rPr>
        <w:t>乡镇（盖章）：                        主要领导（签字）：                              审核人：                         填报人：                    联系电话：           填报日期：   年  月  日</w:t>
      </w:r>
    </w:p>
    <w:tbl>
      <w:tblPr>
        <w:tblStyle w:val="7"/>
        <w:tblpPr w:leftFromText="180" w:rightFromText="180" w:vertAnchor="text" w:horzAnchor="page" w:tblpXSpec="center" w:tblpY="3"/>
        <w:tblOverlap w:val="never"/>
        <w:tblW w:w="14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877"/>
        <w:gridCol w:w="1131"/>
        <w:gridCol w:w="726"/>
        <w:gridCol w:w="993"/>
        <w:gridCol w:w="807"/>
        <w:gridCol w:w="727"/>
        <w:gridCol w:w="1789"/>
        <w:gridCol w:w="1592"/>
        <w:gridCol w:w="1304"/>
        <w:gridCol w:w="1466"/>
        <w:gridCol w:w="1292"/>
        <w:gridCol w:w="762"/>
        <w:gridCol w:w="569"/>
      </w:tblGrid>
      <w:tr w14:paraId="7E7C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26" w:type="dxa"/>
            <w:vMerge w:val="restart"/>
            <w:vAlign w:val="center"/>
          </w:tcPr>
          <w:p w14:paraId="01CB5C69">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序号</w:t>
            </w:r>
          </w:p>
        </w:tc>
        <w:tc>
          <w:tcPr>
            <w:tcW w:w="877" w:type="dxa"/>
            <w:vMerge w:val="restart"/>
            <w:vAlign w:val="center"/>
          </w:tcPr>
          <w:p w14:paraId="161EDC7C">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所在村（社区）</w:t>
            </w:r>
          </w:p>
        </w:tc>
        <w:tc>
          <w:tcPr>
            <w:tcW w:w="1131" w:type="dxa"/>
            <w:vMerge w:val="restart"/>
            <w:vAlign w:val="center"/>
          </w:tcPr>
          <w:p w14:paraId="6C0DF6B6">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姓名</w:t>
            </w:r>
          </w:p>
        </w:tc>
        <w:tc>
          <w:tcPr>
            <w:tcW w:w="726" w:type="dxa"/>
            <w:vMerge w:val="restart"/>
            <w:vAlign w:val="center"/>
          </w:tcPr>
          <w:p w14:paraId="2DFDC3FD">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年龄</w:t>
            </w:r>
          </w:p>
        </w:tc>
        <w:tc>
          <w:tcPr>
            <w:tcW w:w="993" w:type="dxa"/>
            <w:vMerge w:val="restart"/>
            <w:vAlign w:val="center"/>
          </w:tcPr>
          <w:p w14:paraId="128D5ECF">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原籍</w:t>
            </w:r>
          </w:p>
        </w:tc>
        <w:tc>
          <w:tcPr>
            <w:tcW w:w="807" w:type="dxa"/>
            <w:vMerge w:val="restart"/>
            <w:shd w:val="clear" w:color="auto" w:fill="auto"/>
            <w:vAlign w:val="center"/>
          </w:tcPr>
          <w:p w14:paraId="5132B093">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leftChars="0"/>
              <w:jc w:val="center"/>
              <w:textAlignment w:val="baseline"/>
              <w:rPr>
                <w:rFonts w:hint="eastAsia" w:ascii="黑体" w:hAnsi="黑体" w:eastAsia="黑体" w:cs="黑体"/>
                <w:snapToGrid w:val="0"/>
                <w:color w:val="auto"/>
                <w:kern w:val="0"/>
                <w:sz w:val="21"/>
                <w:szCs w:val="21"/>
                <w:highlight w:val="none"/>
                <w:vertAlign w:val="baseline"/>
                <w:lang w:val="en-US" w:eastAsia="zh-CN" w:bidi="ar-SA"/>
              </w:rPr>
            </w:pPr>
            <w:r>
              <w:rPr>
                <w:rFonts w:hint="eastAsia" w:ascii="黑体" w:hAnsi="黑体" w:eastAsia="黑体" w:cs="黑体"/>
                <w:color w:val="auto"/>
                <w:sz w:val="21"/>
                <w:szCs w:val="21"/>
                <w:highlight w:val="none"/>
                <w:vertAlign w:val="baseline"/>
                <w:lang w:val="en-US" w:eastAsia="zh-CN"/>
              </w:rPr>
              <w:t>家庭人口</w:t>
            </w:r>
          </w:p>
        </w:tc>
        <w:tc>
          <w:tcPr>
            <w:tcW w:w="727" w:type="dxa"/>
            <w:vMerge w:val="restart"/>
            <w:vAlign w:val="center"/>
          </w:tcPr>
          <w:p w14:paraId="4F56F78A">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来德年限</w:t>
            </w:r>
          </w:p>
        </w:tc>
        <w:tc>
          <w:tcPr>
            <w:tcW w:w="1789" w:type="dxa"/>
            <w:vMerge w:val="restart"/>
            <w:vAlign w:val="center"/>
          </w:tcPr>
          <w:p w14:paraId="6DC70519">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联系电话</w:t>
            </w:r>
          </w:p>
        </w:tc>
        <w:tc>
          <w:tcPr>
            <w:tcW w:w="1592" w:type="dxa"/>
            <w:vMerge w:val="restart"/>
            <w:vAlign w:val="center"/>
          </w:tcPr>
          <w:p w14:paraId="19327288">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sz w:val="21"/>
                <w:szCs w:val="21"/>
                <w:highlight w:val="none"/>
                <w:vertAlign w:val="baseline"/>
                <w:lang w:val="en-US" w:eastAsia="zh-CN"/>
              </w:rPr>
            </w:pPr>
            <w:r>
              <w:rPr>
                <w:rFonts w:hint="eastAsia" w:ascii="黑体" w:hAnsi="黑体" w:eastAsia="黑体" w:cs="黑体"/>
                <w:color w:val="auto"/>
                <w:sz w:val="21"/>
                <w:szCs w:val="21"/>
                <w:highlight w:val="none"/>
                <w:vertAlign w:val="baseline"/>
                <w:lang w:val="en-US" w:eastAsia="zh-CN"/>
              </w:rPr>
              <w:t>从事行业</w:t>
            </w:r>
          </w:p>
        </w:tc>
        <w:tc>
          <w:tcPr>
            <w:tcW w:w="1304" w:type="dxa"/>
            <w:vMerge w:val="restart"/>
            <w:vAlign w:val="center"/>
          </w:tcPr>
          <w:p w14:paraId="63CC0ECD">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kern w:val="2"/>
                <w:sz w:val="21"/>
                <w:szCs w:val="21"/>
                <w:highlight w:val="none"/>
                <w:vertAlign w:val="baseline"/>
                <w:lang w:val="en-US" w:eastAsia="zh-CN" w:bidi="ar-SA"/>
              </w:rPr>
            </w:pPr>
            <w:r>
              <w:rPr>
                <w:rFonts w:hint="eastAsia" w:ascii="黑体" w:hAnsi="黑体" w:eastAsia="黑体" w:cs="黑体"/>
                <w:color w:val="auto"/>
                <w:kern w:val="2"/>
                <w:sz w:val="21"/>
                <w:szCs w:val="21"/>
                <w:highlight w:val="none"/>
                <w:vertAlign w:val="baseline"/>
                <w:lang w:val="en-US" w:eastAsia="zh-CN" w:bidi="ar-SA"/>
              </w:rPr>
              <w:t>家庭</w:t>
            </w:r>
          </w:p>
          <w:p w14:paraId="4F52A5E5">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kern w:val="2"/>
                <w:sz w:val="21"/>
                <w:szCs w:val="21"/>
                <w:highlight w:val="none"/>
                <w:vertAlign w:val="baseline"/>
                <w:lang w:val="en-US" w:eastAsia="zh-CN" w:bidi="ar-SA"/>
              </w:rPr>
            </w:pPr>
            <w:r>
              <w:rPr>
                <w:rFonts w:hint="eastAsia" w:ascii="黑体" w:hAnsi="黑体" w:eastAsia="黑体" w:cs="黑体"/>
                <w:color w:val="auto"/>
                <w:kern w:val="2"/>
                <w:sz w:val="21"/>
                <w:szCs w:val="21"/>
                <w:highlight w:val="none"/>
                <w:vertAlign w:val="baseline"/>
                <w:lang w:val="en-US" w:eastAsia="zh-CN" w:bidi="ar-SA"/>
              </w:rPr>
              <w:t>年收入</w:t>
            </w:r>
          </w:p>
        </w:tc>
        <w:tc>
          <w:tcPr>
            <w:tcW w:w="1466" w:type="dxa"/>
            <w:vMerge w:val="restart"/>
            <w:vAlign w:val="center"/>
          </w:tcPr>
          <w:p w14:paraId="2B071E62">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kern w:val="2"/>
                <w:sz w:val="21"/>
                <w:szCs w:val="21"/>
                <w:highlight w:val="none"/>
                <w:vertAlign w:val="baseline"/>
                <w:lang w:val="en-US" w:eastAsia="zh-CN" w:bidi="ar-SA"/>
              </w:rPr>
            </w:pPr>
            <w:r>
              <w:rPr>
                <w:rFonts w:hint="eastAsia" w:ascii="黑体" w:hAnsi="黑体" w:eastAsia="黑体" w:cs="黑体"/>
                <w:color w:val="auto"/>
                <w:kern w:val="2"/>
                <w:sz w:val="21"/>
                <w:szCs w:val="21"/>
                <w:highlight w:val="none"/>
                <w:vertAlign w:val="baseline"/>
                <w:lang w:val="en-US" w:eastAsia="zh-CN" w:bidi="ar-SA"/>
              </w:rPr>
              <w:t>居住</w:t>
            </w:r>
          </w:p>
          <w:p w14:paraId="6390875B">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kern w:val="2"/>
                <w:sz w:val="21"/>
                <w:szCs w:val="21"/>
                <w:highlight w:val="none"/>
                <w:vertAlign w:val="baseline"/>
                <w:lang w:val="en-US" w:eastAsia="zh-CN" w:bidi="ar-SA"/>
              </w:rPr>
            </w:pPr>
            <w:r>
              <w:rPr>
                <w:rFonts w:hint="eastAsia" w:ascii="黑体" w:hAnsi="黑体" w:eastAsia="黑体" w:cs="黑体"/>
                <w:color w:val="auto"/>
                <w:kern w:val="2"/>
                <w:sz w:val="21"/>
                <w:szCs w:val="21"/>
                <w:highlight w:val="none"/>
                <w:vertAlign w:val="baseline"/>
                <w:lang w:val="en-US" w:eastAsia="zh-CN" w:bidi="ar-SA"/>
              </w:rPr>
              <w:t>现状</w:t>
            </w:r>
          </w:p>
        </w:tc>
        <w:tc>
          <w:tcPr>
            <w:tcW w:w="2054" w:type="dxa"/>
            <w:gridSpan w:val="2"/>
            <w:vAlign w:val="center"/>
          </w:tcPr>
          <w:p w14:paraId="76700495">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default" w:ascii="黑体" w:hAnsi="黑体" w:eastAsia="黑体" w:cs="黑体"/>
                <w:color w:val="auto"/>
                <w:sz w:val="21"/>
                <w:szCs w:val="21"/>
                <w:highlight w:val="none"/>
                <w:vertAlign w:val="baseline"/>
                <w:lang w:val="en-US" w:eastAsia="zh-CN"/>
              </w:rPr>
            </w:pPr>
            <w:r>
              <w:rPr>
                <w:rFonts w:hint="eastAsia" w:ascii="黑体" w:hAnsi="黑体" w:eastAsia="黑体" w:cs="黑体"/>
                <w:color w:val="auto"/>
                <w:kern w:val="2"/>
                <w:sz w:val="21"/>
                <w:szCs w:val="21"/>
                <w:highlight w:val="none"/>
                <w:vertAlign w:val="baseline"/>
                <w:lang w:val="en-US" w:eastAsia="zh-CN" w:bidi="ar-SA"/>
              </w:rPr>
              <w:t>未来计划</w:t>
            </w:r>
          </w:p>
        </w:tc>
        <w:tc>
          <w:tcPr>
            <w:tcW w:w="569" w:type="dxa"/>
            <w:vMerge w:val="restart"/>
            <w:vAlign w:val="center"/>
          </w:tcPr>
          <w:p w14:paraId="4AA5E6E4">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default" w:ascii="黑体" w:hAnsi="黑体" w:eastAsia="黑体" w:cs="黑体"/>
                <w:color w:val="auto"/>
                <w:sz w:val="24"/>
                <w:szCs w:val="32"/>
                <w:highlight w:val="none"/>
                <w:vertAlign w:val="baseline"/>
                <w:lang w:val="en-US" w:eastAsia="zh-CN"/>
              </w:rPr>
            </w:pPr>
            <w:r>
              <w:rPr>
                <w:rFonts w:hint="eastAsia" w:ascii="黑体" w:hAnsi="黑体" w:eastAsia="黑体" w:cs="黑体"/>
                <w:color w:val="auto"/>
                <w:sz w:val="24"/>
                <w:szCs w:val="32"/>
                <w:highlight w:val="none"/>
                <w:vertAlign w:val="baseline"/>
                <w:lang w:val="en-US" w:eastAsia="zh-CN"/>
              </w:rPr>
              <w:t>备注</w:t>
            </w:r>
          </w:p>
        </w:tc>
      </w:tr>
      <w:tr w14:paraId="14E2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6" w:type="dxa"/>
            <w:vMerge w:val="continue"/>
            <w:vAlign w:val="center"/>
          </w:tcPr>
          <w:p w14:paraId="293E2B81">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77" w:type="dxa"/>
            <w:vMerge w:val="continue"/>
            <w:vAlign w:val="center"/>
          </w:tcPr>
          <w:p w14:paraId="5604D788">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131" w:type="dxa"/>
            <w:vMerge w:val="continue"/>
            <w:vAlign w:val="center"/>
          </w:tcPr>
          <w:p w14:paraId="0030207C">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6" w:type="dxa"/>
            <w:vMerge w:val="continue"/>
            <w:vAlign w:val="center"/>
          </w:tcPr>
          <w:p w14:paraId="6C31B78C">
            <w:pPr>
              <w:keepNext w:val="0"/>
              <w:keepLines w:val="0"/>
              <w:pageBreakBefore w:val="0"/>
              <w:widowControl w:val="0"/>
              <w:kinsoku/>
              <w:wordWrap w:val="0"/>
              <w:overflowPunct w:val="0"/>
              <w:topLinePunct w:val="0"/>
              <w:autoSpaceDE w:val="0"/>
              <w:autoSpaceDN w:val="0"/>
              <w:bidi w:val="0"/>
              <w:spacing w:line="560" w:lineRule="exact"/>
              <w:ind w:left="0"/>
              <w:jc w:val="center"/>
              <w:rPr>
                <w:rFonts w:hint="default" w:ascii="黑体" w:hAnsi="黑体" w:eastAsia="黑体" w:cs="黑体"/>
                <w:color w:val="auto"/>
                <w:sz w:val="24"/>
                <w:szCs w:val="32"/>
                <w:highlight w:val="none"/>
                <w:vertAlign w:val="baseline"/>
                <w:lang w:val="en-US" w:eastAsia="zh-CN"/>
              </w:rPr>
            </w:pPr>
          </w:p>
        </w:tc>
        <w:tc>
          <w:tcPr>
            <w:tcW w:w="993" w:type="dxa"/>
            <w:vMerge w:val="continue"/>
            <w:vAlign w:val="center"/>
          </w:tcPr>
          <w:p w14:paraId="1F6B934F">
            <w:pPr>
              <w:keepNext w:val="0"/>
              <w:keepLines w:val="0"/>
              <w:pageBreakBefore w:val="0"/>
              <w:widowControl w:val="0"/>
              <w:kinsoku/>
              <w:wordWrap w:val="0"/>
              <w:overflowPunct w:val="0"/>
              <w:topLinePunct w:val="0"/>
              <w:autoSpaceDE w:val="0"/>
              <w:autoSpaceDN w:val="0"/>
              <w:bidi w:val="0"/>
              <w:spacing w:line="560" w:lineRule="exact"/>
              <w:ind w:left="0"/>
              <w:jc w:val="center"/>
              <w:rPr>
                <w:rFonts w:hint="default" w:ascii="黑体" w:hAnsi="黑体" w:eastAsia="黑体" w:cs="黑体"/>
                <w:color w:val="auto"/>
                <w:sz w:val="24"/>
                <w:szCs w:val="32"/>
                <w:highlight w:val="none"/>
                <w:vertAlign w:val="baseline"/>
                <w:lang w:val="en-US" w:eastAsia="zh-CN"/>
              </w:rPr>
            </w:pPr>
          </w:p>
        </w:tc>
        <w:tc>
          <w:tcPr>
            <w:tcW w:w="807" w:type="dxa"/>
            <w:vMerge w:val="continue"/>
            <w:vAlign w:val="center"/>
          </w:tcPr>
          <w:p w14:paraId="2EA27B80">
            <w:pPr>
              <w:keepNext w:val="0"/>
              <w:keepLines w:val="0"/>
              <w:pageBreakBefore w:val="0"/>
              <w:widowControl w:val="0"/>
              <w:kinsoku/>
              <w:wordWrap w:val="0"/>
              <w:overflowPunct w:val="0"/>
              <w:topLinePunct w:val="0"/>
              <w:autoSpaceDE w:val="0"/>
              <w:autoSpaceDN w:val="0"/>
              <w:bidi w:val="0"/>
              <w:spacing w:line="560" w:lineRule="exact"/>
              <w:ind w:left="0"/>
              <w:jc w:val="center"/>
              <w:rPr>
                <w:rFonts w:hint="default" w:ascii="黑体" w:hAnsi="黑体" w:eastAsia="黑体" w:cs="黑体"/>
                <w:color w:val="auto"/>
                <w:sz w:val="24"/>
                <w:szCs w:val="32"/>
                <w:highlight w:val="none"/>
                <w:vertAlign w:val="baseline"/>
                <w:lang w:val="en-US" w:eastAsia="zh-CN"/>
              </w:rPr>
            </w:pPr>
          </w:p>
        </w:tc>
        <w:tc>
          <w:tcPr>
            <w:tcW w:w="727" w:type="dxa"/>
            <w:vMerge w:val="continue"/>
            <w:vAlign w:val="center"/>
          </w:tcPr>
          <w:p w14:paraId="0D3C410F">
            <w:pPr>
              <w:keepNext w:val="0"/>
              <w:keepLines w:val="0"/>
              <w:pageBreakBefore w:val="0"/>
              <w:widowControl w:val="0"/>
              <w:kinsoku/>
              <w:wordWrap w:val="0"/>
              <w:overflowPunct w:val="0"/>
              <w:topLinePunct w:val="0"/>
              <w:autoSpaceDE w:val="0"/>
              <w:autoSpaceDN w:val="0"/>
              <w:bidi w:val="0"/>
              <w:spacing w:line="560" w:lineRule="exact"/>
              <w:ind w:left="0"/>
              <w:jc w:val="center"/>
              <w:rPr>
                <w:rFonts w:hint="default" w:ascii="黑体" w:hAnsi="黑体" w:eastAsia="黑体" w:cs="黑体"/>
                <w:color w:val="auto"/>
                <w:sz w:val="24"/>
                <w:szCs w:val="32"/>
                <w:highlight w:val="none"/>
                <w:vertAlign w:val="baseline"/>
                <w:lang w:val="en-US" w:eastAsia="zh-CN"/>
              </w:rPr>
            </w:pPr>
          </w:p>
        </w:tc>
        <w:tc>
          <w:tcPr>
            <w:tcW w:w="1789" w:type="dxa"/>
            <w:vMerge w:val="continue"/>
            <w:vAlign w:val="center"/>
          </w:tcPr>
          <w:p w14:paraId="62AE84C1">
            <w:pPr>
              <w:keepNext w:val="0"/>
              <w:keepLines w:val="0"/>
              <w:pageBreakBefore w:val="0"/>
              <w:widowControl w:val="0"/>
              <w:kinsoku/>
              <w:wordWrap w:val="0"/>
              <w:overflowPunct w:val="0"/>
              <w:topLinePunct w:val="0"/>
              <w:autoSpaceDE w:val="0"/>
              <w:autoSpaceDN w:val="0"/>
              <w:bidi w:val="0"/>
              <w:spacing w:line="560" w:lineRule="exact"/>
              <w:ind w:left="0"/>
              <w:jc w:val="center"/>
              <w:rPr>
                <w:rFonts w:hint="default" w:ascii="黑体" w:hAnsi="黑体" w:eastAsia="黑体" w:cs="黑体"/>
                <w:color w:val="auto"/>
                <w:sz w:val="21"/>
                <w:szCs w:val="21"/>
                <w:highlight w:val="none"/>
                <w:vertAlign w:val="baseline"/>
                <w:lang w:val="en-US" w:eastAsia="zh-CN"/>
              </w:rPr>
            </w:pPr>
          </w:p>
        </w:tc>
        <w:tc>
          <w:tcPr>
            <w:tcW w:w="1592" w:type="dxa"/>
            <w:vMerge w:val="continue"/>
            <w:vAlign w:val="center"/>
          </w:tcPr>
          <w:p w14:paraId="47C38717">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304" w:type="dxa"/>
            <w:vMerge w:val="continue"/>
            <w:vAlign w:val="center"/>
          </w:tcPr>
          <w:p w14:paraId="4913801D">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466" w:type="dxa"/>
            <w:vMerge w:val="continue"/>
            <w:vAlign w:val="center"/>
          </w:tcPr>
          <w:p w14:paraId="0A400083">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292" w:type="dxa"/>
            <w:vAlign w:val="center"/>
          </w:tcPr>
          <w:p w14:paraId="08D68CA9">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kern w:val="2"/>
                <w:sz w:val="21"/>
                <w:szCs w:val="21"/>
                <w:highlight w:val="none"/>
                <w:vertAlign w:val="baseline"/>
                <w:lang w:val="en-US" w:eastAsia="zh-CN" w:bidi="ar-SA"/>
              </w:rPr>
            </w:pPr>
            <w:r>
              <w:rPr>
                <w:rFonts w:hint="eastAsia" w:ascii="黑体" w:hAnsi="黑体" w:eastAsia="黑体" w:cs="黑体"/>
                <w:color w:val="auto"/>
                <w:kern w:val="2"/>
                <w:sz w:val="21"/>
                <w:szCs w:val="21"/>
                <w:highlight w:val="none"/>
                <w:vertAlign w:val="baseline"/>
                <w:lang w:val="en-US" w:eastAsia="zh-CN" w:bidi="ar-SA"/>
              </w:rPr>
              <w:t>购买商品房</w:t>
            </w:r>
          </w:p>
        </w:tc>
        <w:tc>
          <w:tcPr>
            <w:tcW w:w="762" w:type="dxa"/>
            <w:vAlign w:val="center"/>
          </w:tcPr>
          <w:p w14:paraId="2712DA40">
            <w:pPr>
              <w:keepNext w:val="0"/>
              <w:keepLines w:val="0"/>
              <w:pageBreakBefore w:val="0"/>
              <w:widowControl w:val="0"/>
              <w:kinsoku/>
              <w:wordWrap w:val="0"/>
              <w:overflowPunct w:val="0"/>
              <w:topLinePunct w:val="0"/>
              <w:autoSpaceDE w:val="0"/>
              <w:autoSpaceDN w:val="0"/>
              <w:bidi w:val="0"/>
              <w:adjustRightInd w:val="0"/>
              <w:snapToGrid w:val="0"/>
              <w:spacing w:line="320" w:lineRule="exact"/>
              <w:ind w:left="0"/>
              <w:jc w:val="center"/>
              <w:textAlignment w:val="baseline"/>
              <w:rPr>
                <w:rFonts w:hint="eastAsia" w:ascii="黑体" w:hAnsi="黑体" w:eastAsia="黑体" w:cs="黑体"/>
                <w:color w:val="auto"/>
                <w:kern w:val="2"/>
                <w:sz w:val="21"/>
                <w:szCs w:val="21"/>
                <w:highlight w:val="none"/>
                <w:vertAlign w:val="baseline"/>
                <w:lang w:val="en-US" w:eastAsia="zh-CN" w:bidi="ar-SA"/>
              </w:rPr>
            </w:pPr>
            <w:r>
              <w:rPr>
                <w:rFonts w:hint="eastAsia" w:ascii="黑体" w:hAnsi="黑体" w:eastAsia="黑体" w:cs="黑体"/>
                <w:color w:val="auto"/>
                <w:kern w:val="2"/>
                <w:sz w:val="21"/>
                <w:szCs w:val="21"/>
                <w:highlight w:val="none"/>
                <w:vertAlign w:val="baseline"/>
                <w:lang w:val="en-US" w:eastAsia="zh-CN" w:bidi="ar-SA"/>
              </w:rPr>
              <w:t>租房</w:t>
            </w:r>
          </w:p>
        </w:tc>
        <w:tc>
          <w:tcPr>
            <w:tcW w:w="569" w:type="dxa"/>
            <w:vMerge w:val="continue"/>
            <w:vAlign w:val="center"/>
          </w:tcPr>
          <w:p w14:paraId="1D478716">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32"/>
                <w:szCs w:val="40"/>
                <w:highlight w:val="none"/>
                <w:vertAlign w:val="baseline"/>
              </w:rPr>
            </w:pPr>
          </w:p>
        </w:tc>
      </w:tr>
      <w:tr w14:paraId="22F6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26" w:type="dxa"/>
            <w:vAlign w:val="center"/>
          </w:tcPr>
          <w:p w14:paraId="0061AB7E">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77" w:type="dxa"/>
            <w:vAlign w:val="center"/>
          </w:tcPr>
          <w:p w14:paraId="31E8DDEA">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131" w:type="dxa"/>
            <w:vAlign w:val="center"/>
          </w:tcPr>
          <w:p w14:paraId="6FD2BD8A">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6" w:type="dxa"/>
            <w:vAlign w:val="center"/>
          </w:tcPr>
          <w:p w14:paraId="50D32311">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993" w:type="dxa"/>
            <w:vAlign w:val="center"/>
          </w:tcPr>
          <w:p w14:paraId="0160F3C6">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07" w:type="dxa"/>
            <w:vAlign w:val="center"/>
          </w:tcPr>
          <w:p w14:paraId="415157DE">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7" w:type="dxa"/>
            <w:vAlign w:val="center"/>
          </w:tcPr>
          <w:p w14:paraId="33821593">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789" w:type="dxa"/>
            <w:vAlign w:val="center"/>
          </w:tcPr>
          <w:p w14:paraId="6A970A04">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592" w:type="dxa"/>
            <w:vAlign w:val="center"/>
          </w:tcPr>
          <w:p w14:paraId="64FFE0D7">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304" w:type="dxa"/>
            <w:vAlign w:val="center"/>
          </w:tcPr>
          <w:p w14:paraId="6619C9E8">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466" w:type="dxa"/>
            <w:vAlign w:val="center"/>
          </w:tcPr>
          <w:p w14:paraId="5F3218BA">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292" w:type="dxa"/>
            <w:vAlign w:val="center"/>
          </w:tcPr>
          <w:p w14:paraId="397494F0">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762" w:type="dxa"/>
            <w:vAlign w:val="center"/>
          </w:tcPr>
          <w:p w14:paraId="2246FF8F">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569" w:type="dxa"/>
            <w:vAlign w:val="center"/>
          </w:tcPr>
          <w:p w14:paraId="7E8B4FFB">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32"/>
                <w:szCs w:val="40"/>
                <w:highlight w:val="none"/>
                <w:vertAlign w:val="baseline"/>
              </w:rPr>
            </w:pPr>
          </w:p>
        </w:tc>
      </w:tr>
      <w:tr w14:paraId="6CBE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526" w:type="dxa"/>
            <w:vAlign w:val="center"/>
          </w:tcPr>
          <w:p w14:paraId="1CA70C2D">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77" w:type="dxa"/>
            <w:vAlign w:val="center"/>
          </w:tcPr>
          <w:p w14:paraId="5D41D4B8">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131" w:type="dxa"/>
            <w:vAlign w:val="center"/>
          </w:tcPr>
          <w:p w14:paraId="32176C45">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6" w:type="dxa"/>
            <w:vAlign w:val="center"/>
          </w:tcPr>
          <w:p w14:paraId="0A774B4F">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993" w:type="dxa"/>
            <w:vAlign w:val="center"/>
          </w:tcPr>
          <w:p w14:paraId="156A28DE">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07" w:type="dxa"/>
            <w:vAlign w:val="center"/>
          </w:tcPr>
          <w:p w14:paraId="63CC3FF1">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7" w:type="dxa"/>
            <w:vAlign w:val="center"/>
          </w:tcPr>
          <w:p w14:paraId="07E6ACD1">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789" w:type="dxa"/>
            <w:vAlign w:val="center"/>
          </w:tcPr>
          <w:p w14:paraId="0AF92803">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592" w:type="dxa"/>
            <w:vAlign w:val="center"/>
          </w:tcPr>
          <w:p w14:paraId="117A2960">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304" w:type="dxa"/>
            <w:vAlign w:val="center"/>
          </w:tcPr>
          <w:p w14:paraId="60DADEE9">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466" w:type="dxa"/>
            <w:vAlign w:val="center"/>
          </w:tcPr>
          <w:p w14:paraId="156993F9">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292" w:type="dxa"/>
            <w:vAlign w:val="center"/>
          </w:tcPr>
          <w:p w14:paraId="09723356">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762" w:type="dxa"/>
            <w:vAlign w:val="center"/>
          </w:tcPr>
          <w:p w14:paraId="7C8CEFB4">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569" w:type="dxa"/>
            <w:vAlign w:val="center"/>
          </w:tcPr>
          <w:p w14:paraId="7635F6E7">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32"/>
                <w:szCs w:val="40"/>
                <w:highlight w:val="none"/>
                <w:vertAlign w:val="baseline"/>
              </w:rPr>
            </w:pPr>
          </w:p>
        </w:tc>
      </w:tr>
      <w:tr w14:paraId="7D99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526" w:type="dxa"/>
            <w:vAlign w:val="center"/>
          </w:tcPr>
          <w:p w14:paraId="26685E44">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77" w:type="dxa"/>
            <w:vAlign w:val="center"/>
          </w:tcPr>
          <w:p w14:paraId="798831B3">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131" w:type="dxa"/>
            <w:vAlign w:val="center"/>
          </w:tcPr>
          <w:p w14:paraId="39BAA36F">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6" w:type="dxa"/>
            <w:vAlign w:val="center"/>
          </w:tcPr>
          <w:p w14:paraId="59BC9EF5">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993" w:type="dxa"/>
            <w:vAlign w:val="center"/>
          </w:tcPr>
          <w:p w14:paraId="29F53EE8">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07" w:type="dxa"/>
            <w:vAlign w:val="center"/>
          </w:tcPr>
          <w:p w14:paraId="371D94E5">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7" w:type="dxa"/>
            <w:vAlign w:val="center"/>
          </w:tcPr>
          <w:p w14:paraId="0D526BE9">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789" w:type="dxa"/>
            <w:vAlign w:val="center"/>
          </w:tcPr>
          <w:p w14:paraId="69F5B1C3">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592" w:type="dxa"/>
            <w:vAlign w:val="center"/>
          </w:tcPr>
          <w:p w14:paraId="45D0DDCA">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304" w:type="dxa"/>
            <w:vAlign w:val="center"/>
          </w:tcPr>
          <w:p w14:paraId="707E0836">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466" w:type="dxa"/>
            <w:vAlign w:val="center"/>
          </w:tcPr>
          <w:p w14:paraId="50967965">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292" w:type="dxa"/>
            <w:vAlign w:val="center"/>
          </w:tcPr>
          <w:p w14:paraId="371F5681">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762" w:type="dxa"/>
            <w:vAlign w:val="center"/>
          </w:tcPr>
          <w:p w14:paraId="62044896">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569" w:type="dxa"/>
            <w:vAlign w:val="center"/>
          </w:tcPr>
          <w:p w14:paraId="0A408B47">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32"/>
                <w:szCs w:val="40"/>
                <w:highlight w:val="none"/>
                <w:vertAlign w:val="baseline"/>
              </w:rPr>
            </w:pPr>
          </w:p>
        </w:tc>
      </w:tr>
      <w:tr w14:paraId="2307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526" w:type="dxa"/>
            <w:vAlign w:val="center"/>
          </w:tcPr>
          <w:p w14:paraId="6A3909A6">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77" w:type="dxa"/>
            <w:vAlign w:val="center"/>
          </w:tcPr>
          <w:p w14:paraId="5742B56B">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131" w:type="dxa"/>
            <w:vAlign w:val="center"/>
          </w:tcPr>
          <w:p w14:paraId="32BB6084">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6" w:type="dxa"/>
            <w:vAlign w:val="center"/>
          </w:tcPr>
          <w:p w14:paraId="619D48A0">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993" w:type="dxa"/>
            <w:vAlign w:val="center"/>
          </w:tcPr>
          <w:p w14:paraId="18CFD046">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07" w:type="dxa"/>
            <w:vAlign w:val="center"/>
          </w:tcPr>
          <w:p w14:paraId="3B471B8E">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7" w:type="dxa"/>
            <w:vAlign w:val="center"/>
          </w:tcPr>
          <w:p w14:paraId="1F186B33">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789" w:type="dxa"/>
            <w:vAlign w:val="center"/>
          </w:tcPr>
          <w:p w14:paraId="78C60C5D">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592" w:type="dxa"/>
            <w:vAlign w:val="center"/>
          </w:tcPr>
          <w:p w14:paraId="391C685D">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304" w:type="dxa"/>
            <w:vAlign w:val="center"/>
          </w:tcPr>
          <w:p w14:paraId="6E55F5A7">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466" w:type="dxa"/>
            <w:vAlign w:val="center"/>
          </w:tcPr>
          <w:p w14:paraId="6C1CC0A8">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292" w:type="dxa"/>
            <w:vAlign w:val="center"/>
          </w:tcPr>
          <w:p w14:paraId="7E50180A">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762" w:type="dxa"/>
            <w:vAlign w:val="center"/>
          </w:tcPr>
          <w:p w14:paraId="695B23AE">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569" w:type="dxa"/>
            <w:vAlign w:val="center"/>
          </w:tcPr>
          <w:p w14:paraId="5F8C2013">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32"/>
                <w:szCs w:val="40"/>
                <w:highlight w:val="none"/>
                <w:vertAlign w:val="baseline"/>
              </w:rPr>
            </w:pPr>
          </w:p>
        </w:tc>
      </w:tr>
      <w:tr w14:paraId="6934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526" w:type="dxa"/>
            <w:vAlign w:val="center"/>
          </w:tcPr>
          <w:p w14:paraId="0ED5CFBC">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77" w:type="dxa"/>
            <w:vAlign w:val="center"/>
          </w:tcPr>
          <w:p w14:paraId="17B19E9D">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131" w:type="dxa"/>
            <w:vAlign w:val="center"/>
          </w:tcPr>
          <w:p w14:paraId="45C78EFD">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6" w:type="dxa"/>
            <w:vAlign w:val="center"/>
          </w:tcPr>
          <w:p w14:paraId="7E863832">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993" w:type="dxa"/>
            <w:vAlign w:val="center"/>
          </w:tcPr>
          <w:p w14:paraId="7A60BE91">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07" w:type="dxa"/>
            <w:vAlign w:val="center"/>
          </w:tcPr>
          <w:p w14:paraId="6CB8778A">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7" w:type="dxa"/>
            <w:vAlign w:val="center"/>
          </w:tcPr>
          <w:p w14:paraId="3A14C62E">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789" w:type="dxa"/>
            <w:vAlign w:val="center"/>
          </w:tcPr>
          <w:p w14:paraId="71467B35">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592" w:type="dxa"/>
            <w:vAlign w:val="center"/>
          </w:tcPr>
          <w:p w14:paraId="58B5845C">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304" w:type="dxa"/>
            <w:vAlign w:val="center"/>
          </w:tcPr>
          <w:p w14:paraId="38E289CD">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466" w:type="dxa"/>
            <w:vAlign w:val="center"/>
          </w:tcPr>
          <w:p w14:paraId="645C985B">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292" w:type="dxa"/>
            <w:vAlign w:val="center"/>
          </w:tcPr>
          <w:p w14:paraId="2A8F45AD">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762" w:type="dxa"/>
            <w:vAlign w:val="center"/>
          </w:tcPr>
          <w:p w14:paraId="3D3C74FC">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569" w:type="dxa"/>
            <w:vAlign w:val="center"/>
          </w:tcPr>
          <w:p w14:paraId="10F7A452">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32"/>
                <w:szCs w:val="40"/>
                <w:highlight w:val="none"/>
                <w:vertAlign w:val="baseline"/>
              </w:rPr>
            </w:pPr>
          </w:p>
        </w:tc>
      </w:tr>
      <w:tr w14:paraId="52A9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526" w:type="dxa"/>
            <w:vAlign w:val="center"/>
          </w:tcPr>
          <w:p w14:paraId="185819CC">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77" w:type="dxa"/>
            <w:vAlign w:val="center"/>
          </w:tcPr>
          <w:p w14:paraId="398CA596">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131" w:type="dxa"/>
            <w:vAlign w:val="center"/>
          </w:tcPr>
          <w:p w14:paraId="19765A1E">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6" w:type="dxa"/>
            <w:vAlign w:val="center"/>
          </w:tcPr>
          <w:p w14:paraId="08456711">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993" w:type="dxa"/>
            <w:vAlign w:val="center"/>
          </w:tcPr>
          <w:p w14:paraId="4D0C835F">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07" w:type="dxa"/>
            <w:vAlign w:val="center"/>
          </w:tcPr>
          <w:p w14:paraId="133FCD92">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7" w:type="dxa"/>
            <w:vAlign w:val="center"/>
          </w:tcPr>
          <w:p w14:paraId="72D8EDF0">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789" w:type="dxa"/>
            <w:vAlign w:val="center"/>
          </w:tcPr>
          <w:p w14:paraId="59218978">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592" w:type="dxa"/>
            <w:vAlign w:val="center"/>
          </w:tcPr>
          <w:p w14:paraId="1D14418D">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304" w:type="dxa"/>
            <w:vAlign w:val="center"/>
          </w:tcPr>
          <w:p w14:paraId="312F00CE">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466" w:type="dxa"/>
            <w:vAlign w:val="center"/>
          </w:tcPr>
          <w:p w14:paraId="286421A2">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292" w:type="dxa"/>
            <w:vAlign w:val="center"/>
          </w:tcPr>
          <w:p w14:paraId="3B7ECC99">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762" w:type="dxa"/>
            <w:vAlign w:val="center"/>
          </w:tcPr>
          <w:p w14:paraId="5C4D7262">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569" w:type="dxa"/>
            <w:vAlign w:val="center"/>
          </w:tcPr>
          <w:p w14:paraId="7C82C913">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32"/>
                <w:szCs w:val="40"/>
                <w:highlight w:val="none"/>
                <w:vertAlign w:val="baseline"/>
              </w:rPr>
            </w:pPr>
          </w:p>
        </w:tc>
      </w:tr>
      <w:tr w14:paraId="4E03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526" w:type="dxa"/>
            <w:vAlign w:val="center"/>
          </w:tcPr>
          <w:p w14:paraId="4FB96F97">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77" w:type="dxa"/>
            <w:vAlign w:val="center"/>
          </w:tcPr>
          <w:p w14:paraId="57D68D5B">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131" w:type="dxa"/>
            <w:vAlign w:val="center"/>
          </w:tcPr>
          <w:p w14:paraId="462E13E3">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6" w:type="dxa"/>
            <w:vAlign w:val="center"/>
          </w:tcPr>
          <w:p w14:paraId="29BD4AC0">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993" w:type="dxa"/>
            <w:vAlign w:val="center"/>
          </w:tcPr>
          <w:p w14:paraId="03243B0C">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807" w:type="dxa"/>
            <w:vAlign w:val="center"/>
          </w:tcPr>
          <w:p w14:paraId="3F64AC8C">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727" w:type="dxa"/>
            <w:vAlign w:val="center"/>
          </w:tcPr>
          <w:p w14:paraId="17B38CFD">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789" w:type="dxa"/>
            <w:vAlign w:val="center"/>
          </w:tcPr>
          <w:p w14:paraId="4109CA14">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592" w:type="dxa"/>
            <w:vAlign w:val="center"/>
          </w:tcPr>
          <w:p w14:paraId="3F352398">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1304" w:type="dxa"/>
            <w:vAlign w:val="center"/>
          </w:tcPr>
          <w:p w14:paraId="5F3EDB4D">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466" w:type="dxa"/>
            <w:vAlign w:val="center"/>
          </w:tcPr>
          <w:p w14:paraId="3846FE2B">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1292" w:type="dxa"/>
            <w:vAlign w:val="center"/>
          </w:tcPr>
          <w:p w14:paraId="0559363A">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kern w:val="2"/>
                <w:sz w:val="32"/>
                <w:szCs w:val="40"/>
                <w:highlight w:val="none"/>
                <w:vertAlign w:val="baseline"/>
                <w:lang w:val="en-US" w:eastAsia="zh-CN" w:bidi="ar-SA"/>
              </w:rPr>
            </w:pPr>
          </w:p>
        </w:tc>
        <w:tc>
          <w:tcPr>
            <w:tcW w:w="762" w:type="dxa"/>
            <w:vAlign w:val="center"/>
          </w:tcPr>
          <w:p w14:paraId="76BCA252">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24"/>
                <w:szCs w:val="32"/>
                <w:highlight w:val="none"/>
                <w:vertAlign w:val="baseline"/>
                <w:lang w:val="en-US" w:eastAsia="zh-CN"/>
              </w:rPr>
            </w:pPr>
          </w:p>
        </w:tc>
        <w:tc>
          <w:tcPr>
            <w:tcW w:w="569" w:type="dxa"/>
            <w:vAlign w:val="center"/>
          </w:tcPr>
          <w:p w14:paraId="22356C08">
            <w:pPr>
              <w:keepNext w:val="0"/>
              <w:keepLines w:val="0"/>
              <w:pageBreakBefore w:val="0"/>
              <w:widowControl w:val="0"/>
              <w:kinsoku/>
              <w:wordWrap w:val="0"/>
              <w:overflowPunct w:val="0"/>
              <w:topLinePunct w:val="0"/>
              <w:autoSpaceDE w:val="0"/>
              <w:autoSpaceDN w:val="0"/>
              <w:bidi w:val="0"/>
              <w:spacing w:line="560" w:lineRule="exact"/>
              <w:ind w:left="0"/>
              <w:jc w:val="center"/>
              <w:rPr>
                <w:rFonts w:hint="eastAsia" w:ascii="黑体" w:hAnsi="黑体" w:eastAsia="黑体" w:cs="黑体"/>
                <w:color w:val="auto"/>
                <w:sz w:val="32"/>
                <w:szCs w:val="40"/>
                <w:highlight w:val="none"/>
                <w:vertAlign w:val="baseline"/>
              </w:rPr>
            </w:pPr>
          </w:p>
        </w:tc>
      </w:tr>
    </w:tbl>
    <w:p w14:paraId="3074FE99">
      <w:pPr>
        <w:keepNext w:val="0"/>
        <w:keepLines w:val="0"/>
        <w:pageBreakBefore w:val="0"/>
        <w:widowControl w:val="0"/>
        <w:kinsoku/>
        <w:wordWrap w:val="0"/>
        <w:overflowPunct w:val="0"/>
        <w:topLinePunct w:val="0"/>
        <w:autoSpaceDE w:val="0"/>
        <w:autoSpaceDN w:val="0"/>
        <w:bidi w:val="0"/>
        <w:adjustRightInd w:val="0"/>
        <w:snapToGrid w:val="0"/>
        <w:spacing w:line="560" w:lineRule="exact"/>
        <w:ind w:left="0" w:right="0"/>
        <w:textAlignment w:val="baseline"/>
        <w:rPr>
          <w:rFonts w:ascii="Arial"/>
          <w:color w:val="auto"/>
          <w:sz w:val="21"/>
          <w:highlight w:val="none"/>
        </w:rPr>
      </w:pPr>
    </w:p>
    <w:sectPr>
      <w:footerReference r:id="rId7" w:type="default"/>
      <w:pgSz w:w="16838" w:h="11906" w:orient="landscape"/>
      <w:pgMar w:top="1803" w:right="1440" w:bottom="1803" w:left="1440" w:header="851" w:footer="992" w:gutter="0"/>
      <w:pgNumType w:fmt="numberInDash"/>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694F722-73FC-48CE-8B28-AF5D4AA866FE}"/>
  </w:font>
  <w:font w:name="黑体">
    <w:panose1 w:val="02010609060101010101"/>
    <w:charset w:val="86"/>
    <w:family w:val="auto"/>
    <w:pitch w:val="default"/>
    <w:sig w:usb0="800002BF" w:usb1="38CF7CFA" w:usb2="00000016" w:usb3="00000000" w:csb0="00040001" w:csb1="00000000"/>
    <w:embedRegular r:id="rId2" w:fontKey="{FDB2A5AF-138D-47DC-A498-894BD941FD8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8D8D18E2-1031-4AA3-B23C-03A46FD845D2}"/>
  </w:font>
  <w:font w:name="FangSong_GB2312">
    <w:altName w:val="仿宋_GB2312"/>
    <w:panose1 w:val="02010609030101010101"/>
    <w:charset w:val="86"/>
    <w:family w:val="auto"/>
    <w:pitch w:val="default"/>
    <w:sig w:usb0="00000000" w:usb1="00000000" w:usb2="00000000" w:usb3="00000000" w:csb0="00040000" w:csb1="00000000"/>
    <w:embedRegular r:id="rId4" w:fontKey="{B58230AB-81FA-4588-A34F-05F963080470}"/>
  </w:font>
  <w:font w:name="仿宋_GB2312">
    <w:panose1 w:val="02010609030101010101"/>
    <w:charset w:val="86"/>
    <w:family w:val="auto"/>
    <w:pitch w:val="default"/>
    <w:sig w:usb0="00000001" w:usb1="080E0000" w:usb2="00000000" w:usb3="00000000" w:csb0="00040000" w:csb1="00000000"/>
    <w:embedRegular r:id="rId5" w:fontKey="{9A342CA8-A1D8-450E-84AB-33972FEB94E6}"/>
  </w:font>
  <w:font w:name="方正小标宋简体">
    <w:panose1 w:val="03000509000000000000"/>
    <w:charset w:val="86"/>
    <w:family w:val="auto"/>
    <w:pitch w:val="default"/>
    <w:sig w:usb0="00000001" w:usb1="080E0000" w:usb2="00000000" w:usb3="00000000" w:csb0="00040000" w:csb1="00000000"/>
    <w:embedRegular r:id="rId6" w:fontKey="{3D9C2F3A-25F8-4154-9F8C-A93174565745}"/>
  </w:font>
  <w:font w:name="楷体_GB2312">
    <w:panose1 w:val="02010609030101010101"/>
    <w:charset w:val="86"/>
    <w:family w:val="auto"/>
    <w:pitch w:val="default"/>
    <w:sig w:usb0="00000001" w:usb1="080E0000" w:usb2="00000000" w:usb3="00000000" w:csb0="00040000" w:csb1="00000000"/>
    <w:embedRegular r:id="rId7" w:fontKey="{99A7BB3D-11DD-44FC-8149-1D8BDCA3788E}"/>
  </w:font>
  <w:font w:name="方正小标宋_GBK">
    <w:panose1 w:val="02000000000000000000"/>
    <w:charset w:val="86"/>
    <w:family w:val="auto"/>
    <w:pitch w:val="default"/>
    <w:sig w:usb0="A00002BF" w:usb1="38CF7CFA" w:usb2="00082016" w:usb3="00000000" w:csb0="00040001" w:csb1="00000000"/>
    <w:embedRegular r:id="rId8" w:fontKey="{7C84FD1C-29AE-4FF3-A3F5-6707E280C8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D173A">
    <w:pPr>
      <w:spacing w:line="266" w:lineRule="exact"/>
      <w:jc w:val="right"/>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64E49">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664E49">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8D608">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D25D80">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D25D80">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642A90">
                          <w:pPr>
                            <w:pStyle w:val="3"/>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8642A90">
                    <w:pPr>
                      <w:pStyle w:val="3"/>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44DAF">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A2EF93">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1A2EF93">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rawingGridVerticalSpacing w:val="159"/>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BreakWrappedTables/>
    <w:doNotWrapTextWithPunct/>
    <w:doNotUseEastAsianBreakRules/>
    <w:useFELayout/>
    <w:doNotUseIndentAsNumberingTabStop/>
    <w:compatSetting w:name="compatibilityMode" w:uri="http://schemas.microsoft.com/office/word" w:val="14"/>
  </w:compat>
  <w:rsids>
    <w:rsidRoot w:val="00000000"/>
    <w:rsid w:val="00215AA4"/>
    <w:rsid w:val="00BC0250"/>
    <w:rsid w:val="015144CF"/>
    <w:rsid w:val="01722330"/>
    <w:rsid w:val="0232093B"/>
    <w:rsid w:val="03241355"/>
    <w:rsid w:val="077D7AD1"/>
    <w:rsid w:val="0870581B"/>
    <w:rsid w:val="0FB7AB3E"/>
    <w:rsid w:val="13094A98"/>
    <w:rsid w:val="15676E83"/>
    <w:rsid w:val="15784C3B"/>
    <w:rsid w:val="1632283F"/>
    <w:rsid w:val="16B73066"/>
    <w:rsid w:val="17DCBFB4"/>
    <w:rsid w:val="17F76943"/>
    <w:rsid w:val="199C693F"/>
    <w:rsid w:val="1A727A72"/>
    <w:rsid w:val="1BD731CF"/>
    <w:rsid w:val="1D1F2B5D"/>
    <w:rsid w:val="1DE10D14"/>
    <w:rsid w:val="1F597B90"/>
    <w:rsid w:val="1FEF177D"/>
    <w:rsid w:val="20A20B24"/>
    <w:rsid w:val="219860B0"/>
    <w:rsid w:val="22CB37CA"/>
    <w:rsid w:val="25D85C19"/>
    <w:rsid w:val="288B14E2"/>
    <w:rsid w:val="2BFDD672"/>
    <w:rsid w:val="2BFFEC28"/>
    <w:rsid w:val="2CD9441B"/>
    <w:rsid w:val="2DC97759"/>
    <w:rsid w:val="2E4861F9"/>
    <w:rsid w:val="2EFF043C"/>
    <w:rsid w:val="2F5BF649"/>
    <w:rsid w:val="2FFF6463"/>
    <w:rsid w:val="3376295B"/>
    <w:rsid w:val="35A12785"/>
    <w:rsid w:val="37166476"/>
    <w:rsid w:val="377FA109"/>
    <w:rsid w:val="38FB34AE"/>
    <w:rsid w:val="3B555A62"/>
    <w:rsid w:val="3B7FCA2F"/>
    <w:rsid w:val="3BBF809F"/>
    <w:rsid w:val="3BFF119C"/>
    <w:rsid w:val="3DA76ADA"/>
    <w:rsid w:val="3DBBA3FC"/>
    <w:rsid w:val="3E9950B3"/>
    <w:rsid w:val="3EEFC844"/>
    <w:rsid w:val="3EF7F707"/>
    <w:rsid w:val="3F546C30"/>
    <w:rsid w:val="3F577FCC"/>
    <w:rsid w:val="3F9F7E34"/>
    <w:rsid w:val="3FEDED59"/>
    <w:rsid w:val="3FF31811"/>
    <w:rsid w:val="415E7A0D"/>
    <w:rsid w:val="417018D2"/>
    <w:rsid w:val="44D221CB"/>
    <w:rsid w:val="45FBAFA3"/>
    <w:rsid w:val="49B358C3"/>
    <w:rsid w:val="49C665FC"/>
    <w:rsid w:val="4DA54925"/>
    <w:rsid w:val="4F7F9E20"/>
    <w:rsid w:val="4FFD8D96"/>
    <w:rsid w:val="4FFFC164"/>
    <w:rsid w:val="50C112B5"/>
    <w:rsid w:val="540642DF"/>
    <w:rsid w:val="546E16C2"/>
    <w:rsid w:val="562D5BA7"/>
    <w:rsid w:val="57B54493"/>
    <w:rsid w:val="57DD958E"/>
    <w:rsid w:val="57FFCED1"/>
    <w:rsid w:val="596FFAA5"/>
    <w:rsid w:val="5AF63B00"/>
    <w:rsid w:val="5C434BC0"/>
    <w:rsid w:val="5DCF7E37"/>
    <w:rsid w:val="5E7F6229"/>
    <w:rsid w:val="5EF3B4D6"/>
    <w:rsid w:val="5F5A6173"/>
    <w:rsid w:val="5F5B3EAC"/>
    <w:rsid w:val="5F625E9F"/>
    <w:rsid w:val="5F7B0592"/>
    <w:rsid w:val="5FBD5DE3"/>
    <w:rsid w:val="5FEF276B"/>
    <w:rsid w:val="5FF91C93"/>
    <w:rsid w:val="5FFB49B6"/>
    <w:rsid w:val="60584067"/>
    <w:rsid w:val="62C06FFD"/>
    <w:rsid w:val="657F4612"/>
    <w:rsid w:val="65BB2199"/>
    <w:rsid w:val="677F0F93"/>
    <w:rsid w:val="6789F100"/>
    <w:rsid w:val="67BDEFF4"/>
    <w:rsid w:val="67DFA1DB"/>
    <w:rsid w:val="67FF71EE"/>
    <w:rsid w:val="6848469A"/>
    <w:rsid w:val="6AAC74F0"/>
    <w:rsid w:val="6B5B2F14"/>
    <w:rsid w:val="6BAD8D84"/>
    <w:rsid w:val="6BE76526"/>
    <w:rsid w:val="6DB14C3D"/>
    <w:rsid w:val="6DEF4E8A"/>
    <w:rsid w:val="6DF67A3B"/>
    <w:rsid w:val="6E2F5A53"/>
    <w:rsid w:val="6E838430"/>
    <w:rsid w:val="6EBFBDD0"/>
    <w:rsid w:val="6EF291DD"/>
    <w:rsid w:val="6F65DE75"/>
    <w:rsid w:val="6F972D63"/>
    <w:rsid w:val="6FC6DEF5"/>
    <w:rsid w:val="6FCB24A3"/>
    <w:rsid w:val="6FDC1714"/>
    <w:rsid w:val="6FDD3684"/>
    <w:rsid w:val="6FEF90D9"/>
    <w:rsid w:val="6FFDAFF0"/>
    <w:rsid w:val="6FFF2733"/>
    <w:rsid w:val="6FFF4688"/>
    <w:rsid w:val="6FFFE4D0"/>
    <w:rsid w:val="70D950F9"/>
    <w:rsid w:val="70FA674D"/>
    <w:rsid w:val="717F4F35"/>
    <w:rsid w:val="724A1C9D"/>
    <w:rsid w:val="73FF4F36"/>
    <w:rsid w:val="740E58FD"/>
    <w:rsid w:val="74636B35"/>
    <w:rsid w:val="75DF203E"/>
    <w:rsid w:val="75FF962C"/>
    <w:rsid w:val="76B7E361"/>
    <w:rsid w:val="76F83C67"/>
    <w:rsid w:val="77237185"/>
    <w:rsid w:val="77672E36"/>
    <w:rsid w:val="777F94A4"/>
    <w:rsid w:val="778DABCB"/>
    <w:rsid w:val="77BF44E7"/>
    <w:rsid w:val="77C60E56"/>
    <w:rsid w:val="77C971BD"/>
    <w:rsid w:val="77D1B4E2"/>
    <w:rsid w:val="77D70A03"/>
    <w:rsid w:val="77FD7640"/>
    <w:rsid w:val="787DCD6B"/>
    <w:rsid w:val="78911AE8"/>
    <w:rsid w:val="79F9F4EC"/>
    <w:rsid w:val="79FB3D05"/>
    <w:rsid w:val="79FFD57C"/>
    <w:rsid w:val="79FFF941"/>
    <w:rsid w:val="7AF968F8"/>
    <w:rsid w:val="7B5D30B0"/>
    <w:rsid w:val="7BF7B6D9"/>
    <w:rsid w:val="7CDFF1FC"/>
    <w:rsid w:val="7D6FB6FF"/>
    <w:rsid w:val="7DBFCB63"/>
    <w:rsid w:val="7DDF59AE"/>
    <w:rsid w:val="7DFF3F45"/>
    <w:rsid w:val="7EA531B2"/>
    <w:rsid w:val="7EB71D17"/>
    <w:rsid w:val="7EE64784"/>
    <w:rsid w:val="7EFA86DC"/>
    <w:rsid w:val="7EFE72FB"/>
    <w:rsid w:val="7EFFBE5B"/>
    <w:rsid w:val="7EFFC45A"/>
    <w:rsid w:val="7F3530A6"/>
    <w:rsid w:val="7F592217"/>
    <w:rsid w:val="7F6CA66D"/>
    <w:rsid w:val="7F7D32B7"/>
    <w:rsid w:val="7FBB0F76"/>
    <w:rsid w:val="7FBBCEEB"/>
    <w:rsid w:val="7FBFFA06"/>
    <w:rsid w:val="7FE7B983"/>
    <w:rsid w:val="7FEE896E"/>
    <w:rsid w:val="8FDE61A4"/>
    <w:rsid w:val="8FDF9001"/>
    <w:rsid w:val="93DFCABA"/>
    <w:rsid w:val="98FD45BA"/>
    <w:rsid w:val="9917A1E2"/>
    <w:rsid w:val="9BFF91B4"/>
    <w:rsid w:val="9FF79234"/>
    <w:rsid w:val="AAFB563A"/>
    <w:rsid w:val="AB76A0AA"/>
    <w:rsid w:val="ADFF65E7"/>
    <w:rsid w:val="AE7FCA44"/>
    <w:rsid w:val="AF64F4C8"/>
    <w:rsid w:val="AFFF2379"/>
    <w:rsid w:val="B35B3C5D"/>
    <w:rsid w:val="B36D7006"/>
    <w:rsid w:val="B4FF7380"/>
    <w:rsid w:val="B97B36D8"/>
    <w:rsid w:val="B9D69117"/>
    <w:rsid w:val="BA9BE571"/>
    <w:rsid w:val="BB7F0493"/>
    <w:rsid w:val="BBFA4E45"/>
    <w:rsid w:val="BCDFA866"/>
    <w:rsid w:val="BDBE1820"/>
    <w:rsid w:val="BE3F8388"/>
    <w:rsid w:val="BEDFA567"/>
    <w:rsid w:val="BF9FAEFD"/>
    <w:rsid w:val="BFEEA877"/>
    <w:rsid w:val="BFFF8283"/>
    <w:rsid w:val="C7CB3B49"/>
    <w:rsid w:val="CE2E96F9"/>
    <w:rsid w:val="CEDDB294"/>
    <w:rsid w:val="CF7CCB2F"/>
    <w:rsid w:val="CFDEA50F"/>
    <w:rsid w:val="D3BE5C2D"/>
    <w:rsid w:val="D53D9799"/>
    <w:rsid w:val="D56FF0A0"/>
    <w:rsid w:val="D72B7BCC"/>
    <w:rsid w:val="D79E751D"/>
    <w:rsid w:val="D7E702DF"/>
    <w:rsid w:val="D86C5B58"/>
    <w:rsid w:val="D99F0B0D"/>
    <w:rsid w:val="D9BF6BD4"/>
    <w:rsid w:val="DBCFD048"/>
    <w:rsid w:val="DCF69C6A"/>
    <w:rsid w:val="DD770780"/>
    <w:rsid w:val="DDAE8446"/>
    <w:rsid w:val="DDFBDDBF"/>
    <w:rsid w:val="DE59A464"/>
    <w:rsid w:val="DEE8B63F"/>
    <w:rsid w:val="DF38D208"/>
    <w:rsid w:val="DF5F9269"/>
    <w:rsid w:val="DF7B3987"/>
    <w:rsid w:val="DF7E2B12"/>
    <w:rsid w:val="DFBFDE34"/>
    <w:rsid w:val="DFD6F282"/>
    <w:rsid w:val="DFD93487"/>
    <w:rsid w:val="DFEF008B"/>
    <w:rsid w:val="DFEFB184"/>
    <w:rsid w:val="DFF7199A"/>
    <w:rsid w:val="E56F0FDB"/>
    <w:rsid w:val="E5D7BF64"/>
    <w:rsid w:val="E78F9005"/>
    <w:rsid w:val="E7D69B8D"/>
    <w:rsid w:val="E7FF485C"/>
    <w:rsid w:val="EBBFEDC0"/>
    <w:rsid w:val="EBFFB3EC"/>
    <w:rsid w:val="EE5DA67B"/>
    <w:rsid w:val="EEBF2E5C"/>
    <w:rsid w:val="EEED5724"/>
    <w:rsid w:val="EEFFE918"/>
    <w:rsid w:val="EF7F6EA3"/>
    <w:rsid w:val="EFBEA9D0"/>
    <w:rsid w:val="EFE67D5E"/>
    <w:rsid w:val="EFFFC11F"/>
    <w:rsid w:val="F355E198"/>
    <w:rsid w:val="F3EFE7AF"/>
    <w:rsid w:val="F53E7F37"/>
    <w:rsid w:val="F6D6E3FB"/>
    <w:rsid w:val="F6E20AB7"/>
    <w:rsid w:val="F6F48100"/>
    <w:rsid w:val="F71F35F5"/>
    <w:rsid w:val="F75E855F"/>
    <w:rsid w:val="F77D949C"/>
    <w:rsid w:val="F7971CE5"/>
    <w:rsid w:val="F79F7EAB"/>
    <w:rsid w:val="F7BF81AF"/>
    <w:rsid w:val="F7DEAD67"/>
    <w:rsid w:val="F7F79C5F"/>
    <w:rsid w:val="F809CD36"/>
    <w:rsid w:val="F8DFB9DC"/>
    <w:rsid w:val="F937FA43"/>
    <w:rsid w:val="FB5DF46F"/>
    <w:rsid w:val="FB7BBD52"/>
    <w:rsid w:val="FBDF8C58"/>
    <w:rsid w:val="FBF7CF79"/>
    <w:rsid w:val="FBFF7F94"/>
    <w:rsid w:val="FC3F5001"/>
    <w:rsid w:val="FC6852A0"/>
    <w:rsid w:val="FC9E58D5"/>
    <w:rsid w:val="FC9FBE73"/>
    <w:rsid w:val="FCEE94C6"/>
    <w:rsid w:val="FCF72B76"/>
    <w:rsid w:val="FDC4867E"/>
    <w:rsid w:val="FDDD2FAE"/>
    <w:rsid w:val="FDED8006"/>
    <w:rsid w:val="FDFFEF56"/>
    <w:rsid w:val="FE3A1B5D"/>
    <w:rsid w:val="FE7AB57E"/>
    <w:rsid w:val="FE97F3BC"/>
    <w:rsid w:val="FE9F33CD"/>
    <w:rsid w:val="FEAB5E4F"/>
    <w:rsid w:val="FEAC1681"/>
    <w:rsid w:val="FEC1C376"/>
    <w:rsid w:val="FF5E2A76"/>
    <w:rsid w:val="FF7B7043"/>
    <w:rsid w:val="FFBE5E26"/>
    <w:rsid w:val="FFDBD8AC"/>
    <w:rsid w:val="FFDE57E8"/>
    <w:rsid w:val="FFDFCB32"/>
    <w:rsid w:val="FFEE548E"/>
    <w:rsid w:val="FFFA2D7D"/>
    <w:rsid w:val="FFFF77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4765</Words>
  <Characters>4973</Characters>
  <Lines>0</Lines>
  <Paragraphs>0</Paragraphs>
  <TotalTime>0</TotalTime>
  <ScaleCrop>false</ScaleCrop>
  <LinksUpToDate>false</LinksUpToDate>
  <CharactersWithSpaces>5740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2026-01-12T07:54:00Z</dcterms:created>
  <dc:creator>user</dc:creator>
  <cp:lastModifiedBy>雪踏飞燕</cp:lastModifiedBy>
  <cp:lastPrinted>2026-05-23T07:15:00Z</cp:lastPrinted>
  <dcterms:modified xsi:type="dcterms:W3CDTF">2026-08-13T07:52:39Z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2026-01-23T17:21:00Z</vt:filetime>
  </property>
  <property fmtid="{D5CDD505-2E9C-101B-9397-08002B2CF9AE}" pid="4" name="KSOTemplateDocerSaveRecord">
    <vt:lpwstr>eyJoZGlkIjoiM2E5M2MwNjBkMjNjZmNkZTM2OTE4ZWJhYjMxNDU3MzAiLCJ1c2VySWQiOiIxMzkzMDA3MyJ9</vt:lpwstr>
  </property>
  <property fmtid="{D5CDD505-2E9C-101B-9397-08002B2CF9AE}" pid="5" name="KSOProductBuildVer">
    <vt:lpwstr>2052-12.1.0.28043</vt:lpwstr>
  </property>
  <property fmtid="{D5CDD505-2E9C-101B-9397-08002B2CF9AE}" pid="6" name="ICV">
    <vt:lpwstr>B1350AAC7D4841E28008136DB08404A0_13</vt:lpwstr>
  </property>
</Properties>
</file>