
<file path=[Content_Types].xml><?xml version="1.0" encoding="utf-8"?>
<Types xmlns="http://schemas.openxmlformats.org/package/2006/content-types">
  <Default Extension="xml" ContentType="application/xml"/>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kinsoku/>
        <w:wordWrap/>
        <w:overflowPunct/>
        <w:topLinePunct w:val="0"/>
        <w:bidi w:val="0"/>
        <w:snapToGrid/>
        <w:textAlignment w:val="auto"/>
        <w:rPr>
          <w:rFonts w:hint="eastAsia" w:eastAsia="仿宋_GB2312"/>
          <w:sz w:val="52"/>
          <w:szCs w:val="52"/>
          <w:lang w:eastAsia="zh-CN"/>
        </w:rPr>
      </w:pPr>
      <w:r>
        <w:rPr>
          <w:rFonts w:hint="eastAsia" w:eastAsia="仿宋_GB2312"/>
          <w:sz w:val="52"/>
          <w:szCs w:val="52"/>
          <w:lang w:eastAsia="zh-CN"/>
        </w:rPr>
        <w:drawing>
          <wp:anchor distT="0" distB="0" distL="114300" distR="114300" simplePos="0" relativeHeight="251664384" behindDoc="0" locked="0" layoutInCell="1" allowOverlap="1">
            <wp:simplePos x="0" y="0"/>
            <wp:positionH relativeFrom="column">
              <wp:posOffset>-1139825</wp:posOffset>
            </wp:positionH>
            <wp:positionV relativeFrom="paragraph">
              <wp:posOffset>-913130</wp:posOffset>
            </wp:positionV>
            <wp:extent cx="7560945" cy="10692130"/>
            <wp:effectExtent l="0" t="0" r="1905" b="13970"/>
            <wp:wrapNone/>
            <wp:docPr id="1" name="图片 1" descr="01方案封面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方案封面1_1"/>
                    <pic:cNvPicPr>
                      <a:picLocks noChangeAspect="1"/>
                    </pic:cNvPicPr>
                  </pic:nvPicPr>
                  <pic:blipFill>
                    <a:blip r:embed="rId12"/>
                    <a:stretch>
                      <a:fillRect/>
                    </a:stretch>
                  </pic:blipFill>
                  <pic:spPr>
                    <a:xfrm>
                      <a:off x="0" y="0"/>
                      <a:ext cx="7560945" cy="10692130"/>
                    </a:xfrm>
                    <a:prstGeom prst="rect">
                      <a:avLst/>
                    </a:prstGeom>
                  </pic:spPr>
                </pic:pic>
              </a:graphicData>
            </a:graphic>
          </wp:anchor>
        </w:drawing>
      </w:r>
    </w:p>
    <w:p>
      <w:pPr>
        <w:keepNext w:val="0"/>
        <w:keepLines w:val="0"/>
        <w:pageBreakBefore w:val="0"/>
        <w:widowControl/>
        <w:suppressLineNumbers w:val="0"/>
        <w:kinsoku/>
        <w:wordWrap/>
        <w:overflowPunct/>
        <w:topLinePunct w:val="0"/>
        <w:bidi w:val="0"/>
        <w:snapToGrid/>
        <w:ind w:left="0" w:leftChars="0" w:firstLine="0" w:firstLineChars="0"/>
        <w:jc w:val="center"/>
        <w:textAlignment w:val="auto"/>
        <w:rPr>
          <w:rFonts w:hint="eastAsia" w:ascii="黑体" w:hAnsi="黑体" w:eastAsia="黑体" w:cs="黑体"/>
          <w:b w:val="0"/>
          <w:bCs w:val="0"/>
          <w:color w:val="000000"/>
          <w:kern w:val="0"/>
          <w:sz w:val="52"/>
          <w:szCs w:val="52"/>
          <w:lang w:val="en-US" w:eastAsia="zh-CN" w:bidi="ar"/>
        </w:rPr>
        <w:sectPr>
          <w:headerReference r:id="rId5" w:type="default"/>
          <w:footerReference r:id="rId6" w:type="default"/>
          <w:pgSz w:w="11906" w:h="16838"/>
          <w:pgMar w:top="1440" w:right="1800" w:bottom="1440" w:left="1800" w:header="851" w:footer="992" w:gutter="0"/>
          <w:pgNumType w:fmt="upperRoman" w:start="1"/>
          <w:cols w:space="425" w:num="1"/>
          <w:titlePg/>
          <w:docGrid w:type="lines" w:linePitch="312" w:charSpace="0"/>
        </w:sectPr>
      </w:pPr>
      <w:r>
        <w:rPr>
          <w:rFonts w:hint="eastAsia" w:ascii="黑体" w:hAnsi="黑体" w:eastAsia="黑体" w:cs="黑体"/>
          <w:b w:val="0"/>
          <w:bCs w:val="0"/>
          <w:color w:val="000000"/>
          <w:kern w:val="0"/>
          <w:sz w:val="52"/>
          <w:szCs w:val="52"/>
          <w:lang w:val="en-US" w:eastAsia="zh-CN" w:bidi="ar"/>
        </w:rPr>
        <w:t>德化县202</w:t>
      </w:r>
      <w:r>
        <w:rPr>
          <w:rFonts w:hint="eastAsia" w:ascii="黑体" w:hAnsi="黑体" w:eastAsia="黑体" w:cs="黑体"/>
          <w:b w:val="0"/>
          <w:bCs w:val="0"/>
          <w:color w:val="auto"/>
          <w:kern w:val="0"/>
          <w:sz w:val="52"/>
          <w:szCs w:val="52"/>
          <w:lang w:val="en-US" w:eastAsia="zh-CN" w:bidi="ar"/>
        </w:rPr>
        <w:t>2</w:t>
      </w:r>
      <w:r>
        <w:rPr>
          <w:rFonts w:hint="eastAsia" w:ascii="黑体" w:hAnsi="黑体" w:eastAsia="黑体" w:cs="黑体"/>
          <w:b w:val="0"/>
          <w:bCs w:val="0"/>
          <w:color w:val="000000"/>
          <w:kern w:val="0"/>
          <w:sz w:val="52"/>
          <w:szCs w:val="52"/>
          <w:lang w:val="en-US" w:eastAsia="zh-CN" w:bidi="ar"/>
        </w:rPr>
        <w:t>年度第六批次土地征收成片开发方案（01方案）</w:t>
      </w:r>
    </w:p>
    <w:p>
      <w:pPr>
        <w:pStyle w:val="2"/>
        <w:rPr>
          <w:rFonts w:hint="eastAsia"/>
          <w:lang w:val="en-US" w:eastAsia="zh-CN"/>
        </w:rPr>
      </w:pPr>
    </w:p>
    <w:p>
      <w:pPr>
        <w:pStyle w:val="14"/>
        <w:rPr>
          <w:rFonts w:hint="eastAsia"/>
        </w:rPr>
        <w:sectPr>
          <w:pgSz w:w="11906" w:h="16838"/>
          <w:pgMar w:top="1440" w:right="1800" w:bottom="1440" w:left="1800" w:header="851" w:footer="992" w:gutter="0"/>
          <w:pgNumType w:fmt="upperRoman" w:start="1"/>
          <w:cols w:space="425" w:num="1"/>
          <w:titlePg/>
          <w:docGrid w:type="lines" w:linePitch="312" w:charSpace="0"/>
        </w:sectPr>
      </w:pPr>
    </w:p>
    <w:p>
      <w:pPr>
        <w:pStyle w:val="11"/>
        <w:keepNext w:val="0"/>
        <w:keepLines w:val="0"/>
        <w:pageBreakBefore w:val="0"/>
        <w:widowControl/>
        <w:kinsoku/>
        <w:wordWrap/>
        <w:overflowPunct/>
        <w:topLinePunct w:val="0"/>
        <w:bidi w:val="0"/>
        <w:snapToGrid/>
        <w:ind w:left="0" w:leftChars="0" w:firstLine="0" w:firstLineChars="0"/>
        <w:jc w:val="center"/>
        <w:textAlignment w:val="auto"/>
      </w:pPr>
      <w:r>
        <w:rPr>
          <w:rFonts w:hint="eastAsia"/>
        </w:rPr>
        <w:t>目  录</w:t>
      </w:r>
    </w:p>
    <w:p>
      <w:pPr>
        <w:pStyle w:val="11"/>
        <w:tabs>
          <w:tab w:val="right" w:leader="dot" w:pos="8306"/>
          <w:tab w:val="clear" w:pos="8296"/>
        </w:tabs>
      </w:pPr>
      <w:r>
        <w:fldChar w:fldCharType="begin"/>
      </w:r>
      <w:r>
        <w:instrText xml:space="preserve"> TOC \o "1-2" \h \z \u </w:instrText>
      </w:r>
      <w:r>
        <w:fldChar w:fldCharType="separate"/>
      </w:r>
      <w:r>
        <w:fldChar w:fldCharType="begin"/>
      </w:r>
      <w:r>
        <w:instrText xml:space="preserve"> HYPERLINK \l _Toc6801 </w:instrText>
      </w:r>
      <w:r>
        <w:fldChar w:fldCharType="separate"/>
      </w:r>
      <w:r>
        <w:rPr>
          <w:rFonts w:hint="eastAsia" w:cs="仿宋_GB2312"/>
          <w:bCs/>
          <w:szCs w:val="32"/>
        </w:rPr>
        <w:t>一、概述</w:t>
      </w:r>
      <w:r>
        <w:tab/>
      </w:r>
      <w:r>
        <w:fldChar w:fldCharType="begin"/>
      </w:r>
      <w:r>
        <w:instrText xml:space="preserve"> PAGEREF _Toc6801 \h </w:instrText>
      </w:r>
      <w:r>
        <w:fldChar w:fldCharType="separate"/>
      </w:r>
      <w:r>
        <w:t>1</w:t>
      </w:r>
      <w:r>
        <w:fldChar w:fldCharType="end"/>
      </w:r>
      <w:r>
        <w:fldChar w:fldCharType="end"/>
      </w:r>
    </w:p>
    <w:p>
      <w:pPr>
        <w:pStyle w:val="12"/>
        <w:tabs>
          <w:tab w:val="right" w:leader="dot" w:pos="8306"/>
        </w:tabs>
      </w:pPr>
      <w:r>
        <w:fldChar w:fldCharType="begin"/>
      </w:r>
      <w:r>
        <w:instrText xml:space="preserve"> HYPERLINK \l _Toc30901 </w:instrText>
      </w:r>
      <w:r>
        <w:fldChar w:fldCharType="separate"/>
      </w:r>
      <w:r>
        <w:rPr>
          <w:rFonts w:hint="eastAsia" w:cs="仿宋_GB2312"/>
          <w:bCs/>
          <w:szCs w:val="30"/>
        </w:rPr>
        <w:t>（一）编制背景</w:t>
      </w:r>
      <w:r>
        <w:tab/>
      </w:r>
      <w:r>
        <w:fldChar w:fldCharType="begin"/>
      </w:r>
      <w:r>
        <w:instrText xml:space="preserve"> PAGEREF _Toc30901 \h </w:instrText>
      </w:r>
      <w:r>
        <w:fldChar w:fldCharType="separate"/>
      </w:r>
      <w:r>
        <w:t>1</w:t>
      </w:r>
      <w:r>
        <w:fldChar w:fldCharType="end"/>
      </w:r>
      <w:r>
        <w:fldChar w:fldCharType="end"/>
      </w:r>
    </w:p>
    <w:p>
      <w:pPr>
        <w:pStyle w:val="12"/>
        <w:tabs>
          <w:tab w:val="right" w:leader="dot" w:pos="8306"/>
        </w:tabs>
      </w:pPr>
      <w:r>
        <w:fldChar w:fldCharType="begin"/>
      </w:r>
      <w:r>
        <w:instrText xml:space="preserve"> HYPERLINK \l _Toc12176 </w:instrText>
      </w:r>
      <w:r>
        <w:fldChar w:fldCharType="separate"/>
      </w:r>
      <w:r>
        <w:rPr>
          <w:rFonts w:hint="eastAsia" w:cs="仿宋_GB2312"/>
          <w:bCs/>
          <w:szCs w:val="30"/>
        </w:rPr>
        <w:t>（二）编制原则</w:t>
      </w:r>
      <w:r>
        <w:tab/>
      </w:r>
      <w:r>
        <w:fldChar w:fldCharType="begin"/>
      </w:r>
      <w:r>
        <w:instrText xml:space="preserve"> PAGEREF _Toc12176 \h </w:instrText>
      </w:r>
      <w:r>
        <w:fldChar w:fldCharType="separate"/>
      </w:r>
      <w:r>
        <w:t>2</w:t>
      </w:r>
      <w:r>
        <w:fldChar w:fldCharType="end"/>
      </w:r>
      <w:r>
        <w:fldChar w:fldCharType="end"/>
      </w:r>
    </w:p>
    <w:p>
      <w:pPr>
        <w:pStyle w:val="12"/>
        <w:tabs>
          <w:tab w:val="right" w:leader="dot" w:pos="8306"/>
        </w:tabs>
      </w:pPr>
      <w:r>
        <w:fldChar w:fldCharType="begin"/>
      </w:r>
      <w:r>
        <w:instrText xml:space="preserve"> HYPERLINK \l _Toc12762 </w:instrText>
      </w:r>
      <w:r>
        <w:fldChar w:fldCharType="separate"/>
      </w:r>
      <w:r>
        <w:rPr>
          <w:rFonts w:hint="eastAsia" w:cs="仿宋_GB2312"/>
          <w:bCs/>
          <w:szCs w:val="30"/>
        </w:rPr>
        <w:t>（三）编制依据</w:t>
      </w:r>
      <w:r>
        <w:tab/>
      </w:r>
      <w:r>
        <w:fldChar w:fldCharType="begin"/>
      </w:r>
      <w:r>
        <w:instrText xml:space="preserve"> PAGEREF _Toc12762 \h </w:instrText>
      </w:r>
      <w:r>
        <w:fldChar w:fldCharType="separate"/>
      </w:r>
      <w:r>
        <w:t>3</w:t>
      </w:r>
      <w:r>
        <w:fldChar w:fldCharType="end"/>
      </w:r>
      <w:r>
        <w:fldChar w:fldCharType="end"/>
      </w:r>
    </w:p>
    <w:p>
      <w:pPr>
        <w:pStyle w:val="11"/>
        <w:tabs>
          <w:tab w:val="right" w:leader="dot" w:pos="8306"/>
          <w:tab w:val="clear" w:pos="8296"/>
        </w:tabs>
      </w:pPr>
      <w:r>
        <w:fldChar w:fldCharType="begin"/>
      </w:r>
      <w:r>
        <w:instrText xml:space="preserve"> HYPERLINK \l _Toc9819 </w:instrText>
      </w:r>
      <w:r>
        <w:fldChar w:fldCharType="separate"/>
      </w:r>
      <w:r>
        <w:rPr>
          <w:rFonts w:hint="eastAsia" w:cs="仿宋_GB2312"/>
          <w:bCs/>
          <w:szCs w:val="32"/>
        </w:rPr>
        <w:t>二、编制条件</w:t>
      </w:r>
      <w:r>
        <w:tab/>
      </w:r>
      <w:r>
        <w:fldChar w:fldCharType="begin"/>
      </w:r>
      <w:r>
        <w:instrText xml:space="preserve"> PAGEREF _Toc9819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_Toc18157 </w:instrText>
      </w:r>
      <w:r>
        <w:fldChar w:fldCharType="separate"/>
      </w:r>
      <w:r>
        <w:rPr>
          <w:rFonts w:hint="eastAsia" w:cs="仿宋_GB2312"/>
          <w:bCs/>
          <w:szCs w:val="30"/>
        </w:rPr>
        <w:t>（一）批而未供土地和闲置土地情况</w:t>
      </w:r>
      <w:r>
        <w:tab/>
      </w:r>
      <w:r>
        <w:fldChar w:fldCharType="begin"/>
      </w:r>
      <w:r>
        <w:instrText xml:space="preserve"> PAGEREF _Toc18157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_Toc23143 </w:instrText>
      </w:r>
      <w:r>
        <w:fldChar w:fldCharType="separate"/>
      </w:r>
      <w:r>
        <w:rPr>
          <w:rFonts w:hint="eastAsia" w:cs="仿宋_GB2312"/>
          <w:bCs/>
          <w:szCs w:val="30"/>
        </w:rPr>
        <w:t>（二）德化县土地利用效率情况</w:t>
      </w:r>
      <w:r>
        <w:tab/>
      </w:r>
      <w:r>
        <w:fldChar w:fldCharType="begin"/>
      </w:r>
      <w:r>
        <w:instrText xml:space="preserve"> PAGEREF _Toc23143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_Toc12824 </w:instrText>
      </w:r>
      <w:r>
        <w:fldChar w:fldCharType="separate"/>
      </w:r>
      <w:r>
        <w:rPr>
          <w:rFonts w:hint="eastAsia" w:cs="仿宋_GB2312"/>
          <w:bCs/>
          <w:szCs w:val="30"/>
        </w:rPr>
        <w:t>（三）已批准土地征收成片开发方案实施情况</w:t>
      </w:r>
      <w:r>
        <w:tab/>
      </w:r>
      <w:r>
        <w:fldChar w:fldCharType="begin"/>
      </w:r>
      <w:r>
        <w:instrText xml:space="preserve"> PAGEREF _Toc12824 \h </w:instrText>
      </w:r>
      <w:r>
        <w:fldChar w:fldCharType="separate"/>
      </w:r>
      <w:r>
        <w:t>5</w:t>
      </w:r>
      <w:r>
        <w:fldChar w:fldCharType="end"/>
      </w:r>
      <w:r>
        <w:fldChar w:fldCharType="end"/>
      </w:r>
    </w:p>
    <w:p>
      <w:pPr>
        <w:pStyle w:val="11"/>
        <w:tabs>
          <w:tab w:val="right" w:leader="dot" w:pos="8306"/>
          <w:tab w:val="clear" w:pos="8296"/>
        </w:tabs>
      </w:pPr>
      <w:r>
        <w:fldChar w:fldCharType="begin"/>
      </w:r>
      <w:r>
        <w:instrText xml:space="preserve"> HYPERLINK \l _Toc24474 </w:instrText>
      </w:r>
      <w:r>
        <w:fldChar w:fldCharType="separate"/>
      </w:r>
      <w:r>
        <w:rPr>
          <w:rFonts w:hint="eastAsia" w:cs="仿宋_GB2312"/>
          <w:bCs/>
          <w:szCs w:val="32"/>
        </w:rPr>
        <w:t>三、基本情况</w:t>
      </w:r>
      <w:r>
        <w:tab/>
      </w:r>
      <w:r>
        <w:fldChar w:fldCharType="begin"/>
      </w:r>
      <w:r>
        <w:instrText xml:space="preserve"> PAGEREF _Toc24474 \h </w:instrText>
      </w:r>
      <w:r>
        <w:fldChar w:fldCharType="separate"/>
      </w:r>
      <w:r>
        <w:t>5</w:t>
      </w:r>
      <w:r>
        <w:fldChar w:fldCharType="end"/>
      </w:r>
      <w:r>
        <w:fldChar w:fldCharType="end"/>
      </w:r>
    </w:p>
    <w:p>
      <w:pPr>
        <w:pStyle w:val="12"/>
        <w:tabs>
          <w:tab w:val="right" w:leader="dot" w:pos="8306"/>
        </w:tabs>
      </w:pPr>
      <w:r>
        <w:fldChar w:fldCharType="begin"/>
      </w:r>
      <w:r>
        <w:instrText xml:space="preserve"> HYPERLINK \l _Toc14465 </w:instrText>
      </w:r>
      <w:r>
        <w:fldChar w:fldCharType="separate"/>
      </w:r>
      <w:r>
        <w:rPr>
          <w:rFonts w:hint="eastAsia" w:cs="仿宋_GB2312"/>
          <w:bCs/>
          <w:szCs w:val="30"/>
        </w:rPr>
        <w:t>（一）成片开发位置、范围和面积</w:t>
      </w:r>
      <w:r>
        <w:tab/>
      </w:r>
      <w:r>
        <w:fldChar w:fldCharType="begin"/>
      </w:r>
      <w:r>
        <w:instrText xml:space="preserve"> PAGEREF _Toc14465 \h </w:instrText>
      </w:r>
      <w:r>
        <w:fldChar w:fldCharType="separate"/>
      </w:r>
      <w:r>
        <w:t>5</w:t>
      </w:r>
      <w:r>
        <w:fldChar w:fldCharType="end"/>
      </w:r>
      <w:r>
        <w:fldChar w:fldCharType="end"/>
      </w:r>
    </w:p>
    <w:p>
      <w:pPr>
        <w:pStyle w:val="12"/>
        <w:tabs>
          <w:tab w:val="right" w:leader="dot" w:pos="8306"/>
        </w:tabs>
      </w:pPr>
      <w:r>
        <w:fldChar w:fldCharType="begin"/>
      </w:r>
      <w:r>
        <w:instrText xml:space="preserve"> HYPERLINK \l _Toc19444 </w:instrText>
      </w:r>
      <w:r>
        <w:fldChar w:fldCharType="separate"/>
      </w:r>
      <w:r>
        <w:rPr>
          <w:rFonts w:hint="eastAsia" w:cs="仿宋_GB2312"/>
          <w:bCs/>
          <w:szCs w:val="30"/>
        </w:rPr>
        <w:t>（</w:t>
      </w:r>
      <w:r>
        <w:rPr>
          <w:rFonts w:hint="eastAsia" w:cs="仿宋_GB2312"/>
          <w:bCs/>
          <w:szCs w:val="30"/>
          <w:lang w:val="en-US" w:eastAsia="zh-CN"/>
        </w:rPr>
        <w:t>二</w:t>
      </w:r>
      <w:r>
        <w:rPr>
          <w:rFonts w:hint="eastAsia" w:cs="仿宋_GB2312"/>
          <w:bCs/>
          <w:szCs w:val="30"/>
        </w:rPr>
        <w:t>）成片开发区域基础设施条件</w:t>
      </w:r>
      <w:r>
        <w:tab/>
      </w:r>
      <w:r>
        <w:fldChar w:fldCharType="begin"/>
      </w:r>
      <w:r>
        <w:instrText xml:space="preserve"> PAGEREF _Toc19444 \h </w:instrText>
      </w:r>
      <w:r>
        <w:fldChar w:fldCharType="separate"/>
      </w:r>
      <w:r>
        <w:t>6</w:t>
      </w:r>
      <w:r>
        <w:fldChar w:fldCharType="end"/>
      </w:r>
      <w:r>
        <w:fldChar w:fldCharType="end"/>
      </w:r>
    </w:p>
    <w:p>
      <w:pPr>
        <w:pStyle w:val="12"/>
        <w:tabs>
          <w:tab w:val="right" w:leader="dot" w:pos="8306"/>
        </w:tabs>
      </w:pPr>
      <w:r>
        <w:fldChar w:fldCharType="begin"/>
      </w:r>
      <w:r>
        <w:instrText xml:space="preserve"> HYPERLINK \l _Toc12249 </w:instrText>
      </w:r>
      <w:r>
        <w:fldChar w:fldCharType="separate"/>
      </w:r>
      <w:r>
        <w:rPr>
          <w:rFonts w:hint="eastAsia" w:cs="仿宋_GB2312"/>
          <w:bCs/>
          <w:szCs w:val="30"/>
        </w:rPr>
        <w:t>（</w:t>
      </w:r>
      <w:r>
        <w:rPr>
          <w:rFonts w:hint="eastAsia" w:cs="仿宋_GB2312"/>
          <w:bCs/>
          <w:szCs w:val="30"/>
          <w:lang w:val="en-US" w:eastAsia="zh-CN"/>
        </w:rPr>
        <w:t>三</w:t>
      </w:r>
      <w:r>
        <w:rPr>
          <w:rFonts w:hint="eastAsia" w:cs="仿宋_GB2312"/>
          <w:bCs/>
          <w:szCs w:val="30"/>
        </w:rPr>
        <w:t>）</w:t>
      </w:r>
      <w:r>
        <w:rPr>
          <w:rFonts w:hint="eastAsia" w:ascii="Times New Roman" w:hAnsi="Times New Roman" w:cs="仿宋_GB2312"/>
          <w:bCs/>
          <w:szCs w:val="30"/>
        </w:rPr>
        <w:t>成片开发</w:t>
      </w:r>
      <w:r>
        <w:rPr>
          <w:rFonts w:hint="eastAsia" w:cs="仿宋_GB2312"/>
          <w:bCs/>
          <w:szCs w:val="30"/>
        </w:rPr>
        <w:t>实施周期</w:t>
      </w:r>
      <w:r>
        <w:tab/>
      </w:r>
      <w:r>
        <w:fldChar w:fldCharType="begin"/>
      </w:r>
      <w:r>
        <w:instrText xml:space="preserve"> PAGEREF _Toc12249 \h </w:instrText>
      </w:r>
      <w:r>
        <w:fldChar w:fldCharType="separate"/>
      </w:r>
      <w:r>
        <w:t>8</w:t>
      </w:r>
      <w:r>
        <w:fldChar w:fldCharType="end"/>
      </w:r>
      <w:r>
        <w:fldChar w:fldCharType="end"/>
      </w:r>
    </w:p>
    <w:p>
      <w:pPr>
        <w:pStyle w:val="11"/>
        <w:tabs>
          <w:tab w:val="right" w:leader="dot" w:pos="8306"/>
          <w:tab w:val="clear" w:pos="8296"/>
        </w:tabs>
      </w:pPr>
      <w:r>
        <w:fldChar w:fldCharType="begin"/>
      </w:r>
      <w:r>
        <w:instrText xml:space="preserve"> HYPERLINK \l _Toc32611 </w:instrText>
      </w:r>
      <w:r>
        <w:fldChar w:fldCharType="separate"/>
      </w:r>
      <w:r>
        <w:rPr>
          <w:rFonts w:hint="eastAsia" w:cs="仿宋_GB2312"/>
          <w:bCs/>
          <w:szCs w:val="32"/>
          <w:lang w:val="en-US" w:eastAsia="zh-CN"/>
        </w:rPr>
        <w:t>四、</w:t>
      </w:r>
      <w:r>
        <w:rPr>
          <w:rFonts w:hint="eastAsia" w:cs="仿宋_GB2312"/>
          <w:bCs/>
          <w:szCs w:val="32"/>
        </w:rPr>
        <w:t>成片开发必要性</w:t>
      </w:r>
      <w:r>
        <w:rPr>
          <w:rFonts w:hint="eastAsia" w:cs="仿宋_GB2312"/>
          <w:bCs/>
          <w:szCs w:val="32"/>
          <w:lang w:val="en-US" w:eastAsia="zh-CN"/>
        </w:rPr>
        <w:t>和科学性</w:t>
      </w:r>
      <w:r>
        <w:tab/>
      </w:r>
      <w:r>
        <w:fldChar w:fldCharType="begin"/>
      </w:r>
      <w:r>
        <w:instrText xml:space="preserve"> PAGEREF _Toc32611 \h </w:instrText>
      </w:r>
      <w:r>
        <w:fldChar w:fldCharType="separate"/>
      </w:r>
      <w:r>
        <w:t>8</w:t>
      </w:r>
      <w:r>
        <w:fldChar w:fldCharType="end"/>
      </w:r>
      <w:r>
        <w:fldChar w:fldCharType="end"/>
      </w:r>
    </w:p>
    <w:p>
      <w:pPr>
        <w:pStyle w:val="12"/>
        <w:tabs>
          <w:tab w:val="right" w:leader="dot" w:pos="8306"/>
        </w:tabs>
      </w:pPr>
      <w:r>
        <w:fldChar w:fldCharType="begin"/>
      </w:r>
      <w:r>
        <w:instrText xml:space="preserve"> HYPERLINK \l _Toc23878 </w:instrText>
      </w:r>
      <w:r>
        <w:fldChar w:fldCharType="separate"/>
      </w:r>
      <w:r>
        <w:rPr>
          <w:rFonts w:hint="eastAsia" w:cs="仿宋_GB2312"/>
          <w:bCs/>
          <w:szCs w:val="30"/>
        </w:rPr>
        <w:t>（一）</w:t>
      </w:r>
      <w:r>
        <w:rPr>
          <w:rFonts w:hint="eastAsia" w:cs="仿宋_GB2312"/>
          <w:bCs/>
          <w:szCs w:val="30"/>
          <w:lang w:val="en-US" w:eastAsia="zh-CN"/>
        </w:rPr>
        <w:t>必要性分析</w:t>
      </w:r>
      <w:r>
        <w:tab/>
      </w:r>
      <w:r>
        <w:fldChar w:fldCharType="begin"/>
      </w:r>
      <w:r>
        <w:instrText xml:space="preserve"> PAGEREF _Toc23878 \h </w:instrText>
      </w:r>
      <w:r>
        <w:fldChar w:fldCharType="separate"/>
      </w:r>
      <w:r>
        <w:t>8</w:t>
      </w:r>
      <w:r>
        <w:fldChar w:fldCharType="end"/>
      </w:r>
      <w:r>
        <w:fldChar w:fldCharType="end"/>
      </w:r>
    </w:p>
    <w:p>
      <w:pPr>
        <w:pStyle w:val="12"/>
        <w:tabs>
          <w:tab w:val="right" w:leader="dot" w:pos="8306"/>
        </w:tabs>
      </w:pPr>
      <w:r>
        <w:fldChar w:fldCharType="begin"/>
      </w:r>
      <w:r>
        <w:instrText xml:space="preserve"> HYPERLINK \l _Toc25478 </w:instrText>
      </w:r>
      <w:r>
        <w:fldChar w:fldCharType="separate"/>
      </w:r>
      <w:r>
        <w:rPr>
          <w:rFonts w:hint="eastAsia" w:cs="仿宋_GB2312"/>
          <w:bCs/>
          <w:szCs w:val="30"/>
          <w:lang w:val="en-US" w:eastAsia="zh-CN"/>
        </w:rPr>
        <w:t>（二）科学合理性</w:t>
      </w:r>
      <w:r>
        <w:tab/>
      </w:r>
      <w:r>
        <w:fldChar w:fldCharType="begin"/>
      </w:r>
      <w:r>
        <w:instrText xml:space="preserve"> PAGEREF _Toc25478 \h </w:instrText>
      </w:r>
      <w:r>
        <w:fldChar w:fldCharType="separate"/>
      </w:r>
      <w:r>
        <w:t>11</w:t>
      </w:r>
      <w:r>
        <w:fldChar w:fldCharType="end"/>
      </w:r>
      <w:r>
        <w:fldChar w:fldCharType="end"/>
      </w:r>
    </w:p>
    <w:p>
      <w:pPr>
        <w:pStyle w:val="11"/>
        <w:tabs>
          <w:tab w:val="right" w:leader="dot" w:pos="8306"/>
          <w:tab w:val="clear" w:pos="8296"/>
        </w:tabs>
      </w:pPr>
      <w:r>
        <w:fldChar w:fldCharType="begin"/>
      </w:r>
      <w:r>
        <w:instrText xml:space="preserve"> HYPERLINK \l _Toc8381 </w:instrText>
      </w:r>
      <w:r>
        <w:fldChar w:fldCharType="separate"/>
      </w:r>
      <w:r>
        <w:rPr>
          <w:rFonts w:hint="eastAsia" w:cs="仿宋_GB2312"/>
          <w:bCs/>
          <w:szCs w:val="32"/>
          <w:lang w:val="en-US" w:eastAsia="zh-CN"/>
        </w:rPr>
        <w:t>五、</w:t>
      </w:r>
      <w:r>
        <w:rPr>
          <w:rFonts w:hint="eastAsia" w:cs="仿宋_GB2312"/>
          <w:bCs/>
          <w:szCs w:val="32"/>
        </w:rPr>
        <w:t>主要用途、实现功能及公益性用地比例</w:t>
      </w:r>
      <w:r>
        <w:tab/>
      </w:r>
      <w:r>
        <w:fldChar w:fldCharType="begin"/>
      </w:r>
      <w:r>
        <w:instrText xml:space="preserve"> PAGEREF _Toc8381 \h </w:instrText>
      </w:r>
      <w:r>
        <w:fldChar w:fldCharType="separate"/>
      </w:r>
      <w:r>
        <w:t>13</w:t>
      </w:r>
      <w:r>
        <w:fldChar w:fldCharType="end"/>
      </w:r>
      <w:r>
        <w:fldChar w:fldCharType="end"/>
      </w:r>
    </w:p>
    <w:p>
      <w:pPr>
        <w:pStyle w:val="12"/>
        <w:tabs>
          <w:tab w:val="right" w:leader="dot" w:pos="8306"/>
        </w:tabs>
      </w:pPr>
      <w:r>
        <w:fldChar w:fldCharType="begin"/>
      </w:r>
      <w:r>
        <w:instrText xml:space="preserve"> HYPERLINK \l _Toc10786 </w:instrText>
      </w:r>
      <w:r>
        <w:fldChar w:fldCharType="separate"/>
      </w:r>
      <w:r>
        <w:rPr>
          <w:rFonts w:hint="eastAsia" w:cs="仿宋_GB2312"/>
          <w:bCs/>
          <w:szCs w:val="30"/>
        </w:rPr>
        <w:t>（一）主要用途和实现功能</w:t>
      </w:r>
      <w:r>
        <w:tab/>
      </w:r>
      <w:r>
        <w:fldChar w:fldCharType="begin"/>
      </w:r>
      <w:r>
        <w:instrText xml:space="preserve"> PAGEREF _Toc10786 \h </w:instrText>
      </w:r>
      <w:r>
        <w:fldChar w:fldCharType="separate"/>
      </w:r>
      <w:r>
        <w:t>13</w:t>
      </w:r>
      <w:r>
        <w:fldChar w:fldCharType="end"/>
      </w:r>
      <w:r>
        <w:fldChar w:fldCharType="end"/>
      </w:r>
    </w:p>
    <w:p>
      <w:pPr>
        <w:pStyle w:val="12"/>
        <w:tabs>
          <w:tab w:val="right" w:leader="dot" w:pos="8306"/>
        </w:tabs>
      </w:pPr>
      <w:r>
        <w:fldChar w:fldCharType="begin"/>
      </w:r>
      <w:r>
        <w:instrText xml:space="preserve"> HYPERLINK \l _Toc30726 </w:instrText>
      </w:r>
      <w:r>
        <w:fldChar w:fldCharType="separate"/>
      </w:r>
      <w:r>
        <w:rPr>
          <w:rFonts w:hint="eastAsia" w:cs="仿宋_GB2312"/>
          <w:bCs/>
          <w:szCs w:val="30"/>
        </w:rPr>
        <w:t>（二）公益性用地比例</w:t>
      </w:r>
      <w:r>
        <w:tab/>
      </w:r>
      <w:r>
        <w:fldChar w:fldCharType="begin"/>
      </w:r>
      <w:r>
        <w:instrText xml:space="preserve"> PAGEREF _Toc30726 \h </w:instrText>
      </w:r>
      <w:r>
        <w:fldChar w:fldCharType="separate"/>
      </w:r>
      <w:r>
        <w:t>13</w:t>
      </w:r>
      <w:r>
        <w:fldChar w:fldCharType="end"/>
      </w:r>
      <w:r>
        <w:fldChar w:fldCharType="end"/>
      </w:r>
    </w:p>
    <w:p>
      <w:pPr>
        <w:pStyle w:val="11"/>
        <w:tabs>
          <w:tab w:val="right" w:leader="dot" w:pos="8306"/>
          <w:tab w:val="clear" w:pos="8296"/>
        </w:tabs>
      </w:pPr>
      <w:r>
        <w:fldChar w:fldCharType="begin"/>
      </w:r>
      <w:r>
        <w:instrText xml:space="preserve"> HYPERLINK \l _Toc2193 </w:instrText>
      </w:r>
      <w:r>
        <w:fldChar w:fldCharType="separate"/>
      </w:r>
      <w:r>
        <w:rPr>
          <w:rFonts w:hint="eastAsia" w:cs="仿宋_GB2312"/>
          <w:bCs/>
          <w:szCs w:val="32"/>
        </w:rPr>
        <w:t>六、</w:t>
      </w:r>
      <w:r>
        <w:rPr>
          <w:rFonts w:hint="eastAsia" w:cs="仿宋_GB2312"/>
          <w:bCs/>
          <w:szCs w:val="32"/>
          <w:lang w:val="en-US" w:eastAsia="zh-CN"/>
        </w:rPr>
        <w:t>拟建项目及实施</w:t>
      </w:r>
      <w:r>
        <w:rPr>
          <w:rFonts w:hint="eastAsia" w:cs="仿宋_GB2312"/>
          <w:bCs/>
          <w:szCs w:val="32"/>
        </w:rPr>
        <w:t>计划</w:t>
      </w:r>
      <w:r>
        <w:tab/>
      </w:r>
      <w:r>
        <w:fldChar w:fldCharType="begin"/>
      </w:r>
      <w:r>
        <w:instrText xml:space="preserve"> PAGEREF _Toc2193 \h </w:instrText>
      </w:r>
      <w:r>
        <w:fldChar w:fldCharType="separate"/>
      </w:r>
      <w:r>
        <w:t>13</w:t>
      </w:r>
      <w:r>
        <w:fldChar w:fldCharType="end"/>
      </w:r>
      <w:r>
        <w:fldChar w:fldCharType="end"/>
      </w:r>
    </w:p>
    <w:p>
      <w:pPr>
        <w:pStyle w:val="11"/>
        <w:tabs>
          <w:tab w:val="right" w:leader="dot" w:pos="8306"/>
          <w:tab w:val="clear" w:pos="8296"/>
        </w:tabs>
      </w:pPr>
      <w:r>
        <w:fldChar w:fldCharType="begin"/>
      </w:r>
      <w:r>
        <w:instrText xml:space="preserve"> HYPERLINK \l _Toc32508 </w:instrText>
      </w:r>
      <w:r>
        <w:fldChar w:fldCharType="separate"/>
      </w:r>
      <w:r>
        <w:rPr>
          <w:rFonts w:hint="eastAsia" w:cs="仿宋_GB2312"/>
          <w:bCs/>
          <w:szCs w:val="32"/>
          <w:lang w:val="en-US" w:eastAsia="zh-CN"/>
        </w:rPr>
        <w:t>七、</w:t>
      </w:r>
      <w:r>
        <w:rPr>
          <w:rFonts w:hint="eastAsia" w:cs="仿宋_GB2312"/>
          <w:bCs/>
          <w:szCs w:val="32"/>
        </w:rPr>
        <w:t>合规性分析</w:t>
      </w:r>
      <w:r>
        <w:tab/>
      </w:r>
      <w:r>
        <w:fldChar w:fldCharType="begin"/>
      </w:r>
      <w:r>
        <w:instrText xml:space="preserve"> PAGEREF _Toc32508 \h </w:instrText>
      </w:r>
      <w:r>
        <w:fldChar w:fldCharType="separate"/>
      </w:r>
      <w:r>
        <w:t>14</w:t>
      </w:r>
      <w:r>
        <w:fldChar w:fldCharType="end"/>
      </w:r>
      <w:r>
        <w:fldChar w:fldCharType="end"/>
      </w:r>
    </w:p>
    <w:p>
      <w:pPr>
        <w:pStyle w:val="12"/>
        <w:tabs>
          <w:tab w:val="right" w:leader="dot" w:pos="8306"/>
        </w:tabs>
      </w:pPr>
      <w:r>
        <w:fldChar w:fldCharType="begin"/>
      </w:r>
      <w:r>
        <w:instrText xml:space="preserve"> HYPERLINK \l _Toc8065 </w:instrText>
      </w:r>
      <w:r>
        <w:fldChar w:fldCharType="separate"/>
      </w:r>
      <w:r>
        <w:rPr>
          <w:rFonts w:hint="eastAsia" w:cs="仿宋_GB2312"/>
          <w:bCs/>
          <w:szCs w:val="30"/>
        </w:rPr>
        <w:t>（一）</w:t>
      </w:r>
      <w:r>
        <w:rPr>
          <w:rFonts w:hint="eastAsia" w:ascii="Times New Roman" w:hAnsi="Times New Roman" w:cs="仿宋_GB2312"/>
          <w:bCs/>
          <w:szCs w:val="30"/>
        </w:rPr>
        <w:t>国土空间规划</w:t>
      </w:r>
      <w:r>
        <w:tab/>
      </w:r>
      <w:r>
        <w:fldChar w:fldCharType="begin"/>
      </w:r>
      <w:r>
        <w:instrText xml:space="preserve"> PAGEREF _Toc8065 \h </w:instrText>
      </w:r>
      <w:r>
        <w:fldChar w:fldCharType="separate"/>
      </w:r>
      <w:r>
        <w:t>14</w:t>
      </w:r>
      <w:r>
        <w:fldChar w:fldCharType="end"/>
      </w:r>
      <w:r>
        <w:fldChar w:fldCharType="end"/>
      </w:r>
    </w:p>
    <w:p>
      <w:pPr>
        <w:pStyle w:val="12"/>
        <w:tabs>
          <w:tab w:val="right" w:leader="dot" w:pos="8306"/>
        </w:tabs>
      </w:pPr>
      <w:r>
        <w:fldChar w:fldCharType="begin"/>
      </w:r>
      <w:r>
        <w:instrText xml:space="preserve"> HYPERLINK \l _Toc32466 </w:instrText>
      </w:r>
      <w:r>
        <w:fldChar w:fldCharType="separate"/>
      </w:r>
      <w:r>
        <w:rPr>
          <w:rFonts w:hint="eastAsia" w:cs="仿宋_GB2312"/>
          <w:bCs/>
          <w:szCs w:val="30"/>
        </w:rPr>
        <w:t>（二）国民经济和社会发展规划</w:t>
      </w:r>
      <w:r>
        <w:rPr>
          <w:rFonts w:hint="eastAsia" w:cs="仿宋_GB2312"/>
          <w:bCs/>
          <w:szCs w:val="30"/>
          <w:lang w:eastAsia="zh-CN"/>
        </w:rPr>
        <w:t>、</w:t>
      </w:r>
      <w:r>
        <w:rPr>
          <w:rFonts w:hint="eastAsia" w:cs="仿宋_GB2312"/>
          <w:bCs/>
          <w:szCs w:val="30"/>
          <w:lang w:val="en-US" w:eastAsia="zh-CN"/>
        </w:rPr>
        <w:t>年度计划</w:t>
      </w:r>
      <w:r>
        <w:tab/>
      </w:r>
      <w:r>
        <w:fldChar w:fldCharType="begin"/>
      </w:r>
      <w:r>
        <w:instrText xml:space="preserve"> PAGEREF _Toc32466 \h </w:instrText>
      </w:r>
      <w:r>
        <w:fldChar w:fldCharType="separate"/>
      </w:r>
      <w:r>
        <w:t>14</w:t>
      </w:r>
      <w:r>
        <w:fldChar w:fldCharType="end"/>
      </w:r>
      <w:r>
        <w:fldChar w:fldCharType="end"/>
      </w:r>
    </w:p>
    <w:p>
      <w:pPr>
        <w:pStyle w:val="12"/>
        <w:tabs>
          <w:tab w:val="right" w:leader="dot" w:pos="8306"/>
        </w:tabs>
      </w:pPr>
      <w:r>
        <w:fldChar w:fldCharType="begin"/>
      </w:r>
      <w:r>
        <w:instrText xml:space="preserve"> HYPERLINK \l _Toc31152 </w:instrText>
      </w:r>
      <w:r>
        <w:fldChar w:fldCharType="separate"/>
      </w:r>
      <w:r>
        <w:rPr>
          <w:rFonts w:hint="eastAsia" w:cs="仿宋_GB2312"/>
          <w:bCs/>
          <w:szCs w:val="30"/>
        </w:rPr>
        <w:t>（</w:t>
      </w:r>
      <w:r>
        <w:rPr>
          <w:rFonts w:hint="eastAsia" w:cs="仿宋_GB2312"/>
          <w:bCs/>
          <w:szCs w:val="30"/>
          <w:lang w:eastAsia="zh-CN"/>
        </w:rPr>
        <w:t>三</w:t>
      </w:r>
      <w:r>
        <w:rPr>
          <w:rFonts w:hint="eastAsia" w:cs="仿宋_GB2312"/>
          <w:bCs/>
          <w:szCs w:val="30"/>
        </w:rPr>
        <w:t>）</w:t>
      </w:r>
      <w:r>
        <w:rPr>
          <w:rFonts w:hint="eastAsia" w:cs="仿宋_GB2312"/>
          <w:bCs/>
          <w:szCs w:val="30"/>
          <w:lang w:val="en-US" w:eastAsia="zh-CN"/>
        </w:rPr>
        <w:t>不</w:t>
      </w:r>
      <w:r>
        <w:rPr>
          <w:rFonts w:hint="eastAsia" w:ascii="Times New Roman" w:hAnsi="Times New Roman" w:cs="仿宋_GB2312"/>
          <w:bCs/>
          <w:szCs w:val="30"/>
          <w:lang w:val="en-US" w:eastAsia="zh-CN"/>
        </w:rPr>
        <w:t>涉及占用永久基本农田和其他法律法规规定不允许占用或开发的</w:t>
      </w:r>
      <w:r>
        <w:rPr>
          <w:rFonts w:hint="eastAsia" w:cs="仿宋_GB2312"/>
          <w:bCs/>
          <w:szCs w:val="30"/>
          <w:lang w:val="en-US" w:eastAsia="zh-CN"/>
        </w:rPr>
        <w:t>区域</w:t>
      </w:r>
      <w:r>
        <w:tab/>
      </w:r>
      <w:r>
        <w:fldChar w:fldCharType="begin"/>
      </w:r>
      <w:r>
        <w:instrText xml:space="preserve"> PAGEREF _Toc31152 \h </w:instrText>
      </w:r>
      <w:r>
        <w:fldChar w:fldCharType="separate"/>
      </w:r>
      <w:r>
        <w:t>14</w:t>
      </w:r>
      <w:r>
        <w:fldChar w:fldCharType="end"/>
      </w:r>
      <w:r>
        <w:fldChar w:fldCharType="end"/>
      </w:r>
    </w:p>
    <w:p>
      <w:pPr>
        <w:pStyle w:val="11"/>
        <w:tabs>
          <w:tab w:val="right" w:leader="dot" w:pos="8306"/>
          <w:tab w:val="clear" w:pos="8296"/>
        </w:tabs>
      </w:pPr>
      <w:r>
        <w:fldChar w:fldCharType="begin"/>
      </w:r>
      <w:r>
        <w:instrText xml:space="preserve"> HYPERLINK \l _Toc27736 </w:instrText>
      </w:r>
      <w:r>
        <w:fldChar w:fldCharType="separate"/>
      </w:r>
      <w:r>
        <w:rPr>
          <w:rFonts w:hint="eastAsia" w:cs="仿宋_GB2312"/>
          <w:bCs/>
          <w:szCs w:val="32"/>
          <w:lang w:val="en-US" w:eastAsia="zh-CN"/>
        </w:rPr>
        <w:t>八、</w:t>
      </w:r>
      <w:r>
        <w:rPr>
          <w:rFonts w:hint="eastAsia" w:cs="仿宋_GB2312"/>
          <w:bCs/>
          <w:szCs w:val="32"/>
        </w:rPr>
        <w:t>效益分析</w:t>
      </w:r>
      <w:r>
        <w:tab/>
      </w:r>
      <w:r>
        <w:fldChar w:fldCharType="begin"/>
      </w:r>
      <w:r>
        <w:instrText xml:space="preserve"> PAGEREF _Toc27736 \h </w:instrText>
      </w:r>
      <w:r>
        <w:fldChar w:fldCharType="separate"/>
      </w:r>
      <w:r>
        <w:t>15</w:t>
      </w:r>
      <w:r>
        <w:fldChar w:fldCharType="end"/>
      </w:r>
      <w:r>
        <w:fldChar w:fldCharType="end"/>
      </w:r>
    </w:p>
    <w:p>
      <w:pPr>
        <w:pStyle w:val="12"/>
        <w:tabs>
          <w:tab w:val="right" w:leader="dot" w:pos="8306"/>
        </w:tabs>
      </w:pPr>
      <w:r>
        <w:fldChar w:fldCharType="begin"/>
      </w:r>
      <w:r>
        <w:instrText xml:space="preserve"> HYPERLINK \l _Toc8588 </w:instrText>
      </w:r>
      <w:r>
        <w:fldChar w:fldCharType="separate"/>
      </w:r>
      <w:r>
        <w:rPr>
          <w:rFonts w:hint="eastAsia" w:cs="仿宋_GB2312"/>
          <w:bCs/>
          <w:szCs w:val="30"/>
        </w:rPr>
        <w:t>（一）土地利用效益</w:t>
      </w:r>
      <w:r>
        <w:tab/>
      </w:r>
      <w:r>
        <w:fldChar w:fldCharType="begin"/>
      </w:r>
      <w:r>
        <w:instrText xml:space="preserve"> PAGEREF _Toc8588 \h </w:instrText>
      </w:r>
      <w:r>
        <w:fldChar w:fldCharType="separate"/>
      </w:r>
      <w:r>
        <w:t>15</w:t>
      </w:r>
      <w:r>
        <w:fldChar w:fldCharType="end"/>
      </w:r>
      <w:r>
        <w:fldChar w:fldCharType="end"/>
      </w:r>
    </w:p>
    <w:p>
      <w:pPr>
        <w:pStyle w:val="12"/>
        <w:tabs>
          <w:tab w:val="right" w:leader="dot" w:pos="8306"/>
        </w:tabs>
      </w:pPr>
      <w:r>
        <w:fldChar w:fldCharType="begin"/>
      </w:r>
      <w:r>
        <w:instrText xml:space="preserve"> HYPERLINK \l _Toc30105 </w:instrText>
      </w:r>
      <w:r>
        <w:fldChar w:fldCharType="separate"/>
      </w:r>
      <w:r>
        <w:rPr>
          <w:rFonts w:hint="eastAsia" w:cs="仿宋_GB2312"/>
          <w:bCs/>
          <w:szCs w:val="30"/>
        </w:rPr>
        <w:t>（</w:t>
      </w:r>
      <w:r>
        <w:rPr>
          <w:rFonts w:hint="eastAsia" w:cs="仿宋_GB2312"/>
          <w:bCs/>
          <w:szCs w:val="30"/>
          <w:lang w:val="en-US" w:eastAsia="zh-CN"/>
        </w:rPr>
        <w:t>二</w:t>
      </w:r>
      <w:r>
        <w:rPr>
          <w:rFonts w:hint="eastAsia" w:cs="仿宋_GB2312"/>
          <w:bCs/>
          <w:szCs w:val="30"/>
        </w:rPr>
        <w:t>）经济效益</w:t>
      </w:r>
      <w:r>
        <w:tab/>
      </w:r>
      <w:r>
        <w:fldChar w:fldCharType="begin"/>
      </w:r>
      <w:r>
        <w:instrText xml:space="preserve"> PAGEREF _Toc30105 \h </w:instrText>
      </w:r>
      <w:r>
        <w:fldChar w:fldCharType="separate"/>
      </w:r>
      <w:r>
        <w:t>16</w:t>
      </w:r>
      <w:r>
        <w:fldChar w:fldCharType="end"/>
      </w:r>
      <w:r>
        <w:fldChar w:fldCharType="end"/>
      </w:r>
    </w:p>
    <w:p>
      <w:pPr>
        <w:pStyle w:val="12"/>
        <w:tabs>
          <w:tab w:val="right" w:leader="dot" w:pos="8306"/>
        </w:tabs>
      </w:pPr>
      <w:r>
        <w:fldChar w:fldCharType="begin"/>
      </w:r>
      <w:r>
        <w:instrText xml:space="preserve"> HYPERLINK \l _Toc3302 </w:instrText>
      </w:r>
      <w:r>
        <w:fldChar w:fldCharType="separate"/>
      </w:r>
      <w:r>
        <w:rPr>
          <w:rFonts w:hint="eastAsia" w:cs="仿宋_GB2312"/>
          <w:bCs/>
          <w:szCs w:val="30"/>
        </w:rPr>
        <w:t>（</w:t>
      </w:r>
      <w:r>
        <w:rPr>
          <w:rFonts w:hint="eastAsia" w:cs="仿宋_GB2312"/>
          <w:bCs/>
          <w:szCs w:val="30"/>
          <w:lang w:val="en-US" w:eastAsia="zh-CN"/>
        </w:rPr>
        <w:t>三</w:t>
      </w:r>
      <w:r>
        <w:rPr>
          <w:rFonts w:hint="eastAsia" w:cs="仿宋_GB2312"/>
          <w:bCs/>
          <w:szCs w:val="30"/>
        </w:rPr>
        <w:t>）社会效益</w:t>
      </w:r>
      <w:r>
        <w:tab/>
      </w:r>
      <w:r>
        <w:fldChar w:fldCharType="begin"/>
      </w:r>
      <w:r>
        <w:instrText xml:space="preserve"> PAGEREF _Toc3302 \h </w:instrText>
      </w:r>
      <w:r>
        <w:fldChar w:fldCharType="separate"/>
      </w:r>
      <w:r>
        <w:t>16</w:t>
      </w:r>
      <w:r>
        <w:fldChar w:fldCharType="end"/>
      </w:r>
      <w:r>
        <w:fldChar w:fldCharType="end"/>
      </w:r>
    </w:p>
    <w:p>
      <w:pPr>
        <w:pStyle w:val="12"/>
        <w:tabs>
          <w:tab w:val="right" w:leader="dot" w:pos="8306"/>
        </w:tabs>
      </w:pPr>
      <w:r>
        <w:fldChar w:fldCharType="begin"/>
      </w:r>
      <w:r>
        <w:instrText xml:space="preserve"> HYPERLINK \l _Toc336 </w:instrText>
      </w:r>
      <w:r>
        <w:fldChar w:fldCharType="separate"/>
      </w:r>
      <w:r>
        <w:rPr>
          <w:rFonts w:hint="eastAsia" w:ascii="Times New Roman" w:hAnsi="Times New Roman" w:cs="仿宋_GB2312"/>
          <w:bCs/>
          <w:szCs w:val="30"/>
        </w:rPr>
        <w:t>（</w:t>
      </w:r>
      <w:r>
        <w:rPr>
          <w:rFonts w:hint="eastAsia" w:ascii="Times New Roman" w:hAnsi="Times New Roman" w:cs="仿宋_GB2312"/>
          <w:bCs/>
          <w:szCs w:val="30"/>
          <w:lang w:val="en-US" w:eastAsia="zh-CN"/>
        </w:rPr>
        <w:t>四</w:t>
      </w:r>
      <w:r>
        <w:rPr>
          <w:rFonts w:hint="eastAsia" w:ascii="Times New Roman" w:hAnsi="Times New Roman" w:cs="仿宋_GB2312"/>
          <w:bCs/>
          <w:szCs w:val="30"/>
        </w:rPr>
        <w:t>）生态效益</w:t>
      </w:r>
      <w:r>
        <w:tab/>
      </w:r>
      <w:r>
        <w:fldChar w:fldCharType="begin"/>
      </w:r>
      <w:r>
        <w:instrText xml:space="preserve"> PAGEREF _Toc336 \h </w:instrText>
      </w:r>
      <w:r>
        <w:fldChar w:fldCharType="separate"/>
      </w:r>
      <w:r>
        <w:t>16</w:t>
      </w:r>
      <w:r>
        <w:fldChar w:fldCharType="end"/>
      </w:r>
      <w:r>
        <w:fldChar w:fldCharType="end"/>
      </w:r>
    </w:p>
    <w:p>
      <w:pPr>
        <w:pStyle w:val="11"/>
        <w:tabs>
          <w:tab w:val="right" w:leader="dot" w:pos="8306"/>
          <w:tab w:val="clear" w:pos="8296"/>
        </w:tabs>
      </w:pPr>
      <w:r>
        <w:fldChar w:fldCharType="begin"/>
      </w:r>
      <w:r>
        <w:instrText xml:space="preserve"> HYPERLINK \l _Toc22290 </w:instrText>
      </w:r>
      <w:r>
        <w:fldChar w:fldCharType="separate"/>
      </w:r>
      <w:r>
        <w:rPr>
          <w:rFonts w:hint="eastAsia" w:cs="仿宋_GB2312"/>
          <w:bCs/>
          <w:szCs w:val="32"/>
          <w:lang w:val="en-US" w:eastAsia="zh-CN"/>
        </w:rPr>
        <w:t>九、</w:t>
      </w:r>
      <w:r>
        <w:rPr>
          <w:rFonts w:hint="eastAsia" w:cs="仿宋_GB2312"/>
          <w:bCs/>
          <w:szCs w:val="32"/>
        </w:rPr>
        <w:t>征求意见情况</w:t>
      </w:r>
      <w:r>
        <w:tab/>
      </w:r>
      <w:r>
        <w:fldChar w:fldCharType="begin"/>
      </w:r>
      <w:r>
        <w:instrText xml:space="preserve"> PAGEREF _Toc22290 \h </w:instrText>
      </w:r>
      <w:r>
        <w:fldChar w:fldCharType="separate"/>
      </w:r>
      <w:r>
        <w:t>17</w:t>
      </w:r>
      <w:r>
        <w:fldChar w:fldCharType="end"/>
      </w:r>
      <w:r>
        <w:fldChar w:fldCharType="end"/>
      </w:r>
    </w:p>
    <w:p>
      <w:pPr>
        <w:pStyle w:val="12"/>
        <w:tabs>
          <w:tab w:val="right" w:leader="dot" w:pos="8306"/>
        </w:tabs>
      </w:pPr>
      <w:r>
        <w:fldChar w:fldCharType="begin"/>
      </w:r>
      <w:r>
        <w:instrText xml:space="preserve"> HYPERLINK \l _Toc22266 </w:instrText>
      </w:r>
      <w:r>
        <w:fldChar w:fldCharType="separate"/>
      </w:r>
      <w:r>
        <w:rPr>
          <w:rFonts w:hint="eastAsia" w:ascii="Times New Roman" w:hAnsi="Times New Roman" w:cs="仿宋_GB2312"/>
          <w:bCs/>
          <w:szCs w:val="30"/>
        </w:rPr>
        <w:t>（一）征求人大代表、政协委员、社会公众和有关专家学者意见</w:t>
      </w:r>
      <w:r>
        <w:tab/>
      </w:r>
      <w:r>
        <w:fldChar w:fldCharType="begin"/>
      </w:r>
      <w:r>
        <w:instrText xml:space="preserve"> PAGEREF _Toc22266 \h </w:instrText>
      </w:r>
      <w:r>
        <w:fldChar w:fldCharType="separate"/>
      </w:r>
      <w:r>
        <w:t>17</w:t>
      </w:r>
      <w:r>
        <w:fldChar w:fldCharType="end"/>
      </w:r>
      <w:r>
        <w:fldChar w:fldCharType="end"/>
      </w:r>
    </w:p>
    <w:p>
      <w:pPr>
        <w:pStyle w:val="12"/>
        <w:tabs>
          <w:tab w:val="right" w:leader="dot" w:pos="8306"/>
        </w:tabs>
      </w:pPr>
      <w:r>
        <w:fldChar w:fldCharType="begin"/>
      </w:r>
      <w:r>
        <w:instrText xml:space="preserve"> HYPERLINK \l _Toc17705 </w:instrText>
      </w:r>
      <w:r>
        <w:fldChar w:fldCharType="separate"/>
      </w:r>
      <w:r>
        <w:rPr>
          <w:rFonts w:hint="eastAsia" w:cs="仿宋_GB2312"/>
          <w:bCs/>
          <w:szCs w:val="30"/>
          <w:lang w:eastAsia="zh-CN"/>
        </w:rPr>
        <w:t>（</w:t>
      </w:r>
      <w:r>
        <w:rPr>
          <w:rFonts w:hint="eastAsia" w:cs="仿宋_GB2312"/>
          <w:bCs/>
          <w:szCs w:val="30"/>
          <w:lang w:val="en-US" w:eastAsia="zh-CN"/>
        </w:rPr>
        <w:t>二</w:t>
      </w:r>
      <w:r>
        <w:rPr>
          <w:rFonts w:hint="eastAsia" w:cs="仿宋_GB2312"/>
          <w:bCs/>
          <w:szCs w:val="30"/>
          <w:lang w:eastAsia="zh-CN"/>
        </w:rPr>
        <w:t>）</w:t>
      </w:r>
      <w:r>
        <w:rPr>
          <w:rFonts w:hint="eastAsia" w:ascii="Times New Roman" w:hAnsi="Times New Roman" w:cs="仿宋_GB2312"/>
          <w:bCs/>
          <w:szCs w:val="30"/>
        </w:rPr>
        <w:t>征求</w:t>
      </w:r>
      <w:r>
        <w:rPr>
          <w:rFonts w:hint="eastAsia" w:cs="仿宋_GB2312"/>
          <w:bCs/>
          <w:szCs w:val="30"/>
          <w:lang w:val="en-US" w:eastAsia="zh-CN"/>
        </w:rPr>
        <w:t>村</w:t>
      </w:r>
      <w:r>
        <w:rPr>
          <w:rFonts w:hint="eastAsia" w:ascii="Times New Roman" w:hAnsi="Times New Roman" w:cs="仿宋_GB2312"/>
          <w:bCs/>
          <w:szCs w:val="30"/>
        </w:rPr>
        <w:t>集体经济组织和</w:t>
      </w:r>
      <w:r>
        <w:rPr>
          <w:rFonts w:hint="eastAsia" w:cs="仿宋_GB2312"/>
          <w:bCs/>
          <w:szCs w:val="30"/>
          <w:lang w:val="en-US" w:eastAsia="zh-CN"/>
        </w:rPr>
        <w:t>村</w:t>
      </w:r>
      <w:r>
        <w:rPr>
          <w:rFonts w:hint="eastAsia" w:ascii="Times New Roman" w:hAnsi="Times New Roman" w:cs="仿宋_GB2312"/>
          <w:bCs/>
          <w:szCs w:val="30"/>
        </w:rPr>
        <w:t>民意见</w:t>
      </w:r>
      <w:r>
        <w:tab/>
      </w:r>
      <w:r>
        <w:fldChar w:fldCharType="begin"/>
      </w:r>
      <w:r>
        <w:instrText xml:space="preserve"> PAGEREF _Toc17705 \h </w:instrText>
      </w:r>
      <w:r>
        <w:fldChar w:fldCharType="separate"/>
      </w:r>
      <w:r>
        <w:t>17</w:t>
      </w:r>
      <w:r>
        <w:fldChar w:fldCharType="end"/>
      </w:r>
      <w:r>
        <w:fldChar w:fldCharType="end"/>
      </w:r>
    </w:p>
    <w:p>
      <w:pPr>
        <w:pStyle w:val="12"/>
        <w:tabs>
          <w:tab w:val="right" w:leader="dot" w:pos="8306"/>
        </w:tabs>
      </w:pPr>
      <w:r>
        <w:fldChar w:fldCharType="begin"/>
      </w:r>
      <w:r>
        <w:instrText xml:space="preserve"> HYPERLINK \l _Toc7319 </w:instrText>
      </w:r>
      <w:r>
        <w:fldChar w:fldCharType="separate"/>
      </w:r>
      <w:r>
        <w:rPr>
          <w:rFonts w:hint="eastAsia" w:cs="仿宋_GB2312"/>
          <w:bCs/>
          <w:szCs w:val="30"/>
          <w:lang w:val="en-US" w:eastAsia="zh-CN"/>
        </w:rPr>
        <w:t>（三）方案公示情况</w:t>
      </w:r>
      <w:r>
        <w:tab/>
      </w:r>
      <w:r>
        <w:fldChar w:fldCharType="begin"/>
      </w:r>
      <w:r>
        <w:instrText xml:space="preserve"> PAGEREF _Toc7319 \h </w:instrText>
      </w:r>
      <w:r>
        <w:fldChar w:fldCharType="separate"/>
      </w:r>
      <w:r>
        <w:t>18</w:t>
      </w:r>
      <w:r>
        <w:fldChar w:fldCharType="end"/>
      </w:r>
      <w:r>
        <w:fldChar w:fldCharType="end"/>
      </w:r>
    </w:p>
    <w:p>
      <w:pPr>
        <w:pStyle w:val="11"/>
        <w:tabs>
          <w:tab w:val="right" w:leader="dot" w:pos="8306"/>
          <w:tab w:val="clear" w:pos="8296"/>
        </w:tabs>
      </w:pPr>
      <w:r>
        <w:fldChar w:fldCharType="begin"/>
      </w:r>
      <w:r>
        <w:instrText xml:space="preserve"> HYPERLINK \l _Toc11598 </w:instrText>
      </w:r>
      <w:r>
        <w:fldChar w:fldCharType="separate"/>
      </w:r>
      <w:r>
        <w:rPr>
          <w:rFonts w:hint="eastAsia" w:cs="仿宋_GB2312"/>
          <w:bCs/>
          <w:szCs w:val="32"/>
          <w:lang w:val="en-US" w:eastAsia="zh-CN"/>
        </w:rPr>
        <w:t>十、</w:t>
      </w:r>
      <w:r>
        <w:rPr>
          <w:rFonts w:hint="eastAsia" w:cs="仿宋_GB2312"/>
          <w:bCs/>
          <w:szCs w:val="32"/>
        </w:rPr>
        <w:t>结论</w:t>
      </w:r>
      <w:r>
        <w:tab/>
      </w:r>
      <w:r>
        <w:fldChar w:fldCharType="begin"/>
      </w:r>
      <w:r>
        <w:instrText xml:space="preserve"> PAGEREF _Toc11598 \h </w:instrText>
      </w:r>
      <w:r>
        <w:fldChar w:fldCharType="separate"/>
      </w:r>
      <w:r>
        <w:t>18</w:t>
      </w:r>
      <w:r>
        <w:fldChar w:fldCharType="end"/>
      </w:r>
      <w:r>
        <w:fldChar w:fldCharType="end"/>
      </w:r>
    </w:p>
    <w:p>
      <w:pPr>
        <w:pStyle w:val="11"/>
        <w:tabs>
          <w:tab w:val="right" w:leader="dot" w:pos="8306"/>
          <w:tab w:val="clear" w:pos="8296"/>
        </w:tabs>
      </w:pPr>
      <w:r>
        <w:fldChar w:fldCharType="begin"/>
      </w:r>
      <w:r>
        <w:instrText xml:space="preserve"> HYPERLINK \l _Toc32599 </w:instrText>
      </w:r>
      <w:r>
        <w:fldChar w:fldCharType="separate"/>
      </w:r>
      <w:r>
        <w:rPr>
          <w:rFonts w:hint="eastAsia" w:ascii="Times New Roman" w:hAnsi="Times New Roman" w:cs="仿宋_GB2312"/>
          <w:bCs/>
          <w:szCs w:val="32"/>
        </w:rPr>
        <w:t>十一、附图及附表</w:t>
      </w:r>
      <w:r>
        <w:tab/>
      </w:r>
      <w:r>
        <w:fldChar w:fldCharType="begin"/>
      </w:r>
      <w:r>
        <w:instrText xml:space="preserve"> PAGEREF _Toc32599 \h </w:instrText>
      </w:r>
      <w:r>
        <w:fldChar w:fldCharType="separate"/>
      </w:r>
      <w:r>
        <w:t>18</w:t>
      </w:r>
      <w:r>
        <w:fldChar w:fldCharType="end"/>
      </w:r>
      <w:r>
        <w:fldChar w:fldCharType="end"/>
      </w:r>
    </w:p>
    <w:p>
      <w:pPr>
        <w:keepNext w:val="0"/>
        <w:keepLines w:val="0"/>
        <w:pageBreakBefore w:val="0"/>
        <w:widowControl/>
        <w:kinsoku/>
        <w:wordWrap/>
        <w:overflowPunct/>
        <w:topLinePunct w:val="0"/>
        <w:bidi w:val="0"/>
        <w:snapToGrid/>
        <w:ind w:firstLine="560"/>
        <w:textAlignment w:val="auto"/>
        <w:sectPr>
          <w:footerReference r:id="rId8" w:type="first"/>
          <w:footerReference r:id="rId7" w:type="default"/>
          <w:pgSz w:w="11906" w:h="16838"/>
          <w:pgMar w:top="1440" w:right="1800" w:bottom="1440" w:left="1800" w:header="851" w:footer="992" w:gutter="0"/>
          <w:pgNumType w:fmt="upperRoman" w:start="1"/>
          <w:cols w:space="425" w:num="1"/>
          <w:docGrid w:type="lines" w:linePitch="312" w:charSpace="0"/>
        </w:sectPr>
      </w:pPr>
      <w:r>
        <w:fldChar w:fldCharType="end"/>
      </w:r>
    </w:p>
    <w:p>
      <w:pPr>
        <w:keepNext w:val="0"/>
        <w:keepLines w:val="0"/>
        <w:pageBreakBefore w:val="0"/>
        <w:widowControl/>
        <w:kinsoku/>
        <w:wordWrap/>
        <w:overflowPunct/>
        <w:topLinePunct w:val="0"/>
        <w:bidi w:val="0"/>
        <w:snapToGrid/>
        <w:spacing w:beforeLines="50" w:afterLines="50"/>
        <w:ind w:firstLine="0" w:firstLineChars="0"/>
        <w:textAlignment w:val="auto"/>
        <w:outlineLvl w:val="0"/>
        <w:rPr>
          <w:rFonts w:cs="仿宋_GB2312"/>
          <w:b/>
          <w:bCs/>
          <w:sz w:val="32"/>
          <w:szCs w:val="32"/>
        </w:rPr>
      </w:pPr>
      <w:bookmarkStart w:id="0" w:name="_Toc62298280"/>
      <w:bookmarkStart w:id="1" w:name="_Toc6801"/>
      <w:r>
        <w:rPr>
          <w:rFonts w:hint="eastAsia" w:cs="仿宋_GB2312"/>
          <w:b/>
          <w:bCs/>
          <w:sz w:val="32"/>
          <w:szCs w:val="32"/>
        </w:rPr>
        <w:t>一、概述</w:t>
      </w:r>
      <w:bookmarkEnd w:id="0"/>
      <w:bookmarkEnd w:id="1"/>
    </w:p>
    <w:p>
      <w:pPr>
        <w:keepNext w:val="0"/>
        <w:keepLines w:val="0"/>
        <w:pageBreakBefore w:val="0"/>
        <w:widowControl/>
        <w:kinsoku/>
        <w:wordWrap/>
        <w:overflowPunct/>
        <w:topLinePunct w:val="0"/>
        <w:bidi w:val="0"/>
        <w:snapToGrid/>
        <w:spacing w:beforeLines="50" w:afterLines="50"/>
        <w:ind w:firstLine="0" w:firstLineChars="0"/>
        <w:textAlignment w:val="auto"/>
        <w:outlineLvl w:val="1"/>
        <w:rPr>
          <w:rFonts w:hint="default" w:ascii="Times New Roman" w:hAnsi="Times New Roman" w:eastAsia="仿宋_GB2312" w:cstheme="minorBidi"/>
          <w:b w:val="0"/>
          <w:bCs w:val="0"/>
          <w:kern w:val="0"/>
          <w:sz w:val="28"/>
          <w:szCs w:val="28"/>
          <w:lang w:val="en-US" w:eastAsia="zh-CN" w:bidi="ar-SA"/>
        </w:rPr>
      </w:pPr>
      <w:bookmarkStart w:id="2" w:name="_Toc62298281"/>
      <w:bookmarkStart w:id="3" w:name="_Toc30901"/>
      <w:r>
        <w:rPr>
          <w:rFonts w:hint="eastAsia" w:cs="仿宋_GB2312"/>
          <w:b/>
          <w:bCs/>
          <w:sz w:val="30"/>
          <w:szCs w:val="30"/>
        </w:rPr>
        <w:t>（一）编制背景</w:t>
      </w:r>
      <w:bookmarkEnd w:id="2"/>
      <w:bookmarkEnd w:id="3"/>
    </w:p>
    <w:p>
      <w:pPr>
        <w:keepNext w:val="0"/>
        <w:keepLines w:val="0"/>
        <w:widowControl/>
        <w:suppressLineNumbers w:val="0"/>
        <w:jc w:val="left"/>
        <w:rPr>
          <w:rFonts w:hint="eastAsia"/>
          <w:kern w:val="0"/>
          <w:szCs w:val="28"/>
          <w:lang w:val="en-US" w:eastAsia="zh-CN"/>
        </w:rPr>
      </w:pPr>
      <w:bookmarkStart w:id="4" w:name="_Toc62298282"/>
      <w:r>
        <w:rPr>
          <w:rFonts w:hint="eastAsia"/>
          <w:kern w:val="0"/>
          <w:szCs w:val="28"/>
          <w:lang w:val="en-US" w:eastAsia="zh-CN"/>
        </w:rPr>
        <w:t>根据《自然资源部关于印发&lt;土地征收成片开发标准（试行）&gt;的通知》（自然资规〔2020〕5号）要求，县级以上地方人民政府应当按照《中华人民共和国土地管理法》第45条规定，依据当地国民经济和社会发展规划、国土空间规划，组织编制土地征收成片开发方案，纳入当地国民经济和社会发展年度计划，并报省级人民政府批准。</w:t>
      </w:r>
    </w:p>
    <w:p>
      <w:pPr>
        <w:keepNext w:val="0"/>
        <w:keepLines w:val="0"/>
        <w:pageBreakBefore w:val="0"/>
        <w:widowControl/>
        <w:suppressLineNumbers w:val="0"/>
        <w:kinsoku/>
        <w:wordWrap/>
        <w:overflowPunct/>
        <w:topLinePunct w:val="0"/>
        <w:autoSpaceDE/>
        <w:autoSpaceDN/>
        <w:bidi w:val="0"/>
        <w:adjustRightInd/>
        <w:snapToGrid/>
        <w:jc w:val="left"/>
        <w:textAlignment w:val="auto"/>
      </w:pPr>
      <w:r>
        <w:rPr>
          <w:rFonts w:hint="eastAsia"/>
          <w:kern w:val="0"/>
          <w:szCs w:val="28"/>
          <w:lang w:val="en-US" w:eastAsia="zh-CN"/>
        </w:rPr>
        <w:t>新寨片区位于德化县</w:t>
      </w:r>
      <w:r>
        <w:rPr>
          <w:rFonts w:hint="eastAsia" w:ascii="Times New Roman" w:hAnsi="Times New Roman"/>
          <w:kern w:val="0"/>
          <w:szCs w:val="28"/>
          <w:lang w:val="en-US" w:eastAsia="zh-CN"/>
        </w:rPr>
        <w:t>浔中镇</w:t>
      </w:r>
      <w:r>
        <w:rPr>
          <w:rFonts w:hint="eastAsia"/>
          <w:kern w:val="0"/>
          <w:szCs w:val="28"/>
          <w:lang w:val="en-US" w:eastAsia="zh-CN"/>
        </w:rPr>
        <w:t>。德化县陶瓷生产历史悠久，是我国陶瓷文化发祥地和三大古瓷都之一，是福建省十大重点出口县（市）之一、全国最大的西洋工艺陶瓷生产和出口基地，</w:t>
      </w:r>
      <w:r>
        <w:rPr>
          <w:rFonts w:hint="eastAsia" w:ascii="Times New Roman" w:hAnsi="Times New Roman"/>
          <w:kern w:val="0"/>
          <w:szCs w:val="28"/>
          <w:lang w:val="en-US" w:eastAsia="zh-CN"/>
        </w:rPr>
        <w:t>也是“海峡西岸经济区”重点发展地区之一。</w:t>
      </w:r>
      <w:r>
        <w:rPr>
          <w:rFonts w:hint="eastAsia" w:ascii="Times New Roman" w:hAnsi="Times New Roman"/>
          <w:color w:val="auto"/>
          <w:kern w:val="0"/>
        </w:rPr>
        <w:t>《德化县国民经济和社会发展第十四个五年规划和二</w:t>
      </w:r>
      <w:r>
        <w:rPr>
          <w:rFonts w:hint="eastAsia" w:ascii="微软雅黑" w:hAnsi="微软雅黑" w:eastAsia="微软雅黑" w:cs="微软雅黑"/>
          <w:color w:val="auto"/>
          <w:kern w:val="0"/>
        </w:rPr>
        <w:t>〇</w:t>
      </w:r>
      <w:r>
        <w:rPr>
          <w:rFonts w:hint="eastAsia" w:hAnsi="仿宋_GB2312" w:cs="仿宋_GB2312"/>
          <w:color w:val="auto"/>
          <w:kern w:val="0"/>
        </w:rPr>
        <w:t>三五年远景目标纲要》</w:t>
      </w:r>
      <w:r>
        <w:rPr>
          <w:rFonts w:hint="eastAsia"/>
          <w:kern w:val="0"/>
          <w:szCs w:val="28"/>
          <w:lang w:val="en-US" w:eastAsia="zh-CN"/>
        </w:rPr>
        <w:t>明确提出，“着力打造教育强县”，“推进义务教育均衡发展”，“提升城市承载力，打造宜居宜业宜游的现代化品质城市”。因此，需要</w:t>
      </w:r>
      <w:r>
        <w:rPr>
          <w:rFonts w:hint="eastAsia" w:ascii="仿宋_GB2312" w:hAnsi="宋体" w:eastAsia="仿宋_GB2312" w:cs="仿宋_GB2312"/>
          <w:color w:val="000000"/>
          <w:kern w:val="0"/>
          <w:sz w:val="28"/>
          <w:szCs w:val="28"/>
          <w:lang w:val="en-US" w:eastAsia="zh-CN" w:bidi="ar"/>
        </w:rPr>
        <w:t>通过</w:t>
      </w:r>
      <w:r>
        <w:rPr>
          <w:rFonts w:hint="eastAsia" w:ascii="仿宋_GB2312" w:hAnsi="宋体" w:cs="仿宋_GB2312"/>
          <w:color w:val="000000"/>
          <w:kern w:val="0"/>
          <w:sz w:val="28"/>
          <w:szCs w:val="28"/>
          <w:lang w:val="en-US" w:eastAsia="zh-CN" w:bidi="ar"/>
        </w:rPr>
        <w:t>加快</w:t>
      </w:r>
      <w:r>
        <w:rPr>
          <w:rFonts w:hint="eastAsia" w:ascii="仿宋_GB2312" w:hAnsi="宋体" w:eastAsia="仿宋_GB2312" w:cs="仿宋_GB2312"/>
          <w:color w:val="000000"/>
          <w:kern w:val="0"/>
          <w:sz w:val="28"/>
          <w:szCs w:val="28"/>
          <w:lang w:val="en-US" w:eastAsia="zh-CN" w:bidi="ar"/>
        </w:rPr>
        <w:t>教育、医疗、商业、市政等配套设施</w:t>
      </w:r>
      <w:r>
        <w:rPr>
          <w:rFonts w:hint="eastAsia" w:ascii="仿宋_GB2312" w:hAnsi="宋体" w:cs="仿宋_GB2312"/>
          <w:color w:val="000000"/>
          <w:kern w:val="0"/>
          <w:sz w:val="28"/>
          <w:szCs w:val="28"/>
          <w:lang w:val="en-US" w:eastAsia="zh-CN" w:bidi="ar"/>
        </w:rPr>
        <w:t>建设</w:t>
      </w:r>
      <w:r>
        <w:rPr>
          <w:rFonts w:hint="eastAsia" w:ascii="仿宋_GB2312" w:hAnsi="宋体" w:eastAsia="仿宋_GB2312" w:cs="仿宋_GB2312"/>
          <w:color w:val="000000"/>
          <w:kern w:val="0"/>
          <w:sz w:val="28"/>
          <w:szCs w:val="28"/>
          <w:lang w:val="en-US" w:eastAsia="zh-CN" w:bidi="ar"/>
        </w:rPr>
        <w:t>，</w:t>
      </w:r>
      <w:r>
        <w:rPr>
          <w:rFonts w:hint="eastAsia" w:ascii="仿宋_GB2312" w:hAnsi="宋体" w:cs="仿宋_GB2312"/>
          <w:color w:val="000000"/>
          <w:kern w:val="0"/>
          <w:sz w:val="28"/>
          <w:szCs w:val="28"/>
          <w:lang w:val="en-US" w:eastAsia="zh-CN" w:bidi="ar"/>
        </w:rPr>
        <w:t>吸引</w:t>
      </w:r>
      <w:r>
        <w:rPr>
          <w:rFonts w:ascii="仿宋_GB2312" w:hAnsi="宋体" w:eastAsia="仿宋_GB2312" w:cs="仿宋_GB2312"/>
          <w:color w:val="000000"/>
          <w:kern w:val="0"/>
          <w:sz w:val="28"/>
          <w:szCs w:val="28"/>
          <w:lang w:val="en-US" w:eastAsia="zh-CN" w:bidi="ar"/>
        </w:rPr>
        <w:t>周边县市人员来</w:t>
      </w:r>
      <w:r>
        <w:rPr>
          <w:rFonts w:hint="eastAsia" w:ascii="仿宋_GB2312" w:hAnsi="宋体" w:cs="仿宋_GB2312"/>
          <w:color w:val="000000"/>
          <w:kern w:val="0"/>
          <w:sz w:val="28"/>
          <w:szCs w:val="28"/>
          <w:lang w:val="en-US" w:eastAsia="zh-CN" w:bidi="ar"/>
        </w:rPr>
        <w:t>德化</w:t>
      </w:r>
      <w:r>
        <w:rPr>
          <w:rFonts w:hint="eastAsia" w:ascii="仿宋_GB2312" w:hAnsi="宋体" w:eastAsia="仿宋_GB2312" w:cs="仿宋_GB2312"/>
          <w:color w:val="000000"/>
          <w:kern w:val="0"/>
          <w:sz w:val="28"/>
          <w:szCs w:val="28"/>
          <w:lang w:val="en-US" w:eastAsia="zh-CN" w:bidi="ar"/>
        </w:rPr>
        <w:t>县就业、就医、就学、康养、定居，壮大城区人口规模</w:t>
      </w:r>
      <w:r>
        <w:rPr>
          <w:rFonts w:hint="eastAsia" w:ascii="仿宋_GB2312" w:hAnsi="宋体" w:cs="仿宋_GB2312"/>
          <w:color w:val="000000"/>
          <w:kern w:val="0"/>
          <w:sz w:val="28"/>
          <w:szCs w:val="28"/>
          <w:lang w:val="en-US" w:eastAsia="zh-CN" w:bidi="ar"/>
        </w:rPr>
        <w:t>，</w:t>
      </w:r>
      <w:r>
        <w:rPr>
          <w:rFonts w:hint="eastAsia" w:ascii="仿宋_GB2312" w:hAnsi="宋体" w:eastAsia="仿宋_GB2312" w:cs="仿宋_GB2312"/>
          <w:color w:val="000000"/>
          <w:kern w:val="0"/>
          <w:sz w:val="28"/>
          <w:szCs w:val="28"/>
          <w:lang w:val="en-US" w:eastAsia="zh-CN" w:bidi="ar"/>
        </w:rPr>
        <w:t>推动城区提质增载。</w:t>
      </w:r>
    </w:p>
    <w:p>
      <w:pPr>
        <w:keepNext w:val="0"/>
        <w:keepLines w:val="0"/>
        <w:widowControl/>
        <w:suppressLineNumbers w:val="0"/>
        <w:jc w:val="left"/>
        <w:rPr>
          <w:rFonts w:hint="eastAsia" w:ascii="Times New Roman" w:hAnsi="Times New Roman"/>
          <w:kern w:val="0"/>
          <w:szCs w:val="28"/>
          <w:lang w:val="en-US" w:eastAsia="zh-CN"/>
        </w:rPr>
      </w:pPr>
      <w:r>
        <w:rPr>
          <w:rFonts w:hint="eastAsia"/>
          <w:kern w:val="0"/>
          <w:szCs w:val="28"/>
          <w:lang w:val="en-US" w:eastAsia="zh-CN"/>
        </w:rPr>
        <w:t>本次成片开发</w:t>
      </w:r>
      <w:r>
        <w:rPr>
          <w:rFonts w:hint="eastAsia" w:ascii="Times New Roman" w:hAnsi="Times New Roman"/>
          <w:kern w:val="0"/>
          <w:szCs w:val="28"/>
          <w:lang w:val="en-US" w:eastAsia="zh-CN"/>
        </w:rPr>
        <w:t>属于《德化县城南</w:t>
      </w:r>
      <w:r>
        <w:rPr>
          <w:rFonts w:hint="eastAsia"/>
          <w:kern w:val="0"/>
          <w:szCs w:val="28"/>
          <w:lang w:val="en-US" w:eastAsia="zh-CN"/>
        </w:rPr>
        <w:t xml:space="preserve"> </w:t>
      </w:r>
      <w:r>
        <w:rPr>
          <w:rFonts w:hint="eastAsia" w:ascii="Times New Roman" w:hAnsi="Times New Roman"/>
          <w:kern w:val="0"/>
          <w:szCs w:val="28"/>
          <w:lang w:val="en-US" w:eastAsia="zh-CN"/>
        </w:rPr>
        <w:t>•</w:t>
      </w:r>
      <w:r>
        <w:rPr>
          <w:rFonts w:hint="eastAsia"/>
          <w:kern w:val="0"/>
          <w:szCs w:val="28"/>
          <w:lang w:val="en-US" w:eastAsia="zh-CN"/>
        </w:rPr>
        <w:t xml:space="preserve"> </w:t>
      </w:r>
      <w:r>
        <w:rPr>
          <w:rFonts w:hint="eastAsia" w:ascii="Times New Roman" w:hAnsi="Times New Roman"/>
          <w:kern w:val="0"/>
          <w:szCs w:val="28"/>
          <w:lang w:val="en-US" w:eastAsia="zh-CN"/>
        </w:rPr>
        <w:t>城北片区控制性详细规划》中01-D/01-E单元及《德化县城西片区控制性详细规划》中06-G单元的局部地块，规划为陶瓷科教及综合居住功能。</w:t>
      </w:r>
      <w:r>
        <w:rPr>
          <w:rFonts w:hint="eastAsia"/>
          <w:kern w:val="0"/>
          <w:szCs w:val="28"/>
          <w:lang w:val="en-US" w:eastAsia="zh-CN"/>
        </w:rPr>
        <w:t>城南城北片区位于德化县城中心区域，是德化县政治、经济、文化的中心</w:t>
      </w:r>
      <w:r>
        <w:rPr>
          <w:rFonts w:hint="eastAsia" w:ascii="Times New Roman" w:hAnsi="Times New Roman"/>
          <w:kern w:val="0"/>
          <w:szCs w:val="28"/>
          <w:lang w:val="en-US" w:eastAsia="zh-CN"/>
        </w:rPr>
        <w:t>，区位</w:t>
      </w:r>
      <w:r>
        <w:rPr>
          <w:rFonts w:hint="eastAsia"/>
          <w:kern w:val="0"/>
          <w:szCs w:val="28"/>
          <w:lang w:val="en-US" w:eastAsia="zh-CN"/>
        </w:rPr>
        <w:t>优势明显。城西片区位于德化县城老城区西部，片区北侧、西侧和南侧均有环城路穿过，交通便捷。城西片区西南部为厦沙高速公路德化连接线入口地段，西北部距兴泉铁路德化高铁站约2公里，是德化县城的入城门户地段。</w:t>
      </w:r>
      <w:r>
        <w:rPr>
          <w:rFonts w:hint="eastAsia" w:ascii="Times New Roman" w:hAnsi="Times New Roman"/>
          <w:kern w:val="0"/>
          <w:szCs w:val="28"/>
          <w:lang w:val="en-US" w:eastAsia="zh-CN"/>
        </w:rPr>
        <w:t xml:space="preserve"> </w:t>
      </w:r>
    </w:p>
    <w:p>
      <w:pPr>
        <w:keepNext w:val="0"/>
        <w:keepLines w:val="0"/>
        <w:pageBreakBefore w:val="0"/>
        <w:widowControl/>
        <w:suppressLineNumbers w:val="0"/>
        <w:kinsoku/>
        <w:wordWrap/>
        <w:overflowPunct/>
        <w:topLinePunct w:val="0"/>
        <w:bidi w:val="0"/>
        <w:snapToGrid/>
        <w:jc w:val="left"/>
        <w:textAlignment w:val="auto"/>
        <w:rPr>
          <w:rFonts w:hint="eastAsia" w:ascii="Times New Roman" w:hAnsi="Times New Roman"/>
          <w:kern w:val="0"/>
          <w:szCs w:val="28"/>
          <w:lang w:val="en-US" w:eastAsia="zh-CN"/>
        </w:rPr>
      </w:pPr>
      <w:r>
        <w:rPr>
          <w:rFonts w:hint="eastAsia" w:ascii="Times New Roman" w:hAnsi="Times New Roman"/>
          <w:kern w:val="0"/>
          <w:szCs w:val="28"/>
          <w:lang w:val="en-US" w:eastAsia="zh-CN"/>
        </w:rPr>
        <w:t>本次</w:t>
      </w:r>
      <w:r>
        <w:rPr>
          <w:rFonts w:hint="eastAsia" w:ascii="Times New Roman" w:hAnsi="Times New Roman"/>
          <w:kern w:val="0"/>
          <w:szCs w:val="28"/>
        </w:rPr>
        <w:t>成片</w:t>
      </w:r>
      <w:r>
        <w:rPr>
          <w:rFonts w:hint="eastAsia" w:ascii="Times New Roman" w:hAnsi="Times New Roman"/>
          <w:kern w:val="0"/>
          <w:szCs w:val="28"/>
          <w:lang w:val="en-US" w:eastAsia="zh-CN"/>
        </w:rPr>
        <w:t>开发总面积</w:t>
      </w:r>
      <w:r>
        <w:rPr>
          <w:rFonts w:hint="eastAsia"/>
          <w:kern w:val="0"/>
          <w:szCs w:val="28"/>
          <w:lang w:val="en-US" w:eastAsia="zh-CN"/>
        </w:rPr>
        <w:t>14.9326</w:t>
      </w:r>
      <w:r>
        <w:rPr>
          <w:rFonts w:hint="eastAsia" w:ascii="Times New Roman" w:hAnsi="Times New Roman"/>
          <w:kern w:val="0"/>
          <w:szCs w:val="28"/>
          <w:lang w:val="en-US" w:eastAsia="zh-CN"/>
        </w:rPr>
        <w:t>公顷，主要为居住及教育用地，其中公</w:t>
      </w:r>
      <w:r>
        <w:rPr>
          <w:rFonts w:hint="eastAsia" w:ascii="Times New Roman" w:hAnsi="Times New Roman"/>
          <w:kern w:val="0"/>
          <w:szCs w:val="28"/>
          <w:lang w:eastAsia="zh-CN"/>
        </w:rPr>
        <w:t>益性用地面积</w:t>
      </w:r>
      <w:r>
        <w:rPr>
          <w:rFonts w:hint="eastAsia" w:ascii="Times New Roman" w:hAnsi="Times New Roman"/>
          <w:color w:val="auto"/>
          <w:kern w:val="0"/>
          <w:szCs w:val="28"/>
          <w:lang w:eastAsia="zh-CN"/>
        </w:rPr>
        <w:t>为</w:t>
      </w:r>
      <w:r>
        <w:rPr>
          <w:rFonts w:hint="eastAsia"/>
          <w:color w:val="auto"/>
          <w:kern w:val="0"/>
          <w:szCs w:val="28"/>
          <w:lang w:val="en-US" w:eastAsia="zh-CN"/>
        </w:rPr>
        <w:t>6.0642顷，</w:t>
      </w:r>
      <w:r>
        <w:rPr>
          <w:rFonts w:hint="eastAsia" w:ascii="Times New Roman" w:hAnsi="Times New Roman"/>
          <w:color w:val="auto"/>
          <w:kern w:val="0"/>
          <w:szCs w:val="28"/>
        </w:rPr>
        <w:t>占比</w:t>
      </w:r>
      <w:r>
        <w:rPr>
          <w:rFonts w:hint="eastAsia"/>
          <w:color w:val="auto"/>
          <w:kern w:val="0"/>
          <w:szCs w:val="28"/>
          <w:lang w:val="en-US" w:eastAsia="zh-CN"/>
        </w:rPr>
        <w:t>40.61</w:t>
      </w:r>
      <w:r>
        <w:rPr>
          <w:rFonts w:hint="eastAsia" w:ascii="Times New Roman" w:hAnsi="Times New Roman"/>
          <w:color w:val="auto"/>
          <w:kern w:val="0"/>
          <w:szCs w:val="28"/>
        </w:rPr>
        <w:t>%。</w:t>
      </w:r>
      <w:r>
        <w:rPr>
          <w:rFonts w:hint="eastAsia" w:ascii="Times New Roman" w:hAnsi="Times New Roman"/>
          <w:kern w:val="0"/>
          <w:szCs w:val="28"/>
          <w:lang w:val="en-US" w:eastAsia="zh-CN"/>
        </w:rPr>
        <w:t>成片开发的实施符合德化县“十四五”规划中心城区提质增载的战略定位，可促进经济增长更有质效、民生福祉更加厚实，进而有力推动德化县“闽中区域发展中心”建设。本方案位置、面积、地类、范围准确，所涉村镇土地产权清晰，界址清楚，没有争议。</w:t>
      </w:r>
    </w:p>
    <w:p>
      <w:pPr>
        <w:keepNext w:val="0"/>
        <w:keepLines w:val="0"/>
        <w:pageBreakBefore w:val="0"/>
        <w:widowControl/>
        <w:suppressLineNumbers w:val="0"/>
        <w:kinsoku/>
        <w:wordWrap/>
        <w:overflowPunct/>
        <w:topLinePunct w:val="0"/>
        <w:bidi w:val="0"/>
        <w:snapToGrid/>
        <w:jc w:val="left"/>
        <w:textAlignment w:val="auto"/>
        <w:rPr>
          <w:rFonts w:hint="eastAsia" w:ascii="Times New Roman" w:hAnsi="Times New Roman"/>
          <w:kern w:val="0"/>
          <w:szCs w:val="28"/>
          <w:lang w:val="en-US" w:eastAsia="zh-CN"/>
        </w:rPr>
      </w:pPr>
      <w:r>
        <w:rPr>
          <w:rFonts w:hint="eastAsia" w:ascii="Times New Roman" w:hAnsi="Times New Roman"/>
          <w:kern w:val="0"/>
          <w:szCs w:val="28"/>
          <w:lang w:val="en-US" w:eastAsia="zh-CN"/>
        </w:rPr>
        <w:t>为保障项目落地，促进土地资源节约、高效利用，促进产业发展，提高当地居民就业率，按照《福建省土地征收成片开发方案报批实施细则（试行）》（以下简称《实施细则》）的具体要求，我县组织编制本次方案。</w:t>
      </w:r>
    </w:p>
    <w:p>
      <w:pPr>
        <w:keepNext w:val="0"/>
        <w:keepLines w:val="0"/>
        <w:pageBreakBefore w:val="0"/>
        <w:widowControl/>
        <w:kinsoku/>
        <w:wordWrap/>
        <w:overflowPunct/>
        <w:topLinePunct w:val="0"/>
        <w:autoSpaceDE/>
        <w:autoSpaceDN/>
        <w:bidi w:val="0"/>
        <w:adjustRightInd/>
        <w:snapToGrid/>
        <w:spacing w:beforeLines="50" w:afterLines="50"/>
        <w:ind w:firstLine="0" w:firstLineChars="0"/>
        <w:textAlignment w:val="auto"/>
        <w:outlineLvl w:val="1"/>
        <w:rPr>
          <w:rFonts w:cs="仿宋_GB2312"/>
          <w:b/>
          <w:bCs/>
          <w:sz w:val="30"/>
          <w:szCs w:val="30"/>
        </w:rPr>
      </w:pPr>
      <w:bookmarkStart w:id="5" w:name="_Toc12176"/>
      <w:r>
        <w:rPr>
          <w:rFonts w:hint="eastAsia" w:cs="仿宋_GB2312"/>
          <w:b/>
          <w:bCs/>
          <w:sz w:val="30"/>
          <w:szCs w:val="30"/>
        </w:rPr>
        <w:t>（二）编制原则</w:t>
      </w:r>
      <w:bookmarkEnd w:id="4"/>
      <w:bookmarkEnd w:id="5"/>
    </w:p>
    <w:p>
      <w:pPr>
        <w:keepNext w:val="0"/>
        <w:keepLines w:val="0"/>
        <w:pageBreakBefore w:val="0"/>
        <w:widowControl/>
        <w:kinsoku/>
        <w:wordWrap/>
        <w:overflowPunct/>
        <w:topLinePunct w:val="0"/>
        <w:autoSpaceDE/>
        <w:autoSpaceDN/>
        <w:bidi w:val="0"/>
        <w:adjustRightInd/>
        <w:snapToGrid/>
        <w:spacing w:line="360" w:lineRule="auto"/>
        <w:ind w:firstLine="562" w:firstLineChars="200"/>
        <w:textAlignment w:val="auto"/>
        <w:outlineLvl w:val="2"/>
        <w:rPr>
          <w:rFonts w:hint="default" w:ascii="Times New Roman" w:hAnsi="Times New Roman" w:eastAsia="仿宋" w:cs="Times New Roman"/>
          <w:b/>
          <w:bCs/>
          <w:color w:val="auto"/>
          <w:sz w:val="28"/>
          <w:szCs w:val="28"/>
          <w:lang w:val="en-US" w:eastAsia="zh-CN"/>
        </w:rPr>
      </w:pPr>
      <w:bookmarkStart w:id="6" w:name="_Toc62298283"/>
      <w:r>
        <w:rPr>
          <w:rFonts w:hint="eastAsia" w:ascii="Times New Roman" w:hAnsi="Times New Roman" w:eastAsia="仿宋" w:cs="Times New Roman"/>
          <w:b/>
          <w:bCs/>
          <w:color w:val="auto"/>
          <w:sz w:val="28"/>
          <w:szCs w:val="28"/>
          <w:lang w:val="en-US" w:eastAsia="zh-CN"/>
        </w:rPr>
        <w:t>1、</w:t>
      </w:r>
      <w:r>
        <w:rPr>
          <w:rFonts w:hint="default" w:ascii="Times New Roman" w:hAnsi="Times New Roman" w:eastAsia="仿宋_GB2312" w:cstheme="minorBidi"/>
          <w:b/>
          <w:bCs/>
          <w:color w:val="auto"/>
          <w:kern w:val="0"/>
          <w:sz w:val="28"/>
          <w:szCs w:val="28"/>
          <w:lang w:val="en-US" w:eastAsia="zh-CN" w:bidi="ar-SA"/>
        </w:rPr>
        <w:t>遵守法律法规、维护公共利益原则</w:t>
      </w:r>
    </w:p>
    <w:p>
      <w:pPr>
        <w:widowControl/>
        <w:ind w:firstLine="560"/>
        <w:rPr>
          <w:rFonts w:hint="eastAsia" w:ascii="Times New Roman" w:hAnsi="Times New Roman"/>
          <w:color w:val="auto"/>
          <w:kern w:val="0"/>
          <w:szCs w:val="28"/>
          <w:lang w:val="en-US" w:eastAsia="zh-CN"/>
        </w:rPr>
      </w:pPr>
      <w:r>
        <w:rPr>
          <w:rFonts w:hint="eastAsia" w:ascii="Times New Roman" w:hAnsi="Times New Roman"/>
          <w:color w:val="auto"/>
          <w:kern w:val="0"/>
          <w:szCs w:val="28"/>
          <w:lang w:val="en-US" w:eastAsia="zh-CN"/>
        </w:rPr>
        <w:t>土地征收成片开发应遵循相关法律、法规和规程的规定，符合国民经济和社会发展规划、国土空间规划、专项规划，纳入当地国民经济和社会发展年度计划，并符合国家产业政策和供地政策。土地征收成片开发要以人民为中心，为公共利益的需要，提高成片开发范围内基础设施、公共服务设施以及其他公益性用地的比例，兼顾群众的现实和长远利益，维护群众合法权益，充分征求成片开发范围内农村集体经济组织和农民的意见。</w:t>
      </w:r>
    </w:p>
    <w:p>
      <w:pPr>
        <w:rPr>
          <w:rFonts w:hint="eastAsia" w:ascii="Times New Roman" w:hAnsi="Times New Roman" w:eastAsia="仿宋" w:cs="Times New Roman"/>
          <w:b/>
          <w:bCs/>
          <w:color w:val="auto"/>
          <w:sz w:val="28"/>
          <w:szCs w:val="28"/>
          <w:lang w:val="en-US" w:eastAsia="zh-CN"/>
        </w:rPr>
      </w:pPr>
      <w:r>
        <w:rPr>
          <w:rFonts w:hint="eastAsia" w:ascii="Times New Roman" w:hAnsi="Times New Roman" w:eastAsia="仿宋" w:cs="Times New Roman"/>
          <w:b/>
          <w:bCs/>
          <w:color w:val="auto"/>
          <w:sz w:val="28"/>
          <w:szCs w:val="28"/>
          <w:lang w:val="en-US" w:eastAsia="zh-CN"/>
        </w:rPr>
        <w:br w:type="page"/>
      </w:r>
    </w:p>
    <w:p>
      <w:pPr>
        <w:keepNext w:val="0"/>
        <w:keepLines w:val="0"/>
        <w:pageBreakBefore w:val="0"/>
        <w:widowControl/>
        <w:kinsoku/>
        <w:wordWrap/>
        <w:overflowPunct/>
        <w:topLinePunct w:val="0"/>
        <w:autoSpaceDE/>
        <w:autoSpaceDN/>
        <w:bidi w:val="0"/>
        <w:adjustRightInd/>
        <w:snapToGrid/>
        <w:spacing w:line="360" w:lineRule="auto"/>
        <w:ind w:firstLine="562" w:firstLineChars="200"/>
        <w:textAlignment w:val="auto"/>
        <w:outlineLvl w:val="2"/>
        <w:rPr>
          <w:rFonts w:hint="default" w:ascii="Times New Roman" w:hAnsi="Times New Roman" w:eastAsia="仿宋" w:cs="Times New Roman"/>
          <w:b/>
          <w:bCs/>
          <w:color w:val="auto"/>
          <w:sz w:val="28"/>
          <w:szCs w:val="28"/>
          <w:lang w:val="en-US" w:eastAsia="zh-CN"/>
        </w:rPr>
      </w:pPr>
      <w:r>
        <w:rPr>
          <w:rFonts w:hint="eastAsia" w:ascii="Times New Roman" w:hAnsi="Times New Roman" w:eastAsia="仿宋" w:cs="Times New Roman"/>
          <w:b/>
          <w:bCs/>
          <w:color w:val="auto"/>
          <w:sz w:val="28"/>
          <w:szCs w:val="28"/>
          <w:lang w:val="en-US" w:eastAsia="zh-CN"/>
        </w:rPr>
        <w:t>2、</w:t>
      </w:r>
      <w:r>
        <w:rPr>
          <w:rFonts w:hint="default" w:ascii="Times New Roman" w:hAnsi="Times New Roman" w:eastAsia="仿宋_GB2312" w:cstheme="minorBidi"/>
          <w:b/>
          <w:bCs/>
          <w:color w:val="auto"/>
          <w:kern w:val="0"/>
          <w:sz w:val="28"/>
          <w:szCs w:val="28"/>
          <w:lang w:val="en-US" w:eastAsia="zh-CN" w:bidi="ar-SA"/>
        </w:rPr>
        <w:t>科学合理编制、确保开发必要原则</w:t>
      </w:r>
    </w:p>
    <w:p>
      <w:pPr>
        <w:widowControl/>
        <w:ind w:firstLine="560"/>
        <w:rPr>
          <w:rFonts w:hint="eastAsia" w:ascii="Times New Roman" w:hAnsi="Times New Roman"/>
          <w:color w:val="auto"/>
          <w:kern w:val="0"/>
          <w:szCs w:val="28"/>
          <w:lang w:val="en-US" w:eastAsia="zh-CN"/>
        </w:rPr>
      </w:pPr>
      <w:r>
        <w:rPr>
          <w:rFonts w:hint="eastAsia" w:ascii="Times New Roman" w:hAnsi="Times New Roman"/>
          <w:color w:val="auto"/>
          <w:kern w:val="0"/>
          <w:szCs w:val="28"/>
          <w:lang w:val="en-US" w:eastAsia="zh-CN"/>
        </w:rPr>
        <w:t>土地征收成片开发应当坚持新发展理念，立足城市（乡、镇）的长远发展，根据土地经济规律、经济社会发展和市场需求，确保开发的必要性。因地制宜，有针对性地开展编制工作，着重解决实际问题。</w:t>
      </w:r>
    </w:p>
    <w:p>
      <w:pPr>
        <w:pStyle w:val="2"/>
        <w:keepNext w:val="0"/>
        <w:keepLines w:val="0"/>
        <w:pageBreakBefore w:val="0"/>
        <w:widowControl/>
        <w:kinsoku/>
        <w:wordWrap/>
        <w:overflowPunct/>
        <w:topLinePunct w:val="0"/>
        <w:autoSpaceDE/>
        <w:autoSpaceDN/>
        <w:bidi w:val="0"/>
        <w:snapToGrid/>
        <w:ind w:firstLine="560"/>
        <w:textAlignment w:val="auto"/>
        <w:outlineLvl w:val="2"/>
        <w:rPr>
          <w:rFonts w:hint="eastAsia" w:ascii="Times New Roman" w:hAnsi="Times New Roman"/>
          <w:b/>
          <w:bCs/>
          <w:color w:val="auto"/>
          <w:kern w:val="0"/>
          <w:szCs w:val="28"/>
        </w:rPr>
      </w:pPr>
      <w:r>
        <w:rPr>
          <w:rFonts w:hint="eastAsia"/>
          <w:b/>
          <w:bCs/>
          <w:color w:val="auto"/>
          <w:kern w:val="0"/>
          <w:szCs w:val="28"/>
          <w:lang w:val="en-US" w:eastAsia="zh-CN"/>
        </w:rPr>
        <w:t>3</w:t>
      </w:r>
      <w:r>
        <w:rPr>
          <w:rFonts w:hint="eastAsia" w:ascii="Times New Roman" w:hAnsi="Times New Roman"/>
          <w:b/>
          <w:bCs/>
          <w:color w:val="auto"/>
          <w:kern w:val="0"/>
          <w:szCs w:val="28"/>
        </w:rPr>
        <w:t>、严格保护耕地、节约集约用地原则</w:t>
      </w:r>
    </w:p>
    <w:p>
      <w:pPr>
        <w:widowControl/>
        <w:ind w:firstLine="560"/>
        <w:rPr>
          <w:rFonts w:hint="eastAsia" w:ascii="Times New Roman" w:hAnsi="Times New Roman"/>
          <w:color w:val="auto"/>
          <w:kern w:val="0"/>
          <w:szCs w:val="28"/>
          <w:lang w:val="en-US" w:eastAsia="zh-CN"/>
        </w:rPr>
      </w:pPr>
      <w:r>
        <w:rPr>
          <w:rFonts w:hint="eastAsia" w:ascii="Times New Roman" w:hAnsi="Times New Roman"/>
          <w:color w:val="auto"/>
          <w:kern w:val="0"/>
          <w:szCs w:val="28"/>
          <w:lang w:val="en-US" w:eastAsia="zh-CN"/>
        </w:rPr>
        <w:t>土地征收成片开发应落实最严格的耕地保护制度，尽量避让优质耕地。要根据经济社会发展状况、实际用地需求、土地利用相关政策等确定成片开发范围，科学合理规划布局，优化资源配置，节约集约利用土地，提高土地利用效率。</w:t>
      </w:r>
    </w:p>
    <w:p>
      <w:pPr>
        <w:keepNext w:val="0"/>
        <w:keepLines w:val="0"/>
        <w:pageBreakBefore w:val="0"/>
        <w:widowControl/>
        <w:kinsoku/>
        <w:wordWrap/>
        <w:overflowPunct/>
        <w:topLinePunct w:val="0"/>
        <w:autoSpaceDE/>
        <w:autoSpaceDN/>
        <w:bidi w:val="0"/>
        <w:adjustRightInd/>
        <w:snapToGrid/>
        <w:spacing w:beforeLines="50" w:afterLines="50"/>
        <w:ind w:firstLine="0" w:firstLineChars="0"/>
        <w:textAlignment w:val="auto"/>
        <w:outlineLvl w:val="1"/>
        <w:rPr>
          <w:rFonts w:hint="eastAsia" w:cs="仿宋_GB2312"/>
          <w:b/>
          <w:bCs/>
          <w:sz w:val="30"/>
          <w:szCs w:val="30"/>
        </w:rPr>
      </w:pPr>
      <w:bookmarkStart w:id="7" w:name="_Toc12762"/>
      <w:r>
        <w:rPr>
          <w:rFonts w:hint="eastAsia" w:cs="仿宋_GB2312"/>
          <w:b/>
          <w:bCs/>
          <w:sz w:val="30"/>
          <w:szCs w:val="30"/>
        </w:rPr>
        <w:t>（三）编制依据</w:t>
      </w:r>
      <w:bookmarkEnd w:id="6"/>
      <w:bookmarkEnd w:id="7"/>
    </w:p>
    <w:p>
      <w:pPr>
        <w:keepNext w:val="0"/>
        <w:keepLines w:val="0"/>
        <w:pageBreakBefore w:val="0"/>
        <w:widowControl/>
        <w:kinsoku/>
        <w:wordWrap/>
        <w:overflowPunct/>
        <w:topLinePunct w:val="0"/>
        <w:bidi w:val="0"/>
        <w:snapToGrid/>
        <w:ind w:firstLine="560"/>
        <w:textAlignment w:val="auto"/>
        <w:rPr>
          <w:rFonts w:hint="eastAsia" w:ascii="Times New Roman" w:hAnsi="Times New Roman" w:eastAsia="仿宋_GB2312"/>
          <w:kern w:val="0"/>
          <w:szCs w:val="28"/>
        </w:rPr>
      </w:pPr>
      <w:r>
        <w:rPr>
          <w:rFonts w:hint="eastAsia" w:ascii="Times New Roman" w:hAnsi="Times New Roman" w:eastAsia="仿宋_GB2312"/>
          <w:kern w:val="0"/>
          <w:szCs w:val="28"/>
        </w:rPr>
        <w:t>1</w:t>
      </w:r>
      <w:r>
        <w:rPr>
          <w:rFonts w:hint="eastAsia" w:ascii="Times New Roman" w:hAnsi="Times New Roman"/>
          <w:kern w:val="0"/>
          <w:szCs w:val="28"/>
        </w:rPr>
        <w:t>、《中华人民共和国土地管理法》（2019年修正版）；</w:t>
      </w:r>
    </w:p>
    <w:p>
      <w:pPr>
        <w:keepNext w:val="0"/>
        <w:keepLines w:val="0"/>
        <w:pageBreakBefore w:val="0"/>
        <w:widowControl/>
        <w:kinsoku/>
        <w:wordWrap/>
        <w:overflowPunct/>
        <w:topLinePunct w:val="0"/>
        <w:bidi w:val="0"/>
        <w:snapToGrid/>
        <w:ind w:firstLine="560"/>
        <w:textAlignment w:val="auto"/>
        <w:rPr>
          <w:rFonts w:hint="eastAsia" w:ascii="Times New Roman" w:hAnsi="Times New Roman" w:eastAsia="仿宋_GB2312"/>
          <w:kern w:val="0"/>
          <w:szCs w:val="28"/>
        </w:rPr>
      </w:pPr>
      <w:r>
        <w:rPr>
          <w:rFonts w:hint="eastAsia" w:ascii="Times New Roman" w:hAnsi="Times New Roman" w:eastAsia="仿宋_GB2312"/>
          <w:kern w:val="0"/>
          <w:szCs w:val="28"/>
        </w:rPr>
        <w:t>2、《中华人民共和国土地管理法实施条例》；</w:t>
      </w:r>
    </w:p>
    <w:p>
      <w:pPr>
        <w:keepNext w:val="0"/>
        <w:keepLines w:val="0"/>
        <w:pageBreakBefore w:val="0"/>
        <w:widowControl/>
        <w:kinsoku/>
        <w:wordWrap/>
        <w:overflowPunct/>
        <w:topLinePunct w:val="0"/>
        <w:bidi w:val="0"/>
        <w:snapToGrid/>
        <w:ind w:firstLine="560"/>
        <w:textAlignment w:val="auto"/>
        <w:rPr>
          <w:rFonts w:hint="eastAsia" w:ascii="Times New Roman" w:hAnsi="Times New Roman" w:eastAsia="仿宋_GB2312"/>
          <w:kern w:val="0"/>
          <w:szCs w:val="28"/>
        </w:rPr>
      </w:pPr>
      <w:r>
        <w:rPr>
          <w:rFonts w:hint="eastAsia"/>
          <w:kern w:val="0"/>
          <w:szCs w:val="28"/>
          <w:lang w:val="en-US" w:eastAsia="zh-CN"/>
        </w:rPr>
        <w:t>3</w:t>
      </w:r>
      <w:r>
        <w:rPr>
          <w:rFonts w:hint="eastAsia" w:ascii="Times New Roman" w:hAnsi="Times New Roman" w:eastAsia="仿宋_GB2312"/>
          <w:kern w:val="0"/>
          <w:szCs w:val="28"/>
        </w:rPr>
        <w:t>、《自然资源部关于印发〈土地征收成片开发标准（试行）〉的通知》（自然资规〔2020〕5号）；</w:t>
      </w:r>
    </w:p>
    <w:p>
      <w:pPr>
        <w:keepNext w:val="0"/>
        <w:keepLines w:val="0"/>
        <w:pageBreakBefore w:val="0"/>
        <w:widowControl/>
        <w:kinsoku/>
        <w:wordWrap/>
        <w:overflowPunct/>
        <w:topLinePunct w:val="0"/>
        <w:bidi w:val="0"/>
        <w:snapToGrid/>
        <w:ind w:firstLine="560"/>
        <w:textAlignment w:val="auto"/>
        <w:rPr>
          <w:rFonts w:hint="eastAsia" w:ascii="Times New Roman" w:hAnsi="Times New Roman" w:eastAsia="仿宋_GB2312"/>
          <w:kern w:val="0"/>
          <w:szCs w:val="28"/>
        </w:rPr>
      </w:pPr>
      <w:r>
        <w:rPr>
          <w:rFonts w:hint="eastAsia"/>
          <w:kern w:val="0"/>
          <w:szCs w:val="28"/>
          <w:lang w:val="en-US" w:eastAsia="zh-CN"/>
        </w:rPr>
        <w:t>4</w:t>
      </w:r>
      <w:r>
        <w:rPr>
          <w:rFonts w:hint="eastAsia"/>
          <w:kern w:val="0"/>
          <w:szCs w:val="28"/>
          <w:lang w:eastAsia="zh-CN"/>
        </w:rPr>
        <w:t>、</w:t>
      </w:r>
      <w:r>
        <w:rPr>
          <w:rFonts w:hint="eastAsia" w:ascii="Times New Roman" w:hAnsi="Times New Roman" w:eastAsia="仿宋_GB2312"/>
          <w:kern w:val="0"/>
          <w:szCs w:val="28"/>
        </w:rPr>
        <w:t>《福建省自然资源厅关于印发〈福建省土地征收成片开发方案报批实施细则（试行）〉的通知》（闽自然资发〔2021〕3号）；</w:t>
      </w:r>
    </w:p>
    <w:p>
      <w:pPr>
        <w:keepNext w:val="0"/>
        <w:keepLines w:val="0"/>
        <w:pageBreakBefore w:val="0"/>
        <w:widowControl/>
        <w:kinsoku/>
        <w:wordWrap/>
        <w:overflowPunct/>
        <w:topLinePunct w:val="0"/>
        <w:bidi w:val="0"/>
        <w:snapToGrid/>
        <w:ind w:firstLine="560"/>
        <w:textAlignment w:val="auto"/>
        <w:rPr>
          <w:rFonts w:hint="eastAsia" w:ascii="Times New Roman" w:hAnsi="Times New Roman" w:eastAsia="仿宋_GB2312"/>
          <w:kern w:val="0"/>
          <w:szCs w:val="28"/>
        </w:rPr>
      </w:pPr>
      <w:r>
        <w:rPr>
          <w:rFonts w:hint="eastAsia"/>
          <w:kern w:val="0"/>
          <w:szCs w:val="28"/>
          <w:lang w:val="en-US" w:eastAsia="zh-CN"/>
        </w:rPr>
        <w:t>5</w:t>
      </w:r>
      <w:r>
        <w:rPr>
          <w:rFonts w:hint="eastAsia" w:ascii="Times New Roman" w:hAnsi="Times New Roman" w:eastAsia="仿宋_GB2312"/>
          <w:kern w:val="0"/>
          <w:szCs w:val="28"/>
        </w:rPr>
        <w:t>.《福建省自然资源厅关于印发〈福建省土地征收成片开发方案编制参考指南（试行）〉的通知》（闽自然资发〔2021〕6号）；</w:t>
      </w:r>
    </w:p>
    <w:p>
      <w:pPr>
        <w:keepNext w:val="0"/>
        <w:keepLines w:val="0"/>
        <w:pageBreakBefore w:val="0"/>
        <w:widowControl/>
        <w:kinsoku/>
        <w:wordWrap/>
        <w:overflowPunct/>
        <w:topLinePunct w:val="0"/>
        <w:bidi w:val="0"/>
        <w:snapToGrid/>
        <w:ind w:firstLine="560"/>
        <w:textAlignment w:val="auto"/>
        <w:rPr>
          <w:rFonts w:hint="eastAsia" w:ascii="Times New Roman" w:hAnsi="Times New Roman" w:eastAsia="仿宋_GB2312"/>
          <w:kern w:val="0"/>
          <w:szCs w:val="28"/>
        </w:rPr>
      </w:pPr>
      <w:r>
        <w:rPr>
          <w:rFonts w:hint="eastAsia"/>
          <w:kern w:val="0"/>
          <w:szCs w:val="28"/>
          <w:lang w:val="en-US" w:eastAsia="zh-CN"/>
        </w:rPr>
        <w:t>6</w:t>
      </w:r>
      <w:r>
        <w:rPr>
          <w:rFonts w:hint="eastAsia" w:ascii="Times New Roman" w:hAnsi="Times New Roman" w:eastAsia="仿宋_GB2312"/>
          <w:kern w:val="0"/>
          <w:szCs w:val="28"/>
        </w:rPr>
        <w:t>、《自然资源部办公厅关于印发〈国土空间调查、规划、用途管制用地用海分类指南（试行）〉的通知》（自然资办发〔2020〕51号）；</w:t>
      </w:r>
    </w:p>
    <w:p>
      <w:pPr>
        <w:keepNext w:val="0"/>
        <w:keepLines w:val="0"/>
        <w:pageBreakBefore w:val="0"/>
        <w:widowControl/>
        <w:shd w:val="clear"/>
        <w:kinsoku/>
        <w:wordWrap/>
        <w:overflowPunct/>
        <w:topLinePunct w:val="0"/>
        <w:bidi w:val="0"/>
        <w:snapToGrid/>
        <w:ind w:firstLine="560"/>
        <w:textAlignment w:val="auto"/>
        <w:rPr>
          <w:rFonts w:hint="eastAsia" w:ascii="Times New Roman" w:hAnsi="Times New Roman" w:eastAsia="仿宋_GB2312"/>
          <w:kern w:val="0"/>
          <w:szCs w:val="28"/>
        </w:rPr>
      </w:pPr>
      <w:r>
        <w:rPr>
          <w:rFonts w:hint="eastAsia"/>
          <w:kern w:val="0"/>
          <w:szCs w:val="28"/>
          <w:lang w:val="en-US" w:eastAsia="zh-CN"/>
        </w:rPr>
        <w:t>7</w:t>
      </w:r>
      <w:r>
        <w:rPr>
          <w:rFonts w:hint="eastAsia" w:ascii="Times New Roman" w:hAnsi="Times New Roman" w:eastAsia="仿宋_GB2312"/>
          <w:kern w:val="0"/>
          <w:szCs w:val="28"/>
        </w:rPr>
        <w:t>、《德化县城</w:t>
      </w:r>
      <w:r>
        <w:rPr>
          <w:rFonts w:hint="eastAsia"/>
          <w:kern w:val="0"/>
          <w:szCs w:val="28"/>
          <w:lang w:val="en-US" w:eastAsia="zh-CN"/>
        </w:rPr>
        <w:t>市</w:t>
      </w:r>
      <w:r>
        <w:rPr>
          <w:rFonts w:hint="eastAsia" w:ascii="Times New Roman" w:hAnsi="Times New Roman" w:eastAsia="仿宋_GB2312"/>
          <w:kern w:val="0"/>
          <w:szCs w:val="28"/>
        </w:rPr>
        <w:t>总</w:t>
      </w:r>
      <w:r>
        <w:rPr>
          <w:rFonts w:hint="eastAsia" w:ascii="Times New Roman" w:hAnsi="Times New Roman" w:eastAsia="仿宋_GB2312"/>
          <w:kern w:val="0"/>
          <w:szCs w:val="28"/>
          <w:lang w:eastAsia="zh-CN"/>
        </w:rPr>
        <w:t>体</w:t>
      </w:r>
      <w:r>
        <w:rPr>
          <w:rFonts w:hint="eastAsia" w:ascii="Times New Roman" w:hAnsi="Times New Roman" w:eastAsia="仿宋_GB2312"/>
          <w:kern w:val="0"/>
          <w:szCs w:val="28"/>
        </w:rPr>
        <w:t>规划修编》（2008-2020）；</w:t>
      </w:r>
    </w:p>
    <w:p>
      <w:pPr>
        <w:pStyle w:val="2"/>
        <w:keepNext w:val="0"/>
        <w:keepLines w:val="0"/>
        <w:pageBreakBefore w:val="0"/>
        <w:widowControl/>
        <w:shd w:val="clear"/>
        <w:kinsoku/>
        <w:wordWrap/>
        <w:overflowPunct/>
        <w:topLinePunct w:val="0"/>
        <w:bidi w:val="0"/>
        <w:snapToGrid/>
        <w:ind w:firstLine="560"/>
        <w:textAlignment w:val="auto"/>
        <w:rPr>
          <w:rFonts w:hint="eastAsia"/>
          <w:szCs w:val="28"/>
          <w:highlight w:val="none"/>
          <w:lang w:val="en-US" w:eastAsia="zh-CN"/>
        </w:rPr>
      </w:pPr>
      <w:r>
        <w:rPr>
          <w:rFonts w:hint="eastAsia"/>
          <w:szCs w:val="28"/>
          <w:highlight w:val="none"/>
          <w:lang w:val="en-US" w:eastAsia="zh-CN"/>
        </w:rPr>
        <w:t>8、《德化县国民经济和社会发展第十四个五年规划和二〇三五年远景目标纲要》；</w:t>
      </w:r>
    </w:p>
    <w:p>
      <w:pPr>
        <w:pStyle w:val="2"/>
        <w:keepNext w:val="0"/>
        <w:keepLines w:val="0"/>
        <w:pageBreakBefore w:val="0"/>
        <w:widowControl/>
        <w:shd w:val="clear"/>
        <w:kinsoku/>
        <w:wordWrap/>
        <w:overflowPunct/>
        <w:topLinePunct w:val="0"/>
        <w:bidi w:val="0"/>
        <w:snapToGrid/>
        <w:ind w:firstLine="560"/>
        <w:textAlignment w:val="auto"/>
        <w:rPr>
          <w:rFonts w:hint="eastAsia" w:ascii="Times New Roman" w:hAnsi="Times New Roman" w:eastAsia="仿宋_GB2312"/>
          <w:kern w:val="0"/>
          <w:szCs w:val="28"/>
        </w:rPr>
      </w:pPr>
      <w:r>
        <w:rPr>
          <w:rFonts w:hint="eastAsia"/>
          <w:szCs w:val="28"/>
          <w:highlight w:val="none"/>
          <w:lang w:val="en-US" w:eastAsia="zh-CN"/>
        </w:rPr>
        <w:t>9、</w:t>
      </w:r>
      <w:r>
        <w:rPr>
          <w:rFonts w:hint="eastAsia"/>
          <w:szCs w:val="28"/>
        </w:rPr>
        <w:t>《德化县城</w:t>
      </w:r>
      <w:r>
        <w:rPr>
          <w:rFonts w:hint="eastAsia"/>
          <w:szCs w:val="28"/>
          <w:lang w:eastAsia="zh-CN"/>
        </w:rPr>
        <w:t>南</w:t>
      </w:r>
      <w:r>
        <w:rPr>
          <w:rFonts w:hint="eastAsia"/>
          <w:szCs w:val="28"/>
        </w:rPr>
        <w:t>·</w:t>
      </w:r>
      <w:r>
        <w:rPr>
          <w:rFonts w:hint="eastAsia"/>
          <w:szCs w:val="28"/>
          <w:lang w:eastAsia="zh-CN"/>
        </w:rPr>
        <w:t>城北</w:t>
      </w:r>
      <w:r>
        <w:rPr>
          <w:rFonts w:hint="eastAsia"/>
          <w:szCs w:val="28"/>
        </w:rPr>
        <w:t>片区控制性详细规划》</w:t>
      </w:r>
      <w:r>
        <w:rPr>
          <w:rFonts w:hint="eastAsia" w:ascii="Times New Roman" w:hAnsi="Times New Roman" w:eastAsia="仿宋_GB2312"/>
          <w:kern w:val="0"/>
          <w:szCs w:val="28"/>
        </w:rPr>
        <w:t>；</w:t>
      </w:r>
    </w:p>
    <w:p>
      <w:pPr>
        <w:pStyle w:val="2"/>
        <w:keepNext w:val="0"/>
        <w:keepLines w:val="0"/>
        <w:pageBreakBefore w:val="0"/>
        <w:widowControl/>
        <w:kinsoku/>
        <w:wordWrap/>
        <w:overflowPunct/>
        <w:topLinePunct w:val="0"/>
        <w:bidi w:val="0"/>
        <w:snapToGrid/>
        <w:ind w:firstLine="560"/>
        <w:textAlignment w:val="auto"/>
        <w:rPr>
          <w:rFonts w:hint="eastAsia"/>
          <w:szCs w:val="28"/>
        </w:rPr>
      </w:pPr>
      <w:r>
        <w:rPr>
          <w:rFonts w:hint="eastAsia" w:ascii="Times New Roman" w:hAnsi="Times New Roman"/>
          <w:kern w:val="0"/>
          <w:szCs w:val="28"/>
          <w:lang w:val="en-US" w:eastAsia="zh-CN"/>
        </w:rPr>
        <w:t>1</w:t>
      </w:r>
      <w:r>
        <w:rPr>
          <w:rFonts w:hint="eastAsia"/>
          <w:kern w:val="0"/>
          <w:szCs w:val="28"/>
          <w:lang w:val="en-US" w:eastAsia="zh-CN"/>
        </w:rPr>
        <w:t>0</w:t>
      </w:r>
      <w:r>
        <w:rPr>
          <w:rFonts w:hint="eastAsia" w:ascii="Times New Roman" w:hAnsi="Times New Roman"/>
          <w:kern w:val="0"/>
          <w:szCs w:val="28"/>
          <w:lang w:val="en-US" w:eastAsia="zh-CN"/>
        </w:rPr>
        <w:t>、《德化县城西片区控制性详细规划》；</w:t>
      </w:r>
    </w:p>
    <w:p>
      <w:pPr>
        <w:pStyle w:val="2"/>
        <w:keepNext w:val="0"/>
        <w:keepLines w:val="0"/>
        <w:pageBreakBefore w:val="0"/>
        <w:widowControl/>
        <w:kinsoku/>
        <w:wordWrap/>
        <w:overflowPunct/>
        <w:topLinePunct w:val="0"/>
        <w:bidi w:val="0"/>
        <w:snapToGrid/>
        <w:ind w:firstLine="560"/>
        <w:textAlignment w:val="auto"/>
        <w:rPr>
          <w:rFonts w:hint="eastAsia" w:ascii="Times New Roman" w:hAnsi="Times New Roman"/>
          <w:kern w:val="0"/>
          <w:szCs w:val="28"/>
          <w:lang w:val="en-US" w:eastAsia="zh-CN"/>
        </w:rPr>
      </w:pPr>
      <w:r>
        <w:rPr>
          <w:rFonts w:hint="eastAsia" w:ascii="Times New Roman" w:hAnsi="Times New Roman"/>
          <w:kern w:val="0"/>
          <w:szCs w:val="28"/>
          <w:lang w:val="en-US" w:eastAsia="zh-CN"/>
        </w:rPr>
        <w:t>11、《德化县人民政府关于同意〈德化县城南·城北控制性详细规划01-D/01-E单元、德化县西片区控制性详细规划06-G单元局部地块调整〉的批复》（德政函〔2021〕60号）；</w:t>
      </w:r>
    </w:p>
    <w:p>
      <w:pPr>
        <w:pStyle w:val="2"/>
        <w:keepNext w:val="0"/>
        <w:keepLines w:val="0"/>
        <w:pageBreakBefore w:val="0"/>
        <w:widowControl/>
        <w:kinsoku/>
        <w:wordWrap/>
        <w:overflowPunct/>
        <w:topLinePunct w:val="0"/>
        <w:bidi w:val="0"/>
        <w:snapToGrid/>
        <w:ind w:firstLine="560"/>
        <w:textAlignment w:val="auto"/>
        <w:rPr>
          <w:rFonts w:hint="default" w:ascii="Times New Roman" w:hAnsi="Times New Roman"/>
          <w:kern w:val="0"/>
          <w:szCs w:val="28"/>
          <w:lang w:val="en-US" w:eastAsia="zh-CN"/>
        </w:rPr>
      </w:pPr>
      <w:r>
        <w:rPr>
          <w:rFonts w:hint="eastAsia" w:ascii="Times New Roman" w:hAnsi="Times New Roman"/>
          <w:kern w:val="0"/>
          <w:szCs w:val="28"/>
          <w:lang w:val="en-US" w:eastAsia="zh-CN"/>
        </w:rPr>
        <w:t>12、德化县国土空间规划“三区三线”划定成果；</w:t>
      </w:r>
    </w:p>
    <w:p>
      <w:pPr>
        <w:pStyle w:val="2"/>
        <w:keepNext w:val="0"/>
        <w:keepLines w:val="0"/>
        <w:pageBreakBefore w:val="0"/>
        <w:widowControl/>
        <w:kinsoku/>
        <w:wordWrap/>
        <w:overflowPunct/>
        <w:topLinePunct w:val="0"/>
        <w:bidi w:val="0"/>
        <w:snapToGrid/>
        <w:ind w:firstLine="560"/>
        <w:textAlignment w:val="auto"/>
        <w:rPr>
          <w:rFonts w:hint="eastAsia" w:ascii="Times New Roman" w:hAnsi="Times New Roman"/>
          <w:kern w:val="0"/>
          <w:szCs w:val="28"/>
          <w:lang w:val="en-US" w:eastAsia="zh-CN"/>
        </w:rPr>
      </w:pPr>
      <w:r>
        <w:rPr>
          <w:rFonts w:hint="eastAsia" w:ascii="Times New Roman" w:hAnsi="Times New Roman"/>
          <w:kern w:val="0"/>
          <w:szCs w:val="28"/>
          <w:lang w:val="en-US" w:eastAsia="zh-CN"/>
        </w:rPr>
        <w:t>13、其他相关规划、法规、文件。</w:t>
      </w:r>
    </w:p>
    <w:p>
      <w:pPr>
        <w:keepNext w:val="0"/>
        <w:keepLines w:val="0"/>
        <w:pageBreakBefore w:val="0"/>
        <w:widowControl/>
        <w:kinsoku/>
        <w:wordWrap/>
        <w:overflowPunct/>
        <w:topLinePunct w:val="0"/>
        <w:bidi w:val="0"/>
        <w:snapToGrid/>
        <w:spacing w:beforeLines="50" w:afterLines="50"/>
        <w:ind w:firstLine="0" w:firstLineChars="0"/>
        <w:textAlignment w:val="auto"/>
        <w:outlineLvl w:val="0"/>
        <w:rPr>
          <w:rFonts w:cs="仿宋_GB2312"/>
          <w:b/>
          <w:bCs/>
          <w:sz w:val="32"/>
          <w:szCs w:val="32"/>
        </w:rPr>
      </w:pPr>
      <w:bookmarkStart w:id="8" w:name="_Toc9819"/>
      <w:r>
        <w:rPr>
          <w:rFonts w:hint="eastAsia" w:cs="仿宋_GB2312"/>
          <w:b/>
          <w:bCs/>
          <w:sz w:val="32"/>
          <w:szCs w:val="32"/>
        </w:rPr>
        <w:t>二、编制条件</w:t>
      </w:r>
      <w:bookmarkEnd w:id="8"/>
    </w:p>
    <w:p>
      <w:pPr>
        <w:keepNext w:val="0"/>
        <w:keepLines w:val="0"/>
        <w:pageBreakBefore w:val="0"/>
        <w:widowControl/>
        <w:kinsoku/>
        <w:wordWrap/>
        <w:overflowPunct/>
        <w:topLinePunct w:val="0"/>
        <w:bidi w:val="0"/>
        <w:snapToGrid/>
        <w:spacing w:beforeLines="50" w:afterLines="50"/>
        <w:ind w:firstLine="0" w:firstLineChars="0"/>
        <w:textAlignment w:val="auto"/>
        <w:outlineLvl w:val="1"/>
        <w:rPr>
          <w:rFonts w:cs="仿宋_GB2312"/>
          <w:b/>
          <w:bCs/>
          <w:sz w:val="30"/>
          <w:szCs w:val="30"/>
        </w:rPr>
      </w:pPr>
      <w:bookmarkStart w:id="9" w:name="_Toc18157"/>
      <w:r>
        <w:rPr>
          <w:rFonts w:hint="eastAsia" w:cs="仿宋_GB2312"/>
          <w:b/>
          <w:bCs/>
          <w:sz w:val="30"/>
          <w:szCs w:val="30"/>
        </w:rPr>
        <w:t>（一）批而未供土地和闲置土地情况</w:t>
      </w:r>
      <w:bookmarkEnd w:id="9"/>
    </w:p>
    <w:p>
      <w:pPr>
        <w:autoSpaceDE w:val="0"/>
        <w:autoSpaceDN w:val="0"/>
        <w:spacing w:line="560" w:lineRule="exact"/>
        <w:ind w:firstLine="560" w:firstLineChars="200"/>
        <w:rPr>
          <w:rFonts w:hint="eastAsia" w:ascii="Times New Roman" w:hAnsi="Times New Roman"/>
        </w:rPr>
      </w:pPr>
      <w:bookmarkStart w:id="10" w:name="_Toc66806784"/>
      <w:r>
        <w:rPr>
          <w:rFonts w:hint="eastAsia" w:ascii="Times New Roman" w:hAnsi="Times New Roman"/>
        </w:rPr>
        <w:t>截</w:t>
      </w:r>
      <w:r>
        <w:rPr>
          <w:rFonts w:hint="eastAsia" w:ascii="Times New Roman" w:hAnsi="Times New Roman"/>
          <w:color w:val="auto"/>
        </w:rPr>
        <w:t>至2022年</w:t>
      </w:r>
      <w:r>
        <w:rPr>
          <w:rFonts w:hint="eastAsia"/>
          <w:color w:val="auto"/>
          <w:lang w:val="en-US" w:eastAsia="zh-CN"/>
        </w:rPr>
        <w:t>10</w:t>
      </w:r>
      <w:r>
        <w:rPr>
          <w:rFonts w:hint="eastAsia" w:ascii="Times New Roman" w:hAnsi="Times New Roman"/>
          <w:color w:val="auto"/>
        </w:rPr>
        <w:t>月底</w:t>
      </w:r>
      <w:r>
        <w:rPr>
          <w:rFonts w:hint="eastAsia" w:ascii="Times New Roman" w:hAnsi="Times New Roman"/>
        </w:rPr>
        <w:t>，德化县批而未供土地面积</w:t>
      </w:r>
      <w:r>
        <w:rPr>
          <w:rFonts w:hint="eastAsia" w:ascii="仿宋_GB2312" w:hAnsi="仿宋_GB2312" w:eastAsia="仿宋_GB2312" w:cs="仿宋_GB2312"/>
          <w:sz w:val="32"/>
          <w:szCs w:val="32"/>
          <w:lang w:val="en-US" w:eastAsia="zh-CN"/>
        </w:rPr>
        <w:t>14</w:t>
      </w:r>
      <w:r>
        <w:rPr>
          <w:rFonts w:hint="eastAsia" w:ascii="仿宋_GB2312" w:hAnsi="仿宋_GB2312" w:cs="仿宋_GB2312"/>
          <w:sz w:val="32"/>
          <w:szCs w:val="32"/>
          <w:lang w:val="en-US" w:eastAsia="zh-CN"/>
        </w:rPr>
        <w:t>4.69</w:t>
      </w:r>
      <w:r>
        <w:rPr>
          <w:rFonts w:hint="eastAsia" w:ascii="Times New Roman" w:hAnsi="Times New Roman"/>
        </w:rPr>
        <w:t>公顷</w:t>
      </w:r>
      <w:r>
        <w:rPr>
          <w:rFonts w:hint="eastAsia" w:ascii="Times New Roman" w:hAnsi="Times New Roman"/>
          <w:lang w:val="en-US" w:eastAsia="zh-CN"/>
        </w:rPr>
        <w:t>＜</w:t>
      </w:r>
      <w:r>
        <w:rPr>
          <w:rFonts w:hint="eastAsia" w:ascii="Times New Roman" w:hAnsi="Times New Roman"/>
        </w:rPr>
        <w:t>500公顷；2020年和2021年，德化县批而未供土地处置率分别为22.9%和23.83%。</w:t>
      </w:r>
      <w:r>
        <w:rPr>
          <w:rFonts w:hint="eastAsia" w:ascii="Times New Roman" w:hAnsi="Times New Roman"/>
          <w:lang w:val="en-US" w:eastAsia="zh-CN"/>
        </w:rPr>
        <w:t>不</w:t>
      </w:r>
      <w:r>
        <w:rPr>
          <w:rFonts w:hint="eastAsia" w:ascii="Times New Roman" w:hAnsi="Times New Roman"/>
        </w:rPr>
        <w:t>属于“连续两年处置率低于15%”的情况</w:t>
      </w:r>
      <w:r>
        <w:rPr>
          <w:rFonts w:hint="eastAsia" w:ascii="Times New Roman" w:hAnsi="Times New Roman"/>
          <w:lang w:eastAsia="zh-CN"/>
        </w:rPr>
        <w:t>，</w:t>
      </w:r>
      <w:r>
        <w:rPr>
          <w:rFonts w:hint="eastAsia" w:ascii="Times New Roman" w:hAnsi="Times New Roman"/>
        </w:rPr>
        <w:t>符合《福建省土地征收成片开发方案报批实施细则（试行）》规定的上报要求</w:t>
      </w:r>
      <w:r>
        <w:rPr>
          <w:rFonts w:hint="eastAsia" w:ascii="Times New Roman" w:hAnsi="Times New Roman"/>
          <w:lang w:eastAsia="zh-CN"/>
        </w:rPr>
        <w:t>。</w:t>
      </w:r>
    </w:p>
    <w:p>
      <w:pPr>
        <w:keepNext w:val="0"/>
        <w:keepLines w:val="0"/>
        <w:pageBreakBefore w:val="0"/>
        <w:widowControl/>
        <w:kinsoku/>
        <w:wordWrap/>
        <w:overflowPunct/>
        <w:topLinePunct w:val="0"/>
        <w:autoSpaceDE/>
        <w:autoSpaceDN/>
        <w:bidi w:val="0"/>
        <w:adjustRightInd/>
        <w:snapToGrid/>
        <w:ind w:firstLine="560"/>
        <w:textAlignment w:val="auto"/>
        <w:rPr>
          <w:rFonts w:ascii="Times New Roman" w:hAnsi="Times New Roman" w:eastAsia="仿宋"/>
        </w:rPr>
      </w:pPr>
      <w:r>
        <w:rPr>
          <w:rFonts w:hint="eastAsia" w:ascii="Times New Roman" w:hAnsi="Times New Roman"/>
        </w:rPr>
        <w:t>截至2022年</w:t>
      </w:r>
      <w:r>
        <w:rPr>
          <w:rFonts w:hint="eastAsia"/>
          <w:lang w:val="en-US" w:eastAsia="zh-CN"/>
        </w:rPr>
        <w:t>10</w:t>
      </w:r>
      <w:r>
        <w:rPr>
          <w:rFonts w:hint="eastAsia" w:ascii="Times New Roman" w:hAnsi="Times New Roman"/>
        </w:rPr>
        <w:t>月底，德化县闲置土地面积</w:t>
      </w:r>
      <w:r>
        <w:rPr>
          <w:rFonts w:hint="eastAsia"/>
          <w:lang w:val="en-US" w:eastAsia="zh-CN"/>
        </w:rPr>
        <w:t>9.66</w:t>
      </w:r>
      <w:r>
        <w:rPr>
          <w:rFonts w:hint="eastAsia" w:ascii="Times New Roman" w:hAnsi="Times New Roman"/>
        </w:rPr>
        <w:t>公顷</w:t>
      </w:r>
      <w:r>
        <w:rPr>
          <w:rFonts w:hint="eastAsia"/>
          <w:lang w:val="en-US" w:eastAsia="zh-CN"/>
        </w:rPr>
        <w:t>＜</w:t>
      </w:r>
      <w:r>
        <w:rPr>
          <w:rFonts w:hint="eastAsia" w:ascii="Times New Roman" w:hAnsi="Times New Roman"/>
        </w:rPr>
        <w:t>50公顷；20</w:t>
      </w:r>
      <w:r>
        <w:rPr>
          <w:rFonts w:ascii="Times New Roman" w:hAnsi="Times New Roman"/>
        </w:rPr>
        <w:t>20</w:t>
      </w:r>
      <w:r>
        <w:rPr>
          <w:rFonts w:hint="eastAsia" w:ascii="Times New Roman" w:hAnsi="Times New Roman"/>
        </w:rPr>
        <w:t>年和202</w:t>
      </w:r>
      <w:r>
        <w:rPr>
          <w:rFonts w:ascii="Times New Roman" w:hAnsi="Times New Roman"/>
        </w:rPr>
        <w:t>1</w:t>
      </w:r>
      <w:r>
        <w:rPr>
          <w:rFonts w:hint="eastAsia" w:ascii="Times New Roman" w:hAnsi="Times New Roman"/>
        </w:rPr>
        <w:t>年，德化县闲置土地处置率分别为</w:t>
      </w:r>
      <w:r>
        <w:rPr>
          <w:rFonts w:ascii="Times New Roman" w:hAnsi="Times New Roman"/>
        </w:rPr>
        <w:t>63.2%和35.48%</w:t>
      </w:r>
      <w:r>
        <w:rPr>
          <w:rFonts w:hint="eastAsia" w:ascii="Times New Roman" w:hAnsi="Times New Roman"/>
        </w:rPr>
        <w:t>，不属于“连续两年处置率低于15%”的情况，符合《福建省土地征收成片开发方案报批实施细则（试行）》规定的上报要求。</w:t>
      </w:r>
    </w:p>
    <w:p>
      <w:pPr>
        <w:keepNext w:val="0"/>
        <w:keepLines w:val="0"/>
        <w:pageBreakBefore w:val="0"/>
        <w:widowControl/>
        <w:kinsoku/>
        <w:wordWrap/>
        <w:overflowPunct/>
        <w:topLinePunct w:val="0"/>
        <w:bidi w:val="0"/>
        <w:snapToGrid/>
        <w:spacing w:before="156" w:beforeLines="50" w:after="156" w:afterLines="50"/>
        <w:ind w:firstLine="0" w:firstLineChars="0"/>
        <w:textAlignment w:val="auto"/>
        <w:outlineLvl w:val="1"/>
        <w:rPr>
          <w:rFonts w:cs="仿宋_GB2312"/>
          <w:b/>
          <w:bCs/>
          <w:sz w:val="30"/>
          <w:szCs w:val="30"/>
        </w:rPr>
      </w:pPr>
      <w:bookmarkStart w:id="11" w:name="_Toc23143"/>
      <w:r>
        <w:rPr>
          <w:rFonts w:hint="eastAsia" w:cs="仿宋_GB2312"/>
          <w:b/>
          <w:bCs/>
          <w:sz w:val="30"/>
          <w:szCs w:val="30"/>
        </w:rPr>
        <w:t>（二）德化县土地利用效率情况</w:t>
      </w:r>
      <w:bookmarkEnd w:id="10"/>
      <w:bookmarkEnd w:id="11"/>
    </w:p>
    <w:p>
      <w:pPr>
        <w:pStyle w:val="2"/>
        <w:keepNext w:val="0"/>
        <w:keepLines w:val="0"/>
        <w:pageBreakBefore w:val="0"/>
        <w:widowControl/>
        <w:kinsoku/>
        <w:wordWrap/>
        <w:overflowPunct/>
        <w:topLinePunct w:val="0"/>
        <w:autoSpaceDE/>
        <w:autoSpaceDN/>
        <w:bidi w:val="0"/>
        <w:adjustRightInd/>
        <w:snapToGrid/>
        <w:ind w:firstLine="560"/>
        <w:textAlignment w:val="auto"/>
        <w:rPr>
          <w:rFonts w:hint="eastAsia" w:ascii="Times New Roman" w:hAnsi="Times New Roman" w:cs="Times New Roman"/>
          <w:color w:val="auto"/>
          <w:kern w:val="0"/>
          <w:szCs w:val="28"/>
          <w:lang w:val="en-US" w:eastAsia="zh-CN"/>
        </w:rPr>
      </w:pPr>
      <w:r>
        <w:rPr>
          <w:rFonts w:hint="eastAsia" w:ascii="Times New Roman" w:hAnsi="Times New Roman" w:cs="Times New Roman"/>
          <w:color w:val="auto"/>
          <w:kern w:val="0"/>
          <w:szCs w:val="28"/>
          <w:lang w:val="en-US" w:eastAsia="zh-CN"/>
        </w:rPr>
        <w:t>本次成片开发范围未涉及省级以上开发区及城市新区。</w:t>
      </w:r>
    </w:p>
    <w:p>
      <w:pPr>
        <w:pStyle w:val="2"/>
        <w:keepNext w:val="0"/>
        <w:keepLines w:val="0"/>
        <w:pageBreakBefore w:val="0"/>
        <w:widowControl/>
        <w:kinsoku/>
        <w:wordWrap/>
        <w:overflowPunct/>
        <w:topLinePunct w:val="0"/>
        <w:autoSpaceDE/>
        <w:autoSpaceDN/>
        <w:bidi w:val="0"/>
        <w:adjustRightInd/>
        <w:snapToGrid/>
        <w:ind w:firstLine="560"/>
        <w:textAlignment w:val="auto"/>
        <w:rPr>
          <w:rFonts w:hint="eastAsia" w:ascii="Times New Roman" w:hAnsi="Times New Roman" w:cs="Times New Roman"/>
          <w:color w:val="auto"/>
          <w:kern w:val="0"/>
          <w:szCs w:val="28"/>
          <w:lang w:val="en-US" w:eastAsia="zh-CN"/>
        </w:rPr>
      </w:pPr>
    </w:p>
    <w:p>
      <w:pPr>
        <w:pStyle w:val="2"/>
        <w:keepNext w:val="0"/>
        <w:keepLines w:val="0"/>
        <w:pageBreakBefore w:val="0"/>
        <w:widowControl/>
        <w:kinsoku/>
        <w:wordWrap/>
        <w:overflowPunct/>
        <w:topLinePunct w:val="0"/>
        <w:autoSpaceDE/>
        <w:autoSpaceDN/>
        <w:bidi w:val="0"/>
        <w:adjustRightInd/>
        <w:snapToGrid/>
        <w:ind w:firstLine="560"/>
        <w:textAlignment w:val="auto"/>
        <w:rPr>
          <w:rFonts w:hint="eastAsia" w:ascii="Times New Roman" w:hAnsi="Times New Roman" w:cs="Times New Roman"/>
          <w:color w:val="auto"/>
          <w:kern w:val="0"/>
          <w:szCs w:val="28"/>
          <w:lang w:val="en-US" w:eastAsia="zh-CN"/>
        </w:rPr>
      </w:pPr>
      <w:r>
        <w:rPr>
          <w:rFonts w:hint="eastAsia" w:ascii="Times New Roman" w:hAnsi="Times New Roman" w:cs="Times New Roman"/>
          <w:color w:val="auto"/>
          <w:kern w:val="0"/>
          <w:szCs w:val="28"/>
          <w:lang w:val="en-US" w:eastAsia="zh-CN"/>
        </w:rPr>
        <w:t>德化县省级以上开发区福建省德化陶瓷产业园在全省2018年度</w:t>
      </w:r>
      <w:r>
        <w:rPr>
          <w:rFonts w:hint="eastAsia" w:cs="Times New Roman"/>
          <w:color w:val="auto"/>
          <w:kern w:val="0"/>
          <w:szCs w:val="28"/>
          <w:lang w:val="en-US" w:eastAsia="zh-CN"/>
        </w:rPr>
        <w:t>至</w:t>
      </w:r>
      <w:r>
        <w:rPr>
          <w:rFonts w:hint="eastAsia" w:ascii="Times New Roman" w:hAnsi="Times New Roman" w:cs="Times New Roman"/>
          <w:color w:val="auto"/>
          <w:kern w:val="0"/>
          <w:szCs w:val="28"/>
          <w:lang w:val="en-US" w:eastAsia="zh-CN"/>
        </w:rPr>
        <w:t>2020年度开发区土地集约利用评价排名中分别位列第23名、第20名、第56名，不存在连续三年开发区土地集约利用评价排名全省后三名的情形。</w:t>
      </w:r>
    </w:p>
    <w:p>
      <w:pPr>
        <w:keepNext w:val="0"/>
        <w:keepLines w:val="0"/>
        <w:pageBreakBefore w:val="0"/>
        <w:widowControl/>
        <w:kinsoku/>
        <w:wordWrap/>
        <w:overflowPunct/>
        <w:topLinePunct w:val="0"/>
        <w:bidi w:val="0"/>
        <w:snapToGrid/>
        <w:spacing w:before="156" w:beforeLines="50" w:after="156" w:afterLines="50"/>
        <w:ind w:firstLine="0" w:firstLineChars="0"/>
        <w:textAlignment w:val="auto"/>
        <w:outlineLvl w:val="1"/>
        <w:rPr>
          <w:rFonts w:hint="eastAsia" w:cs="仿宋_GB2312"/>
          <w:b/>
          <w:bCs/>
          <w:sz w:val="30"/>
          <w:szCs w:val="30"/>
        </w:rPr>
      </w:pPr>
      <w:bookmarkStart w:id="12" w:name="_Toc12824"/>
      <w:r>
        <w:rPr>
          <w:rFonts w:hint="eastAsia" w:cs="仿宋_GB2312"/>
          <w:b/>
          <w:bCs/>
          <w:sz w:val="30"/>
          <w:szCs w:val="30"/>
        </w:rPr>
        <w:t>（三）已批准土地征收成片开发方案实施情况</w:t>
      </w:r>
      <w:bookmarkEnd w:id="12"/>
    </w:p>
    <w:p>
      <w:pPr>
        <w:keepNext w:val="0"/>
        <w:keepLines w:val="0"/>
        <w:pageBreakBefore w:val="0"/>
        <w:widowControl/>
        <w:kinsoku/>
        <w:wordWrap/>
        <w:overflowPunct/>
        <w:topLinePunct w:val="0"/>
        <w:autoSpaceDE/>
        <w:autoSpaceDN/>
        <w:bidi w:val="0"/>
        <w:adjustRightInd/>
        <w:snapToGrid/>
        <w:ind w:firstLine="560"/>
        <w:textAlignment w:val="auto"/>
        <w:rPr>
          <w:rFonts w:hint="eastAsia" w:cs="仿宋_GB2312"/>
          <w:b/>
          <w:bCs/>
          <w:sz w:val="32"/>
          <w:szCs w:val="32"/>
        </w:rPr>
      </w:pPr>
      <w:r>
        <w:rPr>
          <w:rFonts w:hint="eastAsia" w:ascii="Times New Roman" w:hAnsi="Times New Roman"/>
        </w:rPr>
        <w:t>截</w:t>
      </w:r>
      <w:r>
        <w:rPr>
          <w:rFonts w:hint="eastAsia"/>
          <w:lang w:val="en-US" w:eastAsia="zh-CN"/>
        </w:rPr>
        <w:t>至</w:t>
      </w:r>
      <w:r>
        <w:rPr>
          <w:rFonts w:hint="eastAsia" w:ascii="Times New Roman" w:hAnsi="Times New Roman"/>
        </w:rPr>
        <w:t>目前，德化县共有</w:t>
      </w:r>
      <w:r>
        <w:rPr>
          <w:rFonts w:hint="eastAsia"/>
          <w:color w:val="auto"/>
          <w:lang w:val="en-US" w:eastAsia="zh-CN"/>
        </w:rPr>
        <w:t>9</w:t>
      </w:r>
      <w:r>
        <w:rPr>
          <w:rFonts w:hint="eastAsia" w:ascii="Times New Roman" w:hAnsi="Times New Roman"/>
        </w:rPr>
        <w:t>个批次土地征收成片开发方案获得省政府批准，不存在连续两年未完成方案安排的年度实施计划的情况，符合《自然资源部关于印发〈土地征收成片开发标准（试行）〉的通知》（自然资规〔2020〕5号）要求。</w:t>
      </w:r>
    </w:p>
    <w:p>
      <w:pPr>
        <w:keepNext w:val="0"/>
        <w:keepLines w:val="0"/>
        <w:pageBreakBefore w:val="0"/>
        <w:widowControl/>
        <w:kinsoku/>
        <w:wordWrap/>
        <w:overflowPunct/>
        <w:topLinePunct w:val="0"/>
        <w:bidi w:val="0"/>
        <w:snapToGrid/>
        <w:spacing w:beforeLines="50" w:afterLines="50"/>
        <w:ind w:firstLine="0" w:firstLineChars="0"/>
        <w:textAlignment w:val="auto"/>
        <w:outlineLvl w:val="0"/>
        <w:rPr>
          <w:rFonts w:cs="仿宋_GB2312"/>
          <w:b/>
          <w:bCs/>
          <w:sz w:val="32"/>
          <w:szCs w:val="32"/>
        </w:rPr>
      </w:pPr>
      <w:bookmarkStart w:id="13" w:name="_Toc24474"/>
      <w:r>
        <w:rPr>
          <w:rFonts w:hint="eastAsia" w:cs="仿宋_GB2312"/>
          <w:b/>
          <w:bCs/>
          <w:sz w:val="32"/>
          <w:szCs w:val="32"/>
        </w:rPr>
        <w:t>三、基本情况</w:t>
      </w:r>
      <w:bookmarkEnd w:id="13"/>
    </w:p>
    <w:p>
      <w:pPr>
        <w:keepNext w:val="0"/>
        <w:keepLines w:val="0"/>
        <w:pageBreakBefore w:val="0"/>
        <w:widowControl/>
        <w:kinsoku/>
        <w:wordWrap/>
        <w:overflowPunct/>
        <w:topLinePunct w:val="0"/>
        <w:bidi w:val="0"/>
        <w:snapToGrid/>
        <w:spacing w:beforeLines="50" w:afterLines="50"/>
        <w:ind w:firstLine="0" w:firstLineChars="0"/>
        <w:textAlignment w:val="auto"/>
        <w:outlineLvl w:val="1"/>
        <w:rPr>
          <w:rFonts w:cs="仿宋_GB2312"/>
          <w:b/>
          <w:bCs/>
          <w:sz w:val="30"/>
          <w:szCs w:val="30"/>
        </w:rPr>
      </w:pPr>
      <w:bookmarkStart w:id="14" w:name="_Toc14465"/>
      <w:r>
        <w:rPr>
          <w:rFonts w:hint="eastAsia" w:cs="仿宋_GB2312"/>
          <w:b/>
          <w:bCs/>
          <w:sz w:val="30"/>
          <w:szCs w:val="30"/>
        </w:rPr>
        <w:t>（一）成片开发位置、范围和面积</w:t>
      </w:r>
      <w:bookmarkEnd w:id="14"/>
    </w:p>
    <w:p>
      <w:pPr>
        <w:pStyle w:val="2"/>
        <w:keepNext w:val="0"/>
        <w:keepLines w:val="0"/>
        <w:pageBreakBefore w:val="0"/>
        <w:widowControl/>
        <w:kinsoku/>
        <w:wordWrap/>
        <w:overflowPunct/>
        <w:topLinePunct w:val="0"/>
        <w:bidi w:val="0"/>
        <w:snapToGrid/>
        <w:ind w:firstLine="560"/>
        <w:textAlignment w:val="auto"/>
        <w:rPr>
          <w:kern w:val="0"/>
          <w:szCs w:val="28"/>
        </w:rPr>
      </w:pPr>
      <w:r>
        <w:rPr>
          <w:rFonts w:hint="eastAsia"/>
          <w:kern w:val="0"/>
          <w:szCs w:val="28"/>
        </w:rPr>
        <w:t>1、成片开发</w:t>
      </w:r>
      <w:r>
        <w:rPr>
          <w:rFonts w:hint="eastAsia"/>
          <w:kern w:val="0"/>
          <w:szCs w:val="28"/>
          <w:lang w:val="en-US" w:eastAsia="zh-CN"/>
        </w:rPr>
        <w:t>区域</w:t>
      </w:r>
      <w:r>
        <w:rPr>
          <w:rFonts w:hint="eastAsia"/>
          <w:kern w:val="0"/>
          <w:szCs w:val="28"/>
        </w:rPr>
        <w:t>位置</w:t>
      </w:r>
    </w:p>
    <w:p>
      <w:pPr>
        <w:pStyle w:val="2"/>
        <w:keepNext w:val="0"/>
        <w:keepLines w:val="0"/>
        <w:pageBreakBefore w:val="0"/>
        <w:widowControl/>
        <w:kinsoku/>
        <w:wordWrap/>
        <w:overflowPunct/>
        <w:topLinePunct w:val="0"/>
        <w:bidi w:val="0"/>
        <w:snapToGrid/>
        <w:ind w:firstLine="560"/>
        <w:textAlignment w:val="auto"/>
        <w:rPr>
          <w:rFonts w:hint="eastAsia" w:ascii="Times New Roman" w:hAnsi="Times New Roman" w:eastAsia="仿宋_GB2312"/>
          <w:color w:val="auto"/>
          <w:kern w:val="0"/>
          <w:szCs w:val="28"/>
          <w:lang w:val="en-US" w:eastAsia="zh-CN"/>
        </w:rPr>
      </w:pPr>
      <w:r>
        <w:rPr>
          <w:rFonts w:hint="eastAsia" w:ascii="Times New Roman" w:hAnsi="Times New Roman"/>
          <w:kern w:val="0"/>
          <w:szCs w:val="28"/>
          <w:lang w:val="en-US" w:eastAsia="zh-CN"/>
        </w:rPr>
        <w:t>本次成片开发位于德化县城北组团的新寨片区，涉</w:t>
      </w:r>
      <w:r>
        <w:rPr>
          <w:rFonts w:hint="eastAsia"/>
          <w:color w:val="auto"/>
          <w:kern w:val="0"/>
          <w:szCs w:val="28"/>
          <w:lang w:val="en-US" w:eastAsia="zh-CN"/>
        </w:rPr>
        <w:t>及德化县</w:t>
      </w:r>
      <w:r>
        <w:rPr>
          <w:rFonts w:hint="eastAsia"/>
          <w:kern w:val="0"/>
          <w:szCs w:val="28"/>
        </w:rPr>
        <w:t>浔</w:t>
      </w:r>
      <w:r>
        <w:rPr>
          <w:rFonts w:hint="eastAsia"/>
          <w:kern w:val="0"/>
          <w:szCs w:val="28"/>
          <w:lang w:eastAsia="zh-CN"/>
        </w:rPr>
        <w:t>中</w:t>
      </w:r>
      <w:r>
        <w:rPr>
          <w:rFonts w:hint="eastAsia"/>
          <w:color w:val="auto"/>
          <w:kern w:val="0"/>
          <w:szCs w:val="28"/>
          <w:lang w:val="en-US" w:eastAsia="zh-CN"/>
        </w:rPr>
        <w:t>镇浔中村，共计1个镇1个村及1个国有单位，不涉及省级/国家级开发区，具体见附表1和附图1。</w:t>
      </w:r>
    </w:p>
    <w:p>
      <w:pPr>
        <w:pStyle w:val="2"/>
        <w:keepNext w:val="0"/>
        <w:keepLines w:val="0"/>
        <w:pageBreakBefore w:val="0"/>
        <w:widowControl/>
        <w:kinsoku/>
        <w:wordWrap/>
        <w:overflowPunct/>
        <w:topLinePunct w:val="0"/>
        <w:bidi w:val="0"/>
        <w:snapToGrid/>
        <w:ind w:firstLine="560"/>
        <w:textAlignment w:val="auto"/>
        <w:rPr>
          <w:rFonts w:hint="eastAsia" w:eastAsia="仿宋_GB2312"/>
          <w:color w:val="auto"/>
          <w:kern w:val="0"/>
          <w:szCs w:val="28"/>
          <w:lang w:val="en-US" w:eastAsia="zh-CN"/>
        </w:rPr>
      </w:pPr>
      <w:r>
        <w:rPr>
          <w:rFonts w:hint="eastAsia"/>
          <w:color w:val="auto"/>
          <w:kern w:val="0"/>
          <w:szCs w:val="28"/>
        </w:rPr>
        <w:t>成片开发区位条件</w:t>
      </w:r>
      <w:r>
        <w:rPr>
          <w:rFonts w:hint="eastAsia"/>
          <w:color w:val="auto"/>
          <w:kern w:val="0"/>
          <w:szCs w:val="28"/>
          <w:lang w:eastAsia="zh-CN"/>
        </w:rPr>
        <w:t>较</w:t>
      </w:r>
      <w:r>
        <w:rPr>
          <w:rFonts w:hint="eastAsia"/>
          <w:color w:val="auto"/>
          <w:kern w:val="0"/>
          <w:szCs w:val="28"/>
        </w:rPr>
        <w:t>好，</w:t>
      </w:r>
      <w:r>
        <w:rPr>
          <w:rFonts w:hint="eastAsia"/>
          <w:color w:val="auto"/>
          <w:kern w:val="0"/>
          <w:szCs w:val="28"/>
          <w:lang w:val="en-US" w:eastAsia="zh-CN"/>
        </w:rPr>
        <w:t>靠近德化北环路，交通便利，</w:t>
      </w:r>
      <w:r>
        <w:rPr>
          <w:rFonts w:hint="eastAsia"/>
          <w:color w:val="auto"/>
          <w:kern w:val="0"/>
          <w:szCs w:val="28"/>
        </w:rPr>
        <w:t>周边配套设施完善</w:t>
      </w:r>
      <w:r>
        <w:rPr>
          <w:rFonts w:hint="eastAsia"/>
          <w:color w:val="auto"/>
          <w:kern w:val="0"/>
          <w:szCs w:val="28"/>
          <w:lang w:eastAsia="zh-CN"/>
        </w:rPr>
        <w:t>。</w:t>
      </w:r>
      <w:r>
        <w:rPr>
          <w:rFonts w:hint="eastAsia"/>
          <w:color w:val="auto"/>
          <w:kern w:val="0"/>
          <w:szCs w:val="28"/>
          <w:lang w:val="en-US" w:eastAsia="zh-CN"/>
        </w:rPr>
        <w:t>成片开发范围内有规划中学（德化五中新校区），紧邻成片开发范围有规划小学（新寨小学）、规划幼儿园（新寨幼儿园）及泉州工艺美术职业学院。</w:t>
      </w:r>
      <w:r>
        <w:rPr>
          <w:rFonts w:hint="eastAsia"/>
          <w:color w:val="auto"/>
          <w:kern w:val="0"/>
          <w:szCs w:val="28"/>
        </w:rPr>
        <w:t>1.5公里半径范围内有德化</w:t>
      </w:r>
      <w:r>
        <w:rPr>
          <w:rFonts w:hint="eastAsia"/>
          <w:color w:val="auto"/>
          <w:kern w:val="0"/>
          <w:szCs w:val="28"/>
          <w:lang w:eastAsia="zh-CN"/>
        </w:rPr>
        <w:t>县医院</w:t>
      </w:r>
      <w:r>
        <w:rPr>
          <w:rFonts w:hint="eastAsia"/>
          <w:color w:val="auto"/>
          <w:kern w:val="0"/>
          <w:szCs w:val="28"/>
        </w:rPr>
        <w:t>、德化第一中学、德化</w:t>
      </w:r>
      <w:r>
        <w:rPr>
          <w:rFonts w:hint="eastAsia"/>
          <w:color w:val="auto"/>
          <w:kern w:val="0"/>
          <w:szCs w:val="28"/>
          <w:lang w:eastAsia="zh-CN"/>
        </w:rPr>
        <w:t>县体育场</w:t>
      </w:r>
      <w:r>
        <w:rPr>
          <w:rFonts w:hint="eastAsia"/>
          <w:color w:val="auto"/>
          <w:kern w:val="0"/>
          <w:szCs w:val="28"/>
        </w:rPr>
        <w:t>、德化</w:t>
      </w:r>
      <w:r>
        <w:rPr>
          <w:rFonts w:hint="eastAsia"/>
          <w:color w:val="auto"/>
          <w:kern w:val="0"/>
          <w:szCs w:val="28"/>
          <w:lang w:eastAsia="zh-CN"/>
        </w:rPr>
        <w:t>县汽车站</w:t>
      </w:r>
      <w:r>
        <w:rPr>
          <w:rFonts w:hint="eastAsia"/>
          <w:color w:val="auto"/>
          <w:kern w:val="0"/>
          <w:szCs w:val="28"/>
        </w:rPr>
        <w:t>、德化</w:t>
      </w:r>
      <w:r>
        <w:rPr>
          <w:rFonts w:hint="eastAsia"/>
          <w:color w:val="auto"/>
          <w:kern w:val="0"/>
          <w:szCs w:val="28"/>
          <w:lang w:val="en-US" w:eastAsia="zh-CN"/>
        </w:rPr>
        <w:t>陶瓷博物馆、德化唐寨山森林公园、驾云亭公园</w:t>
      </w:r>
      <w:r>
        <w:rPr>
          <w:rFonts w:hint="eastAsia"/>
          <w:color w:val="auto"/>
          <w:kern w:val="0"/>
          <w:szCs w:val="28"/>
        </w:rPr>
        <w:t>等配套设施。</w:t>
      </w:r>
    </w:p>
    <w:p>
      <w:pPr>
        <w:keepNext w:val="0"/>
        <w:keepLines w:val="0"/>
        <w:pageBreakBefore w:val="0"/>
        <w:widowControl/>
        <w:kinsoku/>
        <w:wordWrap/>
        <w:overflowPunct/>
        <w:topLinePunct w:val="0"/>
        <w:bidi w:val="0"/>
        <w:snapToGrid/>
        <w:textAlignment w:val="auto"/>
        <w:rPr>
          <w:kern w:val="0"/>
          <w:szCs w:val="28"/>
        </w:rPr>
      </w:pPr>
      <w:r>
        <w:rPr>
          <w:rFonts w:hint="eastAsia"/>
          <w:kern w:val="0"/>
          <w:szCs w:val="28"/>
        </w:rPr>
        <w:t>2、成片开发范围和面积</w:t>
      </w:r>
    </w:p>
    <w:p>
      <w:pPr>
        <w:keepNext w:val="0"/>
        <w:keepLines w:val="0"/>
        <w:pageBreakBefore w:val="0"/>
        <w:widowControl/>
        <w:kinsoku/>
        <w:wordWrap/>
        <w:overflowPunct/>
        <w:topLinePunct w:val="0"/>
        <w:bidi w:val="0"/>
        <w:snapToGrid/>
        <w:ind w:firstLine="560"/>
        <w:textAlignment w:val="auto"/>
        <w:rPr>
          <w:rFonts w:hint="eastAsia"/>
        </w:rPr>
      </w:pPr>
      <w:r>
        <w:rPr>
          <w:rFonts w:hint="eastAsia"/>
          <w:kern w:val="0"/>
          <w:szCs w:val="28"/>
        </w:rPr>
        <w:t>本次成片开</w:t>
      </w:r>
      <w:r>
        <w:rPr>
          <w:rFonts w:hint="eastAsia"/>
          <w:color w:val="auto"/>
          <w:kern w:val="0"/>
          <w:szCs w:val="28"/>
        </w:rPr>
        <w:t>发范围</w:t>
      </w:r>
      <w:r>
        <w:rPr>
          <w:rFonts w:hint="eastAsia" w:ascii="Times New Roman" w:hAnsi="Times New Roman"/>
          <w:color w:val="auto"/>
          <w:sz w:val="28"/>
          <w:szCs w:val="28"/>
          <w:highlight w:val="none"/>
          <w:shd w:val="clear"/>
          <w:lang w:val="en-US" w:eastAsia="zh-CN"/>
        </w:rPr>
        <w:t>东至</w:t>
      </w:r>
      <w:r>
        <w:rPr>
          <w:rFonts w:hint="eastAsia"/>
          <w:color w:val="auto"/>
          <w:sz w:val="28"/>
          <w:szCs w:val="28"/>
          <w:highlight w:val="none"/>
          <w:shd w:val="clear"/>
          <w:lang w:val="en-US" w:eastAsia="zh-CN"/>
        </w:rPr>
        <w:t>宏达陶瓷有限公司</w:t>
      </w:r>
      <w:r>
        <w:rPr>
          <w:rFonts w:hint="eastAsia" w:ascii="Times New Roman" w:hAnsi="Times New Roman"/>
          <w:color w:val="auto"/>
          <w:sz w:val="28"/>
          <w:szCs w:val="28"/>
          <w:highlight w:val="none"/>
          <w:shd w:val="clear"/>
          <w:lang w:val="en-US" w:eastAsia="zh-CN"/>
        </w:rPr>
        <w:t>，西至</w:t>
      </w:r>
      <w:r>
        <w:rPr>
          <w:rFonts w:hint="eastAsia"/>
          <w:color w:val="auto"/>
          <w:sz w:val="28"/>
          <w:szCs w:val="28"/>
          <w:highlight w:val="none"/>
          <w:shd w:val="clear"/>
          <w:lang w:val="en-US" w:eastAsia="zh-CN"/>
        </w:rPr>
        <w:t>城后中路</w:t>
      </w:r>
      <w:r>
        <w:rPr>
          <w:rFonts w:hint="eastAsia" w:ascii="Times New Roman" w:hAnsi="Times New Roman"/>
          <w:color w:val="auto"/>
          <w:sz w:val="28"/>
          <w:szCs w:val="28"/>
          <w:highlight w:val="none"/>
          <w:shd w:val="clear"/>
          <w:lang w:val="en-US" w:eastAsia="zh-CN"/>
        </w:rPr>
        <w:t>，南至</w:t>
      </w:r>
      <w:r>
        <w:rPr>
          <w:rFonts w:hint="eastAsia"/>
          <w:color w:val="auto"/>
          <w:sz w:val="28"/>
          <w:szCs w:val="28"/>
          <w:highlight w:val="none"/>
          <w:shd w:val="clear"/>
          <w:lang w:val="en-US" w:eastAsia="zh-CN"/>
        </w:rPr>
        <w:t>涌口水电站移民安置区</w:t>
      </w:r>
      <w:r>
        <w:rPr>
          <w:rFonts w:hint="eastAsia" w:ascii="Times New Roman" w:hAnsi="Times New Roman"/>
          <w:color w:val="auto"/>
          <w:sz w:val="28"/>
          <w:szCs w:val="28"/>
          <w:highlight w:val="none"/>
          <w:shd w:val="clear"/>
          <w:lang w:val="en-US" w:eastAsia="zh-CN"/>
        </w:rPr>
        <w:t>，北至</w:t>
      </w:r>
      <w:r>
        <w:rPr>
          <w:rFonts w:hint="eastAsia"/>
          <w:color w:val="auto"/>
          <w:sz w:val="28"/>
          <w:szCs w:val="28"/>
          <w:highlight w:val="none"/>
          <w:shd w:val="clear"/>
          <w:lang w:val="en-US" w:eastAsia="zh-CN"/>
        </w:rPr>
        <w:t>新寨一路，</w:t>
      </w:r>
      <w:r>
        <w:rPr>
          <w:rFonts w:hint="eastAsia"/>
          <w:kern w:val="0"/>
          <w:szCs w:val="28"/>
          <w:highlight w:val="none"/>
          <w:lang w:val="en-US" w:eastAsia="zh-CN"/>
        </w:rPr>
        <w:t>土地征收成片开发土地总面</w:t>
      </w:r>
      <w:r>
        <w:rPr>
          <w:rFonts w:hint="eastAsia"/>
          <w:color w:val="auto"/>
          <w:kern w:val="0"/>
          <w:szCs w:val="28"/>
          <w:highlight w:val="none"/>
          <w:lang w:val="en-US" w:eastAsia="zh-CN"/>
        </w:rPr>
        <w:t>积</w:t>
      </w:r>
      <w:r>
        <w:rPr>
          <w:rFonts w:hint="eastAsia"/>
          <w:color w:val="auto"/>
          <w:kern w:val="0"/>
          <w:szCs w:val="28"/>
          <w:lang w:val="en-US" w:eastAsia="zh-CN"/>
        </w:rPr>
        <w:t>14.9326</w:t>
      </w:r>
      <w:r>
        <w:rPr>
          <w:rFonts w:hint="eastAsia"/>
          <w:color w:val="auto"/>
          <w:kern w:val="0"/>
          <w:szCs w:val="28"/>
        </w:rPr>
        <w:t>公顷，符合《福建省土地征收成片开发方案报批实施细则（试行）》规定“县（市）一个完整的土地征收成片开发面积一般不小于4公顷</w:t>
      </w:r>
      <w:r>
        <w:rPr>
          <w:rFonts w:hint="eastAsia"/>
          <w:color w:val="auto"/>
          <w:kern w:val="0"/>
          <w:szCs w:val="28"/>
          <w:lang w:eastAsia="zh-CN"/>
        </w:rPr>
        <w:t>，</w:t>
      </w:r>
      <w:r>
        <w:rPr>
          <w:rFonts w:hint="eastAsia"/>
          <w:color w:val="auto"/>
          <w:kern w:val="0"/>
          <w:szCs w:val="28"/>
          <w:lang w:val="en-US" w:eastAsia="zh-CN"/>
        </w:rPr>
        <w:t>设市区不小于6公顷</w:t>
      </w:r>
      <w:r>
        <w:rPr>
          <w:rFonts w:hint="eastAsia"/>
          <w:color w:val="auto"/>
          <w:kern w:val="0"/>
          <w:szCs w:val="28"/>
        </w:rPr>
        <w:t>”的要求。</w:t>
      </w:r>
    </w:p>
    <w:p>
      <w:pPr>
        <w:keepNext w:val="0"/>
        <w:keepLines w:val="0"/>
        <w:pageBreakBefore w:val="0"/>
        <w:widowControl/>
        <w:kinsoku/>
        <w:wordWrap/>
        <w:overflowPunct/>
        <w:topLinePunct w:val="0"/>
        <w:bidi w:val="0"/>
        <w:snapToGrid/>
        <w:ind w:firstLine="560"/>
        <w:textAlignment w:val="auto"/>
        <w:rPr>
          <w:rFonts w:hint="eastAsia"/>
          <w:color w:val="auto"/>
          <w:kern w:val="0"/>
          <w:szCs w:val="28"/>
        </w:rPr>
      </w:pPr>
      <w:r>
        <w:rPr>
          <w:rFonts w:hint="eastAsia"/>
          <w:color w:val="auto"/>
          <w:kern w:val="0"/>
          <w:szCs w:val="28"/>
        </w:rPr>
        <w:t>根据实地勘测调查，本次成片开发</w:t>
      </w:r>
      <w:r>
        <w:rPr>
          <w:rFonts w:hint="eastAsia"/>
          <w:color w:val="auto"/>
          <w:kern w:val="0"/>
          <w:szCs w:val="28"/>
          <w:lang w:eastAsia="zh-CN"/>
        </w:rPr>
        <w:t>方案</w:t>
      </w:r>
      <w:r>
        <w:rPr>
          <w:rFonts w:hint="eastAsia"/>
          <w:color w:val="auto"/>
          <w:kern w:val="0"/>
          <w:szCs w:val="28"/>
          <w:lang w:val="en-US" w:eastAsia="zh-CN"/>
        </w:rPr>
        <w:t>涉及</w:t>
      </w:r>
      <w:r>
        <w:rPr>
          <w:rFonts w:hint="eastAsia"/>
          <w:color w:val="auto"/>
          <w:kern w:val="0"/>
          <w:szCs w:val="28"/>
        </w:rPr>
        <w:t>农用地</w:t>
      </w:r>
      <w:r>
        <w:rPr>
          <w:rFonts w:hint="eastAsia"/>
          <w:color w:val="auto"/>
          <w:kern w:val="0"/>
          <w:szCs w:val="28"/>
          <w:lang w:val="en-US" w:eastAsia="zh-CN"/>
        </w:rPr>
        <w:t>9.7094</w:t>
      </w:r>
      <w:r>
        <w:rPr>
          <w:rFonts w:hint="eastAsia"/>
          <w:color w:val="auto"/>
          <w:kern w:val="0"/>
          <w:szCs w:val="28"/>
        </w:rPr>
        <w:t>公顷，占比</w:t>
      </w:r>
      <w:r>
        <w:rPr>
          <w:rFonts w:hint="eastAsia"/>
          <w:color w:val="auto"/>
          <w:kern w:val="0"/>
          <w:szCs w:val="28"/>
          <w:lang w:val="en-US" w:eastAsia="zh-CN"/>
        </w:rPr>
        <w:t>65.02</w:t>
      </w:r>
      <w:r>
        <w:rPr>
          <w:rFonts w:hint="eastAsia"/>
          <w:color w:val="auto"/>
          <w:kern w:val="0"/>
          <w:szCs w:val="28"/>
        </w:rPr>
        <w:t>%</w:t>
      </w:r>
      <w:r>
        <w:rPr>
          <w:rFonts w:hint="eastAsia"/>
          <w:color w:val="auto"/>
          <w:kern w:val="0"/>
          <w:szCs w:val="28"/>
          <w:lang w:eastAsia="zh-CN"/>
        </w:rPr>
        <w:t>（</w:t>
      </w:r>
      <w:r>
        <w:rPr>
          <w:rFonts w:hint="eastAsia"/>
          <w:color w:val="auto"/>
          <w:kern w:val="0"/>
          <w:szCs w:val="28"/>
          <w:lang w:val="en-US" w:eastAsia="zh-CN"/>
        </w:rPr>
        <w:t>其中，耕地3.2307公顷</w:t>
      </w:r>
      <w:r>
        <w:rPr>
          <w:rFonts w:hint="eastAsia"/>
          <w:color w:val="auto"/>
          <w:kern w:val="0"/>
          <w:szCs w:val="28"/>
          <w:lang w:eastAsia="zh-CN"/>
        </w:rPr>
        <w:t>）</w:t>
      </w:r>
      <w:r>
        <w:rPr>
          <w:rFonts w:hint="eastAsia"/>
          <w:color w:val="auto"/>
          <w:kern w:val="0"/>
          <w:szCs w:val="28"/>
        </w:rPr>
        <w:t>；建设用地</w:t>
      </w:r>
      <w:r>
        <w:rPr>
          <w:rFonts w:hint="eastAsia"/>
          <w:color w:val="auto"/>
          <w:kern w:val="0"/>
          <w:szCs w:val="28"/>
          <w:lang w:val="en-US" w:eastAsia="zh-CN"/>
        </w:rPr>
        <w:t>5.2233</w:t>
      </w:r>
      <w:r>
        <w:rPr>
          <w:rFonts w:hint="eastAsia"/>
          <w:color w:val="auto"/>
          <w:kern w:val="0"/>
          <w:szCs w:val="28"/>
        </w:rPr>
        <w:t>公顷，占比</w:t>
      </w:r>
      <w:r>
        <w:rPr>
          <w:rFonts w:hint="eastAsia"/>
          <w:color w:val="auto"/>
          <w:kern w:val="0"/>
          <w:szCs w:val="28"/>
          <w:lang w:val="en-US" w:eastAsia="zh-CN"/>
        </w:rPr>
        <w:t>34.98</w:t>
      </w:r>
      <w:r>
        <w:rPr>
          <w:rFonts w:hint="eastAsia"/>
          <w:color w:val="auto"/>
          <w:kern w:val="0"/>
          <w:szCs w:val="28"/>
        </w:rPr>
        <w:t>%。</w:t>
      </w:r>
    </w:p>
    <w:p>
      <w:pPr>
        <w:keepNext w:val="0"/>
        <w:keepLines w:val="0"/>
        <w:pageBreakBefore w:val="0"/>
        <w:widowControl/>
        <w:kinsoku/>
        <w:wordWrap/>
        <w:overflowPunct/>
        <w:topLinePunct w:val="0"/>
        <w:bidi w:val="0"/>
        <w:snapToGrid/>
        <w:spacing w:beforeLines="50" w:afterLines="50"/>
        <w:ind w:firstLine="0" w:firstLineChars="0"/>
        <w:textAlignment w:val="auto"/>
        <w:outlineLvl w:val="1"/>
        <w:rPr>
          <w:rFonts w:hint="eastAsia" w:cs="仿宋_GB2312"/>
          <w:b/>
          <w:bCs/>
          <w:sz w:val="30"/>
          <w:szCs w:val="30"/>
        </w:rPr>
      </w:pPr>
      <w:bookmarkStart w:id="15" w:name="_Toc19444"/>
      <w:r>
        <w:rPr>
          <w:rFonts w:hint="eastAsia" w:cs="仿宋_GB2312"/>
          <w:b/>
          <w:bCs/>
          <w:sz w:val="30"/>
          <w:szCs w:val="30"/>
        </w:rPr>
        <w:t>（</w:t>
      </w:r>
      <w:r>
        <w:rPr>
          <w:rFonts w:hint="eastAsia" w:cs="仿宋_GB2312"/>
          <w:b/>
          <w:bCs/>
          <w:sz w:val="30"/>
          <w:szCs w:val="30"/>
          <w:lang w:val="en-US" w:eastAsia="zh-CN"/>
        </w:rPr>
        <w:t>二</w:t>
      </w:r>
      <w:r>
        <w:rPr>
          <w:rFonts w:hint="eastAsia" w:cs="仿宋_GB2312"/>
          <w:b/>
          <w:bCs/>
          <w:sz w:val="30"/>
          <w:szCs w:val="30"/>
        </w:rPr>
        <w:t>）成片开发区域基础设施条件</w:t>
      </w:r>
      <w:bookmarkEnd w:id="15"/>
    </w:p>
    <w:p>
      <w:pPr>
        <w:pStyle w:val="2"/>
        <w:keepNext w:val="0"/>
        <w:keepLines w:val="0"/>
        <w:pageBreakBefore w:val="0"/>
        <w:widowControl/>
        <w:kinsoku/>
        <w:wordWrap/>
        <w:overflowPunct/>
        <w:topLinePunct w:val="0"/>
        <w:bidi w:val="0"/>
        <w:snapToGrid/>
        <w:ind w:firstLine="560"/>
        <w:textAlignment w:val="auto"/>
        <w:rPr>
          <w:kern w:val="0"/>
          <w:szCs w:val="28"/>
        </w:rPr>
      </w:pPr>
      <w:r>
        <w:rPr>
          <w:rFonts w:hint="eastAsia"/>
          <w:kern w:val="0"/>
          <w:szCs w:val="28"/>
        </w:rPr>
        <w:t>1、交通条件</w:t>
      </w:r>
    </w:p>
    <w:p>
      <w:pPr>
        <w:pStyle w:val="14"/>
        <w:keepNext w:val="0"/>
        <w:keepLines w:val="0"/>
        <w:pageBreakBefore w:val="0"/>
        <w:widowControl/>
        <w:kinsoku/>
        <w:wordWrap/>
        <w:overflowPunct/>
        <w:topLinePunct w:val="0"/>
        <w:autoSpaceDE/>
        <w:autoSpaceDN/>
        <w:bidi w:val="0"/>
        <w:snapToGrid/>
        <w:textAlignment w:val="auto"/>
        <w:rPr>
          <w:rFonts w:hint="eastAsia"/>
          <w:lang w:val="en-US" w:eastAsia="zh-CN"/>
        </w:rPr>
      </w:pPr>
      <w:r>
        <w:rPr>
          <w:rFonts w:hint="eastAsia" w:ascii="Times New Roman" w:hAnsi="Times New Roman"/>
          <w:sz w:val="28"/>
          <w:szCs w:val="28"/>
          <w:lang w:val="en-US" w:eastAsia="zh-CN"/>
        </w:rPr>
        <w:t>（1）对外交通</w:t>
      </w:r>
    </w:p>
    <w:p>
      <w:pPr>
        <w:keepNext w:val="0"/>
        <w:keepLines w:val="0"/>
        <w:pageBreakBefore w:val="0"/>
        <w:widowControl/>
        <w:kinsoku/>
        <w:wordWrap/>
        <w:overflowPunct/>
        <w:topLinePunct w:val="0"/>
        <w:bidi w:val="0"/>
        <w:snapToGrid/>
        <w:ind w:firstLine="560"/>
        <w:textAlignment w:val="auto"/>
        <w:rPr>
          <w:rFonts w:hint="eastAsia"/>
          <w:color w:val="auto"/>
          <w:kern w:val="0"/>
          <w:szCs w:val="28"/>
        </w:rPr>
      </w:pPr>
      <w:r>
        <w:rPr>
          <w:rFonts w:hint="eastAsia"/>
          <w:color w:val="auto"/>
          <w:kern w:val="0"/>
          <w:szCs w:val="28"/>
        </w:rPr>
        <w:t>德化县交通基础设施完备，</w:t>
      </w:r>
      <w:r>
        <w:rPr>
          <w:rFonts w:hint="eastAsia"/>
          <w:color w:val="auto"/>
          <w:kern w:val="0"/>
          <w:szCs w:val="28"/>
          <w:lang w:val="en-US" w:eastAsia="zh-CN"/>
        </w:rPr>
        <w:t>已建成的有</w:t>
      </w:r>
      <w:r>
        <w:rPr>
          <w:rFonts w:hint="eastAsia"/>
          <w:color w:val="auto"/>
          <w:kern w:val="0"/>
          <w:szCs w:val="28"/>
          <w:lang w:eastAsia="zh-CN"/>
        </w:rPr>
        <w:t>国道</w:t>
      </w:r>
      <w:r>
        <w:rPr>
          <w:rFonts w:hint="eastAsia"/>
          <w:color w:val="auto"/>
          <w:kern w:val="0"/>
          <w:szCs w:val="28"/>
          <w:lang w:val="en-US" w:eastAsia="zh-CN"/>
        </w:rPr>
        <w:t>355线、</w:t>
      </w:r>
      <w:r>
        <w:rPr>
          <w:rFonts w:hint="eastAsia"/>
          <w:color w:val="auto"/>
          <w:kern w:val="0"/>
          <w:szCs w:val="28"/>
        </w:rPr>
        <w:t>省道</w:t>
      </w:r>
      <w:r>
        <w:rPr>
          <w:rFonts w:hint="eastAsia"/>
          <w:color w:val="auto"/>
          <w:kern w:val="0"/>
          <w:szCs w:val="28"/>
          <w:lang w:val="en-US" w:eastAsia="zh-CN"/>
        </w:rPr>
        <w:t>215</w:t>
      </w:r>
      <w:r>
        <w:rPr>
          <w:rFonts w:hint="eastAsia"/>
          <w:color w:val="auto"/>
          <w:kern w:val="0"/>
          <w:szCs w:val="28"/>
        </w:rPr>
        <w:t>线、泉三高速、厦沙高速公路贯穿其中</w:t>
      </w:r>
      <w:r>
        <w:rPr>
          <w:rFonts w:hint="eastAsia"/>
          <w:color w:val="auto"/>
          <w:kern w:val="0"/>
          <w:szCs w:val="28"/>
          <w:lang w:eastAsia="zh-CN"/>
        </w:rPr>
        <w:t>。</w:t>
      </w:r>
      <w:r>
        <w:rPr>
          <w:rFonts w:hint="eastAsia"/>
          <w:color w:val="auto"/>
          <w:kern w:val="0"/>
          <w:szCs w:val="28"/>
          <w:lang w:val="en-US" w:eastAsia="zh-CN"/>
        </w:rPr>
        <w:t>同时，随着兴泉铁路通车、政永高速永泰至德化段启动建设、途经德化的南昌至厦门高铁列入福建中长期铁路网规划，德化县将由“泉州最北”的山区县变成闽中重要交通枢纽，融入福厦泉“一小时”经济圈，联通山海的闽中区位优势进一步突显。</w:t>
      </w:r>
    </w:p>
    <w:p>
      <w:pPr>
        <w:pStyle w:val="14"/>
        <w:keepNext w:val="0"/>
        <w:keepLines w:val="0"/>
        <w:pageBreakBefore w:val="0"/>
        <w:widowControl/>
        <w:kinsoku/>
        <w:wordWrap/>
        <w:overflowPunct/>
        <w:topLinePunct w:val="0"/>
        <w:autoSpaceDE/>
        <w:autoSpaceDN/>
        <w:bidi w:val="0"/>
        <w:snapToGrid/>
        <w:textAlignment w:val="auto"/>
        <w:rPr>
          <w:rFonts w:hint="eastAsia"/>
          <w:lang w:val="en-US" w:eastAsia="zh-CN"/>
        </w:rPr>
      </w:pPr>
      <w:r>
        <w:rPr>
          <w:rFonts w:hint="eastAsia" w:ascii="Times New Roman" w:hAnsi="Times New Roman"/>
          <w:sz w:val="28"/>
          <w:szCs w:val="28"/>
          <w:lang w:val="en-US" w:eastAsia="zh-CN"/>
        </w:rPr>
        <w:t>（2）区内交通</w:t>
      </w:r>
    </w:p>
    <w:p>
      <w:pPr>
        <w:keepNext w:val="0"/>
        <w:keepLines w:val="0"/>
        <w:pageBreakBefore w:val="0"/>
        <w:widowControl/>
        <w:kinsoku/>
        <w:wordWrap/>
        <w:overflowPunct/>
        <w:topLinePunct w:val="0"/>
        <w:bidi w:val="0"/>
        <w:snapToGrid/>
        <w:ind w:firstLine="560"/>
        <w:textAlignment w:val="auto"/>
        <w:rPr>
          <w:rFonts w:hint="eastAsia"/>
          <w:color w:val="auto"/>
          <w:kern w:val="0"/>
          <w:szCs w:val="28"/>
        </w:rPr>
      </w:pPr>
      <w:r>
        <w:rPr>
          <w:rFonts w:hint="eastAsia"/>
          <w:color w:val="auto"/>
          <w:kern w:val="0"/>
          <w:szCs w:val="28"/>
          <w:lang w:val="en-US" w:eastAsia="zh-CN"/>
        </w:rPr>
        <w:t>本次成片开发</w:t>
      </w:r>
      <w:r>
        <w:rPr>
          <w:rFonts w:hint="default"/>
          <w:color w:val="auto"/>
          <w:kern w:val="0"/>
          <w:szCs w:val="28"/>
          <w:lang w:val="en-US" w:eastAsia="zh-CN"/>
        </w:rPr>
        <w:t>区</w:t>
      </w:r>
      <w:r>
        <w:rPr>
          <w:rFonts w:hint="eastAsia"/>
          <w:color w:val="auto"/>
          <w:kern w:val="0"/>
          <w:szCs w:val="28"/>
          <w:lang w:val="en-US" w:eastAsia="zh-CN"/>
        </w:rPr>
        <w:t>周边道路基本建设完成</w:t>
      </w:r>
      <w:r>
        <w:rPr>
          <w:rFonts w:hint="eastAsia"/>
          <w:color w:val="auto"/>
          <w:kern w:val="0"/>
          <w:szCs w:val="28"/>
        </w:rPr>
        <w:t>，</w:t>
      </w:r>
      <w:r>
        <w:rPr>
          <w:rFonts w:hint="eastAsia"/>
          <w:color w:val="auto"/>
          <w:kern w:val="0"/>
          <w:szCs w:val="28"/>
          <w:lang w:val="en-US" w:eastAsia="zh-CN"/>
        </w:rPr>
        <w:t>交通条件优越。北侧距离德化环城北路（北环路）约500米，交通便捷。东侧及南侧为次干路金凤街，现状道路宽20米，规划道路宽24米。西侧为支路城后中路，宽12米。东北侧为次干路新寨一路，宽24米</w:t>
      </w:r>
      <w:r>
        <w:rPr>
          <w:rFonts w:hint="eastAsia"/>
          <w:color w:val="auto"/>
          <w:kern w:val="0"/>
          <w:szCs w:val="28"/>
        </w:rPr>
        <w:t>。</w:t>
      </w:r>
    </w:p>
    <w:p>
      <w:pPr>
        <w:pStyle w:val="2"/>
        <w:keepNext w:val="0"/>
        <w:keepLines w:val="0"/>
        <w:pageBreakBefore w:val="0"/>
        <w:widowControl/>
        <w:kinsoku/>
        <w:wordWrap/>
        <w:overflowPunct/>
        <w:topLinePunct w:val="0"/>
        <w:bidi w:val="0"/>
        <w:snapToGrid/>
        <w:ind w:firstLine="560"/>
        <w:textAlignment w:val="auto"/>
        <w:rPr>
          <w:kern w:val="0"/>
          <w:szCs w:val="28"/>
        </w:rPr>
      </w:pPr>
      <w:r>
        <w:rPr>
          <w:rFonts w:hint="eastAsia"/>
          <w:kern w:val="0"/>
          <w:szCs w:val="28"/>
        </w:rPr>
        <w:t>2、电力条件</w:t>
      </w:r>
    </w:p>
    <w:p>
      <w:pPr>
        <w:pStyle w:val="2"/>
        <w:keepNext w:val="0"/>
        <w:keepLines w:val="0"/>
        <w:pageBreakBefore w:val="0"/>
        <w:widowControl/>
        <w:kinsoku/>
        <w:wordWrap/>
        <w:overflowPunct/>
        <w:topLinePunct w:val="0"/>
        <w:bidi w:val="0"/>
        <w:snapToGrid/>
        <w:ind w:firstLine="560"/>
        <w:textAlignment w:val="auto"/>
        <w:rPr>
          <w:color w:val="auto"/>
          <w:kern w:val="0"/>
          <w:szCs w:val="28"/>
        </w:rPr>
      </w:pPr>
      <w:r>
        <w:rPr>
          <w:rFonts w:hint="eastAsia"/>
          <w:color w:val="auto"/>
          <w:kern w:val="0"/>
          <w:szCs w:val="28"/>
        </w:rPr>
        <w:t>德化县内有220kV变电站1座，主变容量180MVA；110kV变电站6座，主变总容量369MVA；35kV变电站4座，主变总容量51.5MVA。</w:t>
      </w:r>
    </w:p>
    <w:p>
      <w:pPr>
        <w:pStyle w:val="2"/>
        <w:keepNext w:val="0"/>
        <w:keepLines w:val="0"/>
        <w:pageBreakBefore w:val="0"/>
        <w:widowControl/>
        <w:shd w:val="clear"/>
        <w:kinsoku/>
        <w:wordWrap/>
        <w:overflowPunct/>
        <w:topLinePunct w:val="0"/>
        <w:bidi w:val="0"/>
        <w:snapToGrid/>
        <w:ind w:firstLine="560"/>
        <w:textAlignment w:val="auto"/>
        <w:rPr>
          <w:rFonts w:hint="eastAsia"/>
          <w:color w:val="auto"/>
          <w:kern w:val="0"/>
          <w:szCs w:val="28"/>
        </w:rPr>
      </w:pPr>
      <w:r>
        <w:rPr>
          <w:rFonts w:hint="eastAsia"/>
          <w:color w:val="auto"/>
          <w:kern w:val="0"/>
          <w:szCs w:val="28"/>
        </w:rPr>
        <w:t>本次成片开发区域电源由110kV龙浔变电站不同母线段分别引来两路10kV高压电缆至高压配电装置，再分别利用高压电缆引至各变压器，可以为成片开发区域提供10kV高压电源，能够满足成片开发区域用电量需求。</w:t>
      </w:r>
    </w:p>
    <w:p>
      <w:pPr>
        <w:pStyle w:val="2"/>
        <w:keepNext w:val="0"/>
        <w:keepLines w:val="0"/>
        <w:pageBreakBefore w:val="0"/>
        <w:widowControl/>
        <w:shd w:val="clear"/>
        <w:kinsoku/>
        <w:wordWrap/>
        <w:overflowPunct/>
        <w:topLinePunct w:val="0"/>
        <w:bidi w:val="0"/>
        <w:snapToGrid/>
        <w:ind w:firstLine="560"/>
        <w:textAlignment w:val="auto"/>
        <w:rPr>
          <w:kern w:val="0"/>
          <w:szCs w:val="28"/>
        </w:rPr>
      </w:pPr>
      <w:r>
        <w:rPr>
          <w:rFonts w:hint="eastAsia"/>
          <w:kern w:val="0"/>
          <w:szCs w:val="28"/>
        </w:rPr>
        <w:t>3、供气条件</w:t>
      </w:r>
    </w:p>
    <w:p>
      <w:pPr>
        <w:pStyle w:val="2"/>
        <w:keepNext w:val="0"/>
        <w:keepLines w:val="0"/>
        <w:pageBreakBefore w:val="0"/>
        <w:widowControl/>
        <w:kinsoku/>
        <w:wordWrap/>
        <w:overflowPunct/>
        <w:topLinePunct w:val="0"/>
        <w:bidi w:val="0"/>
        <w:snapToGrid/>
        <w:ind w:firstLine="560"/>
        <w:textAlignment w:val="auto"/>
        <w:rPr>
          <w:kern w:val="0"/>
          <w:szCs w:val="28"/>
        </w:rPr>
      </w:pPr>
      <w:r>
        <w:rPr>
          <w:rFonts w:hint="eastAsia"/>
          <w:kern w:val="0"/>
          <w:szCs w:val="28"/>
        </w:rPr>
        <w:t>目前，德化县采用福建LNG作为气源</w:t>
      </w:r>
      <w:r>
        <w:rPr>
          <w:rFonts w:hint="eastAsia"/>
          <w:kern w:val="0"/>
          <w:szCs w:val="28"/>
          <w:lang w:eastAsia="zh-CN"/>
        </w:rPr>
        <w:t>。</w:t>
      </w:r>
      <w:r>
        <w:rPr>
          <w:rFonts w:hint="eastAsia"/>
          <w:kern w:val="0"/>
          <w:szCs w:val="28"/>
        </w:rPr>
        <w:t>远期采用福建省管网工程二期高压管线工程天然气作为气源。本次成片开发区域气源来源于已建的LNG气化站，可满足成片开发实施后用气需求。</w:t>
      </w:r>
    </w:p>
    <w:p>
      <w:pPr>
        <w:pStyle w:val="2"/>
        <w:keepNext w:val="0"/>
        <w:keepLines w:val="0"/>
        <w:pageBreakBefore w:val="0"/>
        <w:widowControl/>
        <w:shd w:val="clear"/>
        <w:kinsoku/>
        <w:wordWrap/>
        <w:overflowPunct/>
        <w:topLinePunct w:val="0"/>
        <w:bidi w:val="0"/>
        <w:snapToGrid/>
        <w:ind w:firstLine="560"/>
        <w:textAlignment w:val="auto"/>
        <w:rPr>
          <w:kern w:val="0"/>
          <w:szCs w:val="28"/>
        </w:rPr>
      </w:pPr>
      <w:r>
        <w:rPr>
          <w:rFonts w:hint="eastAsia"/>
          <w:kern w:val="0"/>
          <w:szCs w:val="28"/>
        </w:rPr>
        <w:t>4、</w:t>
      </w:r>
      <w:r>
        <w:rPr>
          <w:rFonts w:hint="eastAsia"/>
          <w:kern w:val="0"/>
          <w:szCs w:val="28"/>
          <w:lang w:val="en-US" w:eastAsia="zh-CN"/>
        </w:rPr>
        <w:t>给</w:t>
      </w:r>
      <w:r>
        <w:rPr>
          <w:rFonts w:hint="eastAsia"/>
          <w:kern w:val="0"/>
          <w:szCs w:val="28"/>
        </w:rPr>
        <w:t>水条件</w:t>
      </w:r>
    </w:p>
    <w:p>
      <w:pPr>
        <w:pStyle w:val="2"/>
        <w:keepNext w:val="0"/>
        <w:keepLines w:val="0"/>
        <w:pageBreakBefore w:val="0"/>
        <w:widowControl/>
        <w:kinsoku/>
        <w:wordWrap/>
        <w:overflowPunct/>
        <w:topLinePunct w:val="0"/>
        <w:bidi w:val="0"/>
        <w:snapToGrid/>
        <w:ind w:firstLine="560"/>
        <w:textAlignment w:val="auto"/>
        <w:rPr>
          <w:rFonts w:hint="eastAsia"/>
          <w:kern w:val="0"/>
          <w:szCs w:val="28"/>
        </w:rPr>
      </w:pPr>
      <w:r>
        <w:rPr>
          <w:rFonts w:hint="eastAsia" w:ascii="Times New Roman" w:hAnsi="Times New Roman"/>
        </w:rPr>
        <w:t>德化城区现有自来水厂两座，日供水量22万</w:t>
      </w:r>
      <w:r>
        <w:rPr>
          <w:rFonts w:hint="eastAsia" w:ascii="Times New Roman" w:hAnsi="Times New Roman" w:eastAsia="仿宋_GB2312" w:cstheme="minorBidi"/>
          <w:kern w:val="0"/>
          <w:sz w:val="28"/>
          <w:szCs w:val="28"/>
          <w:shd w:val="clear"/>
          <w:lang w:val="en-US" w:eastAsia="zh-CN" w:bidi="ar-SA"/>
        </w:rPr>
        <w:t>m</w:t>
      </w:r>
      <w:r>
        <w:rPr>
          <w:rFonts w:hint="eastAsia" w:ascii="Times New Roman" w:hAnsi="Times New Roman" w:eastAsia="仿宋_GB2312" w:cstheme="minorBidi"/>
          <w:kern w:val="0"/>
          <w:sz w:val="28"/>
          <w:szCs w:val="28"/>
          <w:shd w:val="clear"/>
          <w:vertAlign w:val="superscript"/>
          <w:lang w:val="en-US" w:eastAsia="zh-CN" w:bidi="ar-SA"/>
        </w:rPr>
        <w:t>3</w:t>
      </w:r>
      <w:r>
        <w:rPr>
          <w:rFonts w:hint="eastAsia" w:ascii="Times New Roman" w:hAnsi="Times New Roman" w:eastAsia="仿宋_GB2312" w:cstheme="minorBidi"/>
          <w:kern w:val="0"/>
          <w:sz w:val="28"/>
          <w:szCs w:val="28"/>
          <w:shd w:val="clear"/>
          <w:lang w:val="en-US" w:eastAsia="zh-CN" w:bidi="ar-SA"/>
        </w:rPr>
        <w:t>/d</w:t>
      </w:r>
      <w:r>
        <w:rPr>
          <w:rFonts w:hint="eastAsia" w:ascii="Times New Roman" w:hAnsi="Times New Roman"/>
        </w:rPr>
        <w:t>，供水面积约26 km</w:t>
      </w:r>
      <w:r>
        <w:rPr>
          <w:rFonts w:hint="eastAsia" w:ascii="Times New Roman" w:hAnsi="Times New Roman"/>
          <w:vertAlign w:val="superscript"/>
        </w:rPr>
        <w:t>2</w:t>
      </w:r>
      <w:r>
        <w:rPr>
          <w:rFonts w:hint="eastAsia" w:ascii="Times New Roman" w:hAnsi="Times New Roman"/>
        </w:rPr>
        <w:t>。</w:t>
      </w:r>
      <w:r>
        <w:rPr>
          <w:rFonts w:hint="eastAsia"/>
          <w:kern w:val="0"/>
          <w:szCs w:val="28"/>
        </w:rPr>
        <w:t>本次成片开发区域用水来源于</w:t>
      </w:r>
      <w:r>
        <w:rPr>
          <w:rFonts w:hint="eastAsia" w:ascii="Times New Roman" w:hAnsi="Times New Roman" w:eastAsia="仿宋_GB2312" w:cstheme="minorBidi"/>
          <w:kern w:val="0"/>
          <w:sz w:val="28"/>
          <w:szCs w:val="28"/>
          <w:shd w:val="clear"/>
          <w:lang w:val="en-US" w:eastAsia="zh-CN" w:bidi="ar-SA"/>
        </w:rPr>
        <w:t>德化县蒲坂水厂及配水管网工程，总规模为15万m</w:t>
      </w:r>
      <w:r>
        <w:rPr>
          <w:rFonts w:hint="eastAsia" w:ascii="Times New Roman" w:hAnsi="Times New Roman" w:eastAsia="仿宋_GB2312" w:cstheme="minorBidi"/>
          <w:kern w:val="0"/>
          <w:sz w:val="28"/>
          <w:szCs w:val="28"/>
          <w:shd w:val="clear"/>
          <w:vertAlign w:val="superscript"/>
          <w:lang w:val="en-US" w:eastAsia="zh-CN" w:bidi="ar-SA"/>
        </w:rPr>
        <w:t>3</w:t>
      </w:r>
      <w:r>
        <w:rPr>
          <w:rFonts w:hint="eastAsia" w:ascii="Times New Roman" w:hAnsi="Times New Roman" w:eastAsia="仿宋_GB2312" w:cstheme="minorBidi"/>
          <w:kern w:val="0"/>
          <w:sz w:val="28"/>
          <w:szCs w:val="28"/>
          <w:shd w:val="clear"/>
          <w:lang w:val="en-US" w:eastAsia="zh-CN" w:bidi="ar-SA"/>
        </w:rPr>
        <w:t>/d，一期工程建设规模为7.5万m</w:t>
      </w:r>
      <w:r>
        <w:rPr>
          <w:rFonts w:hint="eastAsia" w:ascii="Times New Roman" w:hAnsi="Times New Roman" w:eastAsia="仿宋_GB2312" w:cstheme="minorBidi"/>
          <w:kern w:val="0"/>
          <w:sz w:val="28"/>
          <w:szCs w:val="28"/>
          <w:shd w:val="clear"/>
          <w:vertAlign w:val="superscript"/>
          <w:lang w:val="en-US" w:eastAsia="zh-CN" w:bidi="ar-SA"/>
        </w:rPr>
        <w:t>3</w:t>
      </w:r>
      <w:r>
        <w:rPr>
          <w:rFonts w:hint="eastAsia" w:ascii="Times New Roman" w:hAnsi="Times New Roman" w:eastAsia="仿宋_GB2312" w:cstheme="minorBidi"/>
          <w:kern w:val="0"/>
          <w:sz w:val="28"/>
          <w:szCs w:val="28"/>
          <w:shd w:val="clear"/>
          <w:lang w:val="en-US" w:eastAsia="zh-CN" w:bidi="ar-SA"/>
        </w:rPr>
        <w:t>/d</w:t>
      </w:r>
      <w:r>
        <w:rPr>
          <w:rFonts w:hint="eastAsia" w:cstheme="minorBidi"/>
          <w:kern w:val="0"/>
          <w:sz w:val="28"/>
          <w:szCs w:val="28"/>
          <w:shd w:val="clear"/>
          <w:lang w:val="en-US" w:eastAsia="zh-CN" w:bidi="ar-SA"/>
        </w:rPr>
        <w:t>。</w:t>
      </w:r>
      <w:r>
        <w:rPr>
          <w:rFonts w:hint="eastAsia"/>
          <w:kern w:val="0"/>
          <w:szCs w:val="28"/>
        </w:rPr>
        <w:t>水质达到生活用水标准，可满足成片开发实施后用水需求。</w:t>
      </w:r>
    </w:p>
    <w:p>
      <w:pPr>
        <w:pStyle w:val="2"/>
        <w:keepNext w:val="0"/>
        <w:keepLines w:val="0"/>
        <w:pageBreakBefore w:val="0"/>
        <w:widowControl/>
        <w:kinsoku/>
        <w:wordWrap/>
        <w:overflowPunct/>
        <w:topLinePunct w:val="0"/>
        <w:bidi w:val="0"/>
        <w:snapToGrid/>
        <w:ind w:firstLine="560"/>
        <w:textAlignment w:val="auto"/>
        <w:rPr>
          <w:kern w:val="0"/>
          <w:szCs w:val="28"/>
        </w:rPr>
      </w:pPr>
      <w:r>
        <w:rPr>
          <w:rFonts w:hint="eastAsia"/>
          <w:kern w:val="0"/>
          <w:szCs w:val="28"/>
        </w:rPr>
        <w:t>5、</w:t>
      </w:r>
      <w:r>
        <w:rPr>
          <w:rFonts w:hint="eastAsia"/>
          <w:kern w:val="0"/>
          <w:szCs w:val="28"/>
          <w:lang w:val="en-US" w:eastAsia="zh-CN"/>
        </w:rPr>
        <w:t>雨</w:t>
      </w:r>
      <w:r>
        <w:rPr>
          <w:rFonts w:hint="eastAsia"/>
          <w:kern w:val="0"/>
          <w:szCs w:val="28"/>
          <w:lang w:eastAsia="zh-CN"/>
        </w:rPr>
        <w:t>污</w:t>
      </w:r>
      <w:r>
        <w:rPr>
          <w:rFonts w:hint="eastAsia"/>
          <w:kern w:val="0"/>
          <w:szCs w:val="28"/>
          <w:lang w:val="en-US" w:eastAsia="zh-CN"/>
        </w:rPr>
        <w:t>水</w:t>
      </w:r>
      <w:r>
        <w:rPr>
          <w:rFonts w:hint="eastAsia"/>
          <w:kern w:val="0"/>
          <w:szCs w:val="28"/>
        </w:rPr>
        <w:t>处理条件</w:t>
      </w:r>
    </w:p>
    <w:p>
      <w:pPr>
        <w:pStyle w:val="2"/>
        <w:keepNext w:val="0"/>
        <w:keepLines w:val="0"/>
        <w:pageBreakBefore w:val="0"/>
        <w:widowControl/>
        <w:shd w:val="clear"/>
        <w:kinsoku/>
        <w:wordWrap/>
        <w:overflowPunct/>
        <w:topLinePunct w:val="0"/>
        <w:bidi w:val="0"/>
        <w:snapToGrid/>
        <w:ind w:left="0" w:firstLine="560"/>
        <w:rPr>
          <w:rFonts w:hint="eastAsia" w:ascii="Times New Roman" w:hAnsi="Times New Roman" w:eastAsia="仿宋_GB2312" w:cstheme="minorBidi"/>
          <w:kern w:val="0"/>
          <w:sz w:val="28"/>
          <w:szCs w:val="28"/>
        </w:rPr>
      </w:pPr>
      <w:r>
        <w:rPr>
          <w:rFonts w:hint="eastAsia" w:ascii="Times New Roman" w:hAnsi="Times New Roman" w:eastAsia="仿宋_GB2312" w:cstheme="minorBidi"/>
          <w:kern w:val="0"/>
          <w:sz w:val="28"/>
          <w:szCs w:val="28"/>
        </w:rPr>
        <w:t>本次成片开发区域</w:t>
      </w:r>
      <w:r>
        <w:rPr>
          <w:rFonts w:hint="eastAsia" w:cstheme="minorBidi"/>
          <w:kern w:val="0"/>
          <w:sz w:val="28"/>
          <w:szCs w:val="28"/>
          <w:lang w:eastAsia="zh-CN"/>
        </w:rPr>
        <w:t>排</w:t>
      </w:r>
      <w:r>
        <w:rPr>
          <w:rFonts w:hint="eastAsia" w:ascii="Times New Roman" w:hAnsi="Times New Roman" w:eastAsia="仿宋_GB2312" w:cstheme="minorBidi"/>
          <w:kern w:val="0"/>
          <w:sz w:val="28"/>
          <w:szCs w:val="28"/>
        </w:rPr>
        <w:t>水采用雨污分流</w:t>
      </w:r>
      <w:r>
        <w:rPr>
          <w:rFonts w:hint="eastAsia" w:cstheme="minorBidi"/>
          <w:kern w:val="0"/>
          <w:sz w:val="28"/>
          <w:szCs w:val="28"/>
          <w:lang w:eastAsia="zh-CN"/>
        </w:rPr>
        <w:t>，</w:t>
      </w:r>
      <w:r>
        <w:rPr>
          <w:rFonts w:hint="eastAsia" w:ascii="Times New Roman" w:hAnsi="Times New Roman" w:eastAsia="仿宋_GB2312" w:cstheme="minorBidi"/>
          <w:kern w:val="0"/>
          <w:sz w:val="28"/>
          <w:szCs w:val="28"/>
        </w:rPr>
        <w:t>周边已有市政排水管网，可满足成片开发实施后排水需求。</w:t>
      </w:r>
    </w:p>
    <w:p>
      <w:pPr>
        <w:pStyle w:val="2"/>
        <w:keepNext w:val="0"/>
        <w:keepLines w:val="0"/>
        <w:pageBreakBefore w:val="0"/>
        <w:widowControl/>
        <w:kinsoku/>
        <w:wordWrap/>
        <w:overflowPunct/>
        <w:topLinePunct w:val="0"/>
        <w:bidi w:val="0"/>
        <w:snapToGrid/>
        <w:ind w:firstLine="560"/>
        <w:textAlignment w:val="auto"/>
        <w:rPr>
          <w:rFonts w:hint="eastAsia"/>
          <w:kern w:val="0"/>
          <w:szCs w:val="28"/>
        </w:rPr>
      </w:pPr>
      <w:r>
        <w:rPr>
          <w:rFonts w:hint="eastAsia" w:ascii="Times New Roman" w:hAnsi="Times New Roman"/>
        </w:rPr>
        <w:t>德化县目前有1座中心城区污水处理厂，位于浔中镇凤洋村，主要服务范围包括盖德镇、龙浔镇、浔中镇及三班镇等片区。</w:t>
      </w:r>
      <w:r>
        <w:rPr>
          <w:rFonts w:hint="eastAsia"/>
          <w:kern w:val="0"/>
          <w:szCs w:val="28"/>
        </w:rPr>
        <w:t>德化县城市污水处理工程总规模为6万m</w:t>
      </w:r>
      <w:r>
        <w:rPr>
          <w:rFonts w:hint="eastAsia"/>
          <w:kern w:val="0"/>
          <w:szCs w:val="28"/>
          <w:vertAlign w:val="superscript"/>
        </w:rPr>
        <w:t>3</w:t>
      </w:r>
      <w:r>
        <w:rPr>
          <w:rFonts w:hint="eastAsia"/>
          <w:kern w:val="0"/>
          <w:szCs w:val="28"/>
        </w:rPr>
        <w:t>/d，本次成片开发区域周边已有市政排</w:t>
      </w:r>
      <w:r>
        <w:rPr>
          <w:rFonts w:hint="eastAsia"/>
          <w:kern w:val="0"/>
          <w:szCs w:val="28"/>
          <w:lang w:val="en-US" w:eastAsia="zh-CN"/>
        </w:rPr>
        <w:t>污</w:t>
      </w:r>
      <w:r>
        <w:rPr>
          <w:rFonts w:hint="eastAsia"/>
          <w:kern w:val="0"/>
          <w:szCs w:val="28"/>
        </w:rPr>
        <w:t>管网，可满足成片开发实施后排</w:t>
      </w:r>
      <w:r>
        <w:rPr>
          <w:rFonts w:hint="eastAsia"/>
          <w:kern w:val="0"/>
          <w:szCs w:val="28"/>
          <w:lang w:val="en-US" w:eastAsia="zh-CN"/>
        </w:rPr>
        <w:t>污</w:t>
      </w:r>
      <w:r>
        <w:rPr>
          <w:rFonts w:hint="eastAsia"/>
          <w:kern w:val="0"/>
          <w:szCs w:val="28"/>
        </w:rPr>
        <w:t>需求。</w:t>
      </w:r>
    </w:p>
    <w:p>
      <w:pPr>
        <w:pStyle w:val="2"/>
        <w:keepNext w:val="0"/>
        <w:keepLines w:val="0"/>
        <w:pageBreakBefore w:val="0"/>
        <w:widowControl/>
        <w:kinsoku/>
        <w:wordWrap/>
        <w:overflowPunct/>
        <w:topLinePunct w:val="0"/>
        <w:bidi w:val="0"/>
        <w:snapToGrid/>
        <w:ind w:firstLine="560"/>
        <w:textAlignment w:val="auto"/>
        <w:rPr>
          <w:rFonts w:hint="default"/>
          <w:kern w:val="0"/>
          <w:szCs w:val="28"/>
          <w:lang w:val="en-US" w:eastAsia="zh-CN"/>
        </w:rPr>
      </w:pPr>
      <w:r>
        <w:rPr>
          <w:rFonts w:hint="eastAsia"/>
          <w:kern w:val="0"/>
          <w:szCs w:val="28"/>
          <w:lang w:val="en-US" w:eastAsia="zh-CN"/>
        </w:rPr>
        <w:t>6、防洪防涝条件</w:t>
      </w:r>
    </w:p>
    <w:p>
      <w:pPr>
        <w:pStyle w:val="2"/>
        <w:keepNext w:val="0"/>
        <w:keepLines w:val="0"/>
        <w:pageBreakBefore w:val="0"/>
        <w:widowControl/>
        <w:kinsoku/>
        <w:wordWrap/>
        <w:overflowPunct/>
        <w:topLinePunct w:val="0"/>
        <w:bidi w:val="0"/>
        <w:snapToGrid/>
        <w:ind w:firstLine="560"/>
        <w:textAlignment w:val="auto"/>
        <w:rPr>
          <w:rFonts w:hint="default"/>
          <w:kern w:val="0"/>
          <w:szCs w:val="28"/>
          <w:lang w:val="en-US" w:eastAsia="zh-CN"/>
        </w:rPr>
      </w:pPr>
      <w:r>
        <w:rPr>
          <w:rFonts w:hint="eastAsia"/>
          <w:kern w:val="0"/>
          <w:szCs w:val="28"/>
          <w:lang w:val="en-US" w:eastAsia="zh-CN"/>
        </w:rPr>
        <w:t>片区范围内近期排涝标准采用5年一遇，远期提高到20-30年一遇；山洪设计标准采用20年一遇。</w:t>
      </w:r>
    </w:p>
    <w:p>
      <w:pPr>
        <w:pStyle w:val="2"/>
        <w:keepNext w:val="0"/>
        <w:keepLines w:val="0"/>
        <w:pageBreakBefore w:val="0"/>
        <w:widowControl/>
        <w:shd w:val="clear"/>
        <w:kinsoku/>
        <w:wordWrap/>
        <w:overflowPunct/>
        <w:topLinePunct w:val="0"/>
        <w:bidi w:val="0"/>
        <w:snapToGrid/>
        <w:ind w:firstLine="560"/>
        <w:textAlignment w:val="auto"/>
        <w:rPr>
          <w:kern w:val="0"/>
          <w:szCs w:val="28"/>
        </w:rPr>
      </w:pPr>
      <w:r>
        <w:rPr>
          <w:rFonts w:hint="eastAsia"/>
          <w:kern w:val="0"/>
          <w:szCs w:val="28"/>
          <w:lang w:val="en-US" w:eastAsia="zh-CN"/>
        </w:rPr>
        <w:t>7</w:t>
      </w:r>
      <w:r>
        <w:rPr>
          <w:rFonts w:hint="eastAsia"/>
          <w:kern w:val="0"/>
          <w:szCs w:val="28"/>
        </w:rPr>
        <w:t>、通讯条件</w:t>
      </w:r>
    </w:p>
    <w:p>
      <w:pPr>
        <w:pStyle w:val="2"/>
        <w:keepNext w:val="0"/>
        <w:keepLines w:val="0"/>
        <w:pageBreakBefore w:val="0"/>
        <w:widowControl/>
        <w:shd w:val="clear"/>
        <w:kinsoku/>
        <w:wordWrap/>
        <w:overflowPunct/>
        <w:topLinePunct w:val="0"/>
        <w:bidi w:val="0"/>
        <w:snapToGrid/>
        <w:ind w:firstLine="560"/>
        <w:textAlignment w:val="auto"/>
        <w:rPr>
          <w:rFonts w:hint="eastAsia"/>
          <w:color w:val="auto"/>
          <w:kern w:val="0"/>
          <w:szCs w:val="28"/>
        </w:rPr>
      </w:pPr>
      <w:r>
        <w:rPr>
          <w:rFonts w:hint="eastAsia"/>
          <w:kern w:val="0"/>
          <w:szCs w:val="28"/>
        </w:rPr>
        <w:t>德化县移动电话实现无盲区覆盖，可提供国内国际电话服务及各种现代化的电报、电传、无线通讯、互联网等电讯</w:t>
      </w:r>
      <w:r>
        <w:rPr>
          <w:rFonts w:hint="eastAsia"/>
          <w:kern w:val="0"/>
          <w:szCs w:val="28"/>
          <w:lang w:val="en-US" w:eastAsia="zh-CN"/>
        </w:rPr>
        <w:t>服务</w:t>
      </w:r>
      <w:r>
        <w:rPr>
          <w:rFonts w:hint="eastAsia"/>
          <w:kern w:val="0"/>
          <w:szCs w:val="28"/>
        </w:rPr>
        <w:t>。</w:t>
      </w:r>
      <w:r>
        <w:rPr>
          <w:rFonts w:hint="eastAsia"/>
          <w:kern w:val="0"/>
          <w:szCs w:val="28"/>
          <w:lang w:val="en-US" w:eastAsia="zh-CN"/>
        </w:rPr>
        <w:t>德化县</w:t>
      </w:r>
      <w:r>
        <w:rPr>
          <w:rFonts w:hint="eastAsia" w:ascii="Times New Roman" w:hAnsi="Times New Roman" w:cs="宋体"/>
          <w:lang w:val="en-US" w:eastAsia="zh-CN"/>
        </w:rPr>
        <w:t>现</w:t>
      </w:r>
      <w:r>
        <w:rPr>
          <w:rFonts w:hint="eastAsia" w:ascii="Times New Roman" w:hAnsi="Times New Roman" w:cs="宋体"/>
        </w:rPr>
        <w:t>有1座邮政支局，位于浔北路，</w:t>
      </w:r>
      <w:r>
        <w:rPr>
          <w:rFonts w:hint="eastAsia" w:ascii="Times New Roman" w:hAnsi="Times New Roman" w:cs="宋体"/>
          <w:lang w:val="en-US" w:eastAsia="zh-CN"/>
        </w:rPr>
        <w:t>距离本次成片开发仅1公里，满足片区邮政通讯需求。</w:t>
      </w:r>
      <w:r>
        <w:rPr>
          <w:rFonts w:hint="eastAsia" w:cstheme="minorBidi"/>
          <w:kern w:val="0"/>
          <w:sz w:val="28"/>
          <w:szCs w:val="28"/>
          <w:lang w:eastAsia="zh-CN"/>
        </w:rPr>
        <w:t>有线电视综合服务和通信管网</w:t>
      </w:r>
      <w:r>
        <w:rPr>
          <w:rFonts w:hint="eastAsia"/>
          <w:color w:val="auto"/>
          <w:kern w:val="0"/>
          <w:szCs w:val="28"/>
        </w:rPr>
        <w:t>通达，可满足成片开发实施后通信需求。</w:t>
      </w:r>
    </w:p>
    <w:p>
      <w:pPr>
        <w:keepNext w:val="0"/>
        <w:keepLines w:val="0"/>
        <w:pageBreakBefore w:val="0"/>
        <w:widowControl/>
        <w:kinsoku/>
        <w:wordWrap/>
        <w:overflowPunct/>
        <w:topLinePunct w:val="0"/>
        <w:bidi w:val="0"/>
        <w:snapToGrid/>
        <w:spacing w:beforeLines="50" w:afterLines="50"/>
        <w:ind w:firstLine="0" w:firstLineChars="0"/>
        <w:textAlignment w:val="auto"/>
        <w:outlineLvl w:val="1"/>
        <w:rPr>
          <w:rFonts w:hint="eastAsia" w:cs="仿宋_GB2312"/>
          <w:b/>
          <w:bCs/>
          <w:sz w:val="30"/>
          <w:szCs w:val="30"/>
        </w:rPr>
      </w:pPr>
      <w:bookmarkStart w:id="16" w:name="_Toc12249"/>
      <w:r>
        <w:rPr>
          <w:rFonts w:hint="eastAsia" w:cs="仿宋_GB2312"/>
          <w:b/>
          <w:bCs/>
          <w:sz w:val="30"/>
          <w:szCs w:val="30"/>
        </w:rPr>
        <w:t>（</w:t>
      </w:r>
      <w:r>
        <w:rPr>
          <w:rFonts w:hint="eastAsia" w:cs="仿宋_GB2312"/>
          <w:b/>
          <w:bCs/>
          <w:sz w:val="30"/>
          <w:szCs w:val="30"/>
          <w:lang w:val="en-US" w:eastAsia="zh-CN"/>
        </w:rPr>
        <w:t>三</w:t>
      </w:r>
      <w:r>
        <w:rPr>
          <w:rFonts w:hint="eastAsia" w:cs="仿宋_GB2312"/>
          <w:b/>
          <w:bCs/>
          <w:sz w:val="30"/>
          <w:szCs w:val="30"/>
        </w:rPr>
        <w:t>）</w:t>
      </w:r>
      <w:r>
        <w:rPr>
          <w:rFonts w:hint="eastAsia" w:ascii="Times New Roman" w:hAnsi="Times New Roman" w:cs="仿宋_GB2312"/>
          <w:b/>
          <w:bCs/>
          <w:sz w:val="30"/>
          <w:szCs w:val="30"/>
        </w:rPr>
        <w:t>成片开发</w:t>
      </w:r>
      <w:r>
        <w:rPr>
          <w:rFonts w:hint="eastAsia" w:cs="仿宋_GB2312"/>
          <w:b/>
          <w:bCs/>
          <w:sz w:val="30"/>
          <w:szCs w:val="30"/>
        </w:rPr>
        <w:t>实施周期</w:t>
      </w:r>
      <w:bookmarkEnd w:id="16"/>
    </w:p>
    <w:p>
      <w:pPr>
        <w:pStyle w:val="2"/>
        <w:keepNext w:val="0"/>
        <w:keepLines w:val="0"/>
        <w:pageBreakBefore w:val="0"/>
        <w:widowControl/>
        <w:kinsoku/>
        <w:wordWrap/>
        <w:overflowPunct/>
        <w:topLinePunct w:val="0"/>
        <w:bidi w:val="0"/>
        <w:snapToGrid/>
        <w:ind w:firstLine="560"/>
        <w:textAlignment w:val="auto"/>
        <w:rPr>
          <w:rFonts w:hint="eastAsia"/>
          <w:kern w:val="0"/>
          <w:szCs w:val="28"/>
        </w:rPr>
      </w:pPr>
      <w:r>
        <w:rPr>
          <w:rFonts w:hint="eastAsia"/>
          <w:kern w:val="0"/>
          <w:szCs w:val="28"/>
        </w:rPr>
        <w:t>综合考虑当地社会经济发展状况等因素，</w:t>
      </w:r>
      <w:r>
        <w:rPr>
          <w:rFonts w:hint="eastAsia"/>
          <w:kern w:val="0"/>
          <w:szCs w:val="28"/>
          <w:lang w:val="en-US" w:eastAsia="zh-CN"/>
        </w:rPr>
        <w:t>本</w:t>
      </w:r>
      <w:r>
        <w:rPr>
          <w:rFonts w:hint="eastAsia"/>
          <w:kern w:val="0"/>
          <w:szCs w:val="28"/>
        </w:rPr>
        <w:t>方案实施</w:t>
      </w:r>
      <w:r>
        <w:rPr>
          <w:rFonts w:hint="eastAsia"/>
          <w:color w:val="auto"/>
          <w:kern w:val="0"/>
          <w:szCs w:val="28"/>
        </w:rPr>
        <w:t>周期为</w:t>
      </w:r>
      <w:r>
        <w:rPr>
          <w:rFonts w:hint="eastAsia"/>
          <w:color w:val="auto"/>
          <w:kern w:val="0"/>
          <w:szCs w:val="28"/>
          <w:lang w:val="en-US" w:eastAsia="zh-CN"/>
        </w:rPr>
        <w:t>批复后</w:t>
      </w:r>
      <w:r>
        <w:rPr>
          <w:rFonts w:hint="eastAsia"/>
          <w:color w:val="auto"/>
          <w:kern w:val="0"/>
          <w:szCs w:val="28"/>
        </w:rPr>
        <w:t>3年</w:t>
      </w:r>
      <w:r>
        <w:rPr>
          <w:rFonts w:hint="eastAsia"/>
          <w:color w:val="auto"/>
          <w:kern w:val="0"/>
          <w:szCs w:val="28"/>
          <w:lang w:eastAsia="zh-CN"/>
        </w:rPr>
        <w:t>（</w:t>
      </w:r>
      <w:r>
        <w:rPr>
          <w:rFonts w:hint="eastAsia"/>
          <w:color w:val="auto"/>
          <w:kern w:val="0"/>
          <w:szCs w:val="28"/>
          <w:lang w:val="en-US" w:eastAsia="zh-CN"/>
        </w:rPr>
        <w:t>批复后第一年至第三年</w:t>
      </w:r>
      <w:r>
        <w:rPr>
          <w:rFonts w:hint="eastAsia"/>
          <w:color w:val="auto"/>
          <w:kern w:val="0"/>
          <w:szCs w:val="28"/>
          <w:lang w:eastAsia="zh-CN"/>
        </w:rPr>
        <w:t>）</w:t>
      </w:r>
      <w:r>
        <w:rPr>
          <w:rFonts w:hint="eastAsia"/>
          <w:color w:val="auto"/>
          <w:kern w:val="0"/>
          <w:szCs w:val="28"/>
        </w:rPr>
        <w:t>。</w:t>
      </w:r>
    </w:p>
    <w:p>
      <w:pPr>
        <w:keepNext w:val="0"/>
        <w:keepLines w:val="0"/>
        <w:pageBreakBefore w:val="0"/>
        <w:widowControl/>
        <w:numPr>
          <w:ilvl w:val="0"/>
          <w:numId w:val="0"/>
        </w:numPr>
        <w:shd w:val="clear"/>
        <w:kinsoku/>
        <w:wordWrap/>
        <w:overflowPunct/>
        <w:topLinePunct w:val="0"/>
        <w:bidi w:val="0"/>
        <w:snapToGrid/>
        <w:spacing w:beforeLines="50" w:afterLines="50"/>
        <w:textAlignment w:val="auto"/>
        <w:outlineLvl w:val="0"/>
        <w:rPr>
          <w:rFonts w:hint="eastAsia" w:cs="仿宋_GB2312"/>
          <w:b/>
          <w:bCs/>
          <w:sz w:val="32"/>
          <w:szCs w:val="32"/>
        </w:rPr>
      </w:pPr>
      <w:bookmarkStart w:id="17" w:name="_Toc6533"/>
      <w:bookmarkStart w:id="18" w:name="_Toc32611"/>
      <w:r>
        <w:rPr>
          <w:rFonts w:hint="eastAsia" w:cs="仿宋_GB2312"/>
          <w:b/>
          <w:bCs/>
          <w:sz w:val="32"/>
          <w:szCs w:val="32"/>
          <w:lang w:val="en-US" w:eastAsia="zh-CN"/>
        </w:rPr>
        <w:t>四、</w:t>
      </w:r>
      <w:r>
        <w:rPr>
          <w:rFonts w:hint="eastAsia" w:cs="仿宋_GB2312"/>
          <w:b/>
          <w:bCs/>
          <w:sz w:val="32"/>
          <w:szCs w:val="32"/>
        </w:rPr>
        <w:t>成片开发必要性</w:t>
      </w:r>
      <w:bookmarkEnd w:id="17"/>
      <w:r>
        <w:rPr>
          <w:rFonts w:hint="eastAsia" w:cs="仿宋_GB2312"/>
          <w:b/>
          <w:bCs/>
          <w:sz w:val="32"/>
          <w:szCs w:val="32"/>
          <w:lang w:val="en-US" w:eastAsia="zh-CN"/>
        </w:rPr>
        <w:t>和科学性</w:t>
      </w:r>
      <w:bookmarkEnd w:id="18"/>
    </w:p>
    <w:p>
      <w:pPr>
        <w:keepNext w:val="0"/>
        <w:keepLines w:val="0"/>
        <w:pageBreakBefore w:val="0"/>
        <w:widowControl/>
        <w:kinsoku/>
        <w:wordWrap/>
        <w:overflowPunct/>
        <w:topLinePunct w:val="0"/>
        <w:bidi w:val="0"/>
        <w:snapToGrid/>
        <w:spacing w:beforeLines="50" w:afterLines="50"/>
        <w:ind w:firstLine="0" w:firstLineChars="0"/>
        <w:textAlignment w:val="auto"/>
        <w:outlineLvl w:val="1"/>
        <w:rPr>
          <w:rFonts w:hint="default" w:eastAsia="仿宋_GB2312" w:cs="仿宋_GB2312"/>
          <w:b/>
          <w:bCs/>
          <w:sz w:val="30"/>
          <w:szCs w:val="30"/>
          <w:lang w:val="en-US" w:eastAsia="zh-CN"/>
        </w:rPr>
      </w:pPr>
      <w:bookmarkStart w:id="19" w:name="_Toc23878"/>
      <w:r>
        <w:rPr>
          <w:rFonts w:hint="eastAsia" w:cs="仿宋_GB2312"/>
          <w:b/>
          <w:bCs/>
          <w:sz w:val="30"/>
          <w:szCs w:val="30"/>
        </w:rPr>
        <w:t>（一）</w:t>
      </w:r>
      <w:r>
        <w:rPr>
          <w:rFonts w:hint="eastAsia" w:cs="仿宋_GB2312"/>
          <w:b/>
          <w:bCs/>
          <w:sz w:val="30"/>
          <w:szCs w:val="30"/>
          <w:lang w:val="en-US" w:eastAsia="zh-CN"/>
        </w:rPr>
        <w:t>必要性分析</w:t>
      </w:r>
      <w:bookmarkEnd w:id="19"/>
    </w:p>
    <w:p>
      <w:pPr>
        <w:keepNext w:val="0"/>
        <w:keepLines w:val="0"/>
        <w:pageBreakBefore w:val="0"/>
        <w:widowControl/>
        <w:suppressLineNumbers w:val="0"/>
        <w:kinsoku/>
        <w:wordWrap/>
        <w:overflowPunct/>
        <w:topLinePunct w:val="0"/>
        <w:bidi w:val="0"/>
        <w:snapToGrid/>
        <w:jc w:val="left"/>
        <w:textAlignment w:val="auto"/>
        <w:rPr>
          <w:rFonts w:hint="default"/>
          <w:color w:val="auto"/>
          <w:kern w:val="0"/>
          <w:szCs w:val="28"/>
          <w:lang w:val="en-US" w:eastAsia="zh-CN"/>
        </w:rPr>
      </w:pPr>
      <w:bookmarkStart w:id="20" w:name="_Toc5121"/>
      <w:bookmarkStart w:id="21" w:name="_Toc10268"/>
      <w:r>
        <w:rPr>
          <w:rFonts w:hint="eastAsia"/>
          <w:color w:val="auto"/>
          <w:kern w:val="0"/>
          <w:szCs w:val="28"/>
          <w:lang w:val="en-US" w:eastAsia="zh-CN"/>
        </w:rPr>
        <w:t>1、是优化县域空间格局，提升城市承载力的需要</w:t>
      </w:r>
    </w:p>
    <w:bookmarkEnd w:id="20"/>
    <w:p>
      <w:pPr>
        <w:keepNext w:val="0"/>
        <w:keepLines w:val="0"/>
        <w:widowControl/>
        <w:suppressLineNumbers w:val="0"/>
        <w:jc w:val="left"/>
        <w:rPr>
          <w:rFonts w:hint="eastAsia" w:ascii="Times New Roman" w:hAnsi="Times New Roman" w:eastAsia="仿宋_GB2312"/>
          <w:color w:val="4F81BD" w:themeColor="accent1"/>
          <w:kern w:val="0"/>
          <w:szCs w:val="28"/>
          <w:lang w:val="en-US" w:eastAsia="zh-CN"/>
          <w14:textFill>
            <w14:solidFill>
              <w14:schemeClr w14:val="accent1"/>
            </w14:solidFill>
          </w14:textFill>
        </w:rPr>
      </w:pPr>
      <w:r>
        <w:rPr>
          <w:rFonts w:hint="eastAsia"/>
          <w:color w:val="auto"/>
          <w:kern w:val="0"/>
          <w:szCs w:val="28"/>
          <w:lang w:val="en-US" w:eastAsia="zh-CN"/>
        </w:rPr>
        <w:t>德化“十四五”规划</w:t>
      </w:r>
      <w:r>
        <w:rPr>
          <w:rFonts w:hint="eastAsia" w:ascii="仿宋_GB2312" w:hAnsi="宋体" w:eastAsia="仿宋_GB2312" w:cs="仿宋_GB2312"/>
          <w:color w:val="000000"/>
          <w:kern w:val="0"/>
          <w:sz w:val="28"/>
          <w:szCs w:val="28"/>
          <w:lang w:val="en-US" w:eastAsia="zh-CN" w:bidi="ar"/>
        </w:rPr>
        <w:t>依托大外环路建设</w:t>
      </w:r>
      <w:r>
        <w:rPr>
          <w:rFonts w:hint="eastAsia" w:ascii="仿宋_GB2312" w:hAnsi="宋体" w:cs="仿宋_GB2312"/>
          <w:color w:val="000000"/>
          <w:kern w:val="0"/>
          <w:sz w:val="28"/>
          <w:szCs w:val="28"/>
          <w:lang w:val="en-US" w:eastAsia="zh-CN" w:bidi="ar"/>
        </w:rPr>
        <w:t>，</w:t>
      </w:r>
      <w:r>
        <w:rPr>
          <w:rFonts w:hint="eastAsia" w:ascii="仿宋_GB2312" w:hAnsi="宋体" w:eastAsia="仿宋_GB2312" w:cs="仿宋_GB2312"/>
          <w:color w:val="000000"/>
          <w:kern w:val="0"/>
          <w:sz w:val="28"/>
          <w:szCs w:val="28"/>
          <w:lang w:val="en-US" w:eastAsia="zh-CN" w:bidi="ar"/>
        </w:rPr>
        <w:t>带动沿线组团开发</w:t>
      </w:r>
      <w:r>
        <w:rPr>
          <w:rFonts w:hint="eastAsia"/>
          <w:color w:val="auto"/>
          <w:kern w:val="0"/>
          <w:szCs w:val="28"/>
          <w:lang w:val="en-US" w:eastAsia="zh-CN"/>
        </w:rPr>
        <w:t>。</w:t>
      </w:r>
      <w:r>
        <w:rPr>
          <w:rFonts w:hint="eastAsia"/>
          <w:color w:val="auto"/>
          <w:kern w:val="0"/>
          <w:szCs w:val="28"/>
        </w:rPr>
        <w:t>本次成片开发位于德化县</w:t>
      </w:r>
      <w:r>
        <w:rPr>
          <w:rFonts w:hint="eastAsia"/>
          <w:color w:val="auto"/>
          <w:kern w:val="0"/>
          <w:szCs w:val="28"/>
          <w:lang w:val="en-US" w:eastAsia="zh-CN"/>
        </w:rPr>
        <w:t>新寨片区，靠近德化北环路，</w:t>
      </w:r>
      <w:r>
        <w:rPr>
          <w:rFonts w:hint="eastAsia"/>
          <w:color w:val="auto"/>
          <w:kern w:val="0"/>
          <w:szCs w:val="28"/>
          <w:lang w:eastAsia="zh-CN"/>
        </w:rPr>
        <w:t>交通便捷，相关单元规划功能定位</w:t>
      </w:r>
      <w:r>
        <w:rPr>
          <w:rFonts w:hint="eastAsia"/>
          <w:color w:val="auto"/>
          <w:kern w:val="0"/>
          <w:szCs w:val="28"/>
          <w:lang w:val="en-US" w:eastAsia="zh-CN"/>
        </w:rPr>
        <w:t>为陶瓷科教、综合居住等用途，</w:t>
      </w:r>
      <w:r>
        <w:rPr>
          <w:rFonts w:ascii="仿宋_GB2312" w:hAnsi="宋体" w:eastAsia="仿宋_GB2312" w:cs="仿宋_GB2312"/>
          <w:color w:val="000000"/>
          <w:kern w:val="0"/>
          <w:sz w:val="28"/>
          <w:szCs w:val="28"/>
          <w:lang w:val="en-US" w:eastAsia="zh-CN" w:bidi="ar"/>
        </w:rPr>
        <w:t>是德化大城</w:t>
      </w:r>
      <w:r>
        <w:rPr>
          <w:rFonts w:hint="eastAsia" w:ascii="仿宋_GB2312" w:hAnsi="宋体" w:eastAsia="仿宋_GB2312" w:cs="仿宋_GB2312"/>
          <w:color w:val="000000"/>
          <w:kern w:val="0"/>
          <w:sz w:val="28"/>
          <w:szCs w:val="28"/>
          <w:lang w:val="en-US" w:eastAsia="zh-CN" w:bidi="ar"/>
        </w:rPr>
        <w:t>关提质扩容的重要区域</w:t>
      </w:r>
      <w:r>
        <w:rPr>
          <w:rFonts w:hint="eastAsia" w:ascii="仿宋_GB2312" w:hAnsi="宋体" w:cs="仿宋_GB2312"/>
          <w:color w:val="000000"/>
          <w:kern w:val="0"/>
          <w:sz w:val="28"/>
          <w:szCs w:val="28"/>
          <w:lang w:val="en-US" w:eastAsia="zh-CN" w:bidi="ar"/>
        </w:rPr>
        <w:t>之一。</w:t>
      </w:r>
      <w:r>
        <w:rPr>
          <w:rFonts w:hint="eastAsia"/>
          <w:color w:val="auto"/>
          <w:kern w:val="0"/>
          <w:szCs w:val="28"/>
          <w:lang w:val="en-US" w:eastAsia="zh-CN"/>
        </w:rPr>
        <w:t>目前片区周边正在建设有新寨幼儿园及新寨小学，片区居住及其他公共服务设施配套不足。本次成片开发符合德化“十四五”规划，</w:t>
      </w:r>
      <w:r>
        <w:rPr>
          <w:rFonts w:ascii="仿宋_GB2312" w:hAnsi="宋体" w:eastAsia="仿宋_GB2312" w:cs="仿宋_GB2312"/>
          <w:color w:val="000000"/>
          <w:kern w:val="0"/>
          <w:sz w:val="28"/>
          <w:szCs w:val="28"/>
          <w:lang w:val="en-US" w:eastAsia="zh-CN" w:bidi="ar"/>
        </w:rPr>
        <w:t>按照以人为本的原则，</w:t>
      </w:r>
      <w:r>
        <w:rPr>
          <w:rFonts w:hint="eastAsia"/>
          <w:color w:val="auto"/>
          <w:kern w:val="0"/>
          <w:szCs w:val="28"/>
          <w:lang w:val="en-US" w:eastAsia="zh-CN"/>
        </w:rPr>
        <w:t>通过科</w:t>
      </w:r>
      <w:r>
        <w:rPr>
          <w:rFonts w:hint="eastAsia" w:ascii="Times New Roman" w:hAnsi="Times New Roman"/>
          <w:color w:val="auto"/>
          <w:kern w:val="0"/>
          <w:szCs w:val="28"/>
          <w:lang w:val="en-US" w:eastAsia="zh-CN"/>
        </w:rPr>
        <w:t>学合理规划，</w:t>
      </w:r>
      <w:r>
        <w:rPr>
          <w:rFonts w:hint="eastAsia"/>
          <w:color w:val="auto"/>
          <w:kern w:val="0"/>
          <w:szCs w:val="28"/>
          <w:lang w:val="en-US" w:eastAsia="zh-CN"/>
        </w:rPr>
        <w:t>强化住房保障，提升教育品牌，</w:t>
      </w:r>
      <w:r>
        <w:rPr>
          <w:rFonts w:hint="eastAsia" w:ascii="Times New Roman" w:hAnsi="Times New Roman"/>
          <w:color w:val="auto"/>
          <w:kern w:val="0"/>
          <w:szCs w:val="28"/>
          <w:lang w:val="en-US" w:eastAsia="zh-CN"/>
        </w:rPr>
        <w:t>有助于</w:t>
      </w:r>
      <w:r>
        <w:rPr>
          <w:rFonts w:hint="eastAsia" w:ascii="Times New Roman" w:hAnsi="Times New Roman"/>
          <w:color w:val="auto"/>
          <w:kern w:val="0"/>
          <w:szCs w:val="28"/>
        </w:rPr>
        <w:t>加快</w:t>
      </w:r>
      <w:r>
        <w:rPr>
          <w:rFonts w:hint="eastAsia" w:ascii="Times New Roman" w:hAnsi="Times New Roman"/>
          <w:color w:val="auto"/>
          <w:kern w:val="0"/>
          <w:szCs w:val="28"/>
          <w:lang w:val="en-US" w:eastAsia="zh-CN"/>
        </w:rPr>
        <w:t>推进</w:t>
      </w:r>
      <w:r>
        <w:rPr>
          <w:rFonts w:hint="eastAsia" w:ascii="Times New Roman" w:hAnsi="Times New Roman"/>
          <w:color w:val="auto"/>
          <w:kern w:val="0"/>
          <w:szCs w:val="28"/>
          <w:lang w:eastAsia="zh-CN"/>
        </w:rPr>
        <w:t>新寨片区建设步伐，</w:t>
      </w:r>
      <w:r>
        <w:rPr>
          <w:rFonts w:hint="eastAsia" w:ascii="Times New Roman" w:hAnsi="Times New Roman"/>
          <w:color w:val="auto"/>
          <w:kern w:val="0"/>
          <w:szCs w:val="28"/>
          <w:lang w:val="en-US" w:eastAsia="zh-CN"/>
        </w:rPr>
        <w:t>满足新寨片区周边群众和进城务工人员集中安置及子女就近入学。成片开发实施后，可较大地改善片区的居住</w:t>
      </w:r>
      <w:r>
        <w:rPr>
          <w:rFonts w:hint="eastAsia"/>
          <w:color w:val="auto"/>
          <w:kern w:val="0"/>
          <w:szCs w:val="28"/>
          <w:lang w:val="en-US" w:eastAsia="zh-CN"/>
        </w:rPr>
        <w:t>、</w:t>
      </w:r>
      <w:r>
        <w:rPr>
          <w:rFonts w:hint="eastAsia" w:ascii="Times New Roman" w:hAnsi="Times New Roman"/>
          <w:color w:val="auto"/>
          <w:kern w:val="0"/>
          <w:szCs w:val="28"/>
          <w:lang w:val="en-US" w:eastAsia="zh-CN"/>
        </w:rPr>
        <w:t>生活环境，</w:t>
      </w:r>
      <w:r>
        <w:rPr>
          <w:rFonts w:hint="eastAsia"/>
          <w:color w:val="auto"/>
          <w:kern w:val="0"/>
          <w:szCs w:val="28"/>
          <w:lang w:val="en-US" w:eastAsia="zh-CN"/>
        </w:rPr>
        <w:t>通过教育、市政等配套同步跟进，推动城区提质增载，</w:t>
      </w:r>
      <w:r>
        <w:rPr>
          <w:rFonts w:hint="eastAsia" w:ascii="Times New Roman" w:hAnsi="Times New Roman"/>
          <w:color w:val="auto"/>
          <w:kern w:val="0"/>
          <w:szCs w:val="28"/>
          <w:lang w:val="en-US" w:eastAsia="zh-CN"/>
        </w:rPr>
        <w:t>改善城市面貌，拓宽城市发展空间，</w:t>
      </w:r>
      <w:r>
        <w:rPr>
          <w:rFonts w:hint="eastAsia"/>
          <w:color w:val="auto"/>
          <w:kern w:val="0"/>
          <w:szCs w:val="28"/>
          <w:lang w:val="en-US" w:eastAsia="zh-CN"/>
        </w:rPr>
        <w:t>创造一个优越的生活、教育、休闲新空间，</w:t>
      </w:r>
      <w:r>
        <w:rPr>
          <w:rFonts w:ascii="仿宋_GB2312" w:hAnsi="宋体" w:eastAsia="仿宋_GB2312" w:cs="仿宋_GB2312"/>
          <w:color w:val="000000"/>
          <w:kern w:val="0"/>
          <w:sz w:val="28"/>
          <w:szCs w:val="28"/>
          <w:lang w:val="en-US" w:eastAsia="zh-CN" w:bidi="ar"/>
        </w:rPr>
        <w:t>打</w:t>
      </w:r>
      <w:r>
        <w:rPr>
          <w:rFonts w:hint="eastAsia" w:ascii="仿宋_GB2312" w:hAnsi="宋体" w:eastAsia="仿宋_GB2312" w:cs="仿宋_GB2312"/>
          <w:color w:val="000000"/>
          <w:kern w:val="0"/>
          <w:sz w:val="28"/>
          <w:szCs w:val="28"/>
          <w:lang w:val="en-US" w:eastAsia="zh-CN" w:bidi="ar"/>
        </w:rPr>
        <w:t>造片区宜居宜业新环境，推动德化县中心城区</w:t>
      </w:r>
      <w:r>
        <w:rPr>
          <w:rFonts w:hint="eastAsia" w:ascii="仿宋_GB2312" w:hAnsi="宋体" w:cs="仿宋_GB2312"/>
          <w:color w:val="000000"/>
          <w:kern w:val="0"/>
          <w:sz w:val="28"/>
          <w:szCs w:val="28"/>
          <w:lang w:val="en-US" w:eastAsia="zh-CN" w:bidi="ar"/>
        </w:rPr>
        <w:t>北</w:t>
      </w:r>
      <w:r>
        <w:rPr>
          <w:rFonts w:hint="eastAsia" w:ascii="仿宋_GB2312" w:hAnsi="宋体" w:eastAsia="仿宋_GB2312" w:cs="仿宋_GB2312"/>
          <w:color w:val="000000"/>
          <w:kern w:val="0"/>
          <w:sz w:val="28"/>
          <w:szCs w:val="28"/>
          <w:lang w:val="en-US" w:eastAsia="zh-CN" w:bidi="ar"/>
        </w:rPr>
        <w:t>部城镇化的健康发展，助力德化县拉伸城市框架，</w:t>
      </w:r>
      <w:r>
        <w:rPr>
          <w:rFonts w:hint="eastAsia" w:ascii="仿宋_GB2312" w:hAnsi="宋体" w:cs="仿宋_GB2312"/>
          <w:color w:val="000000"/>
          <w:kern w:val="0"/>
          <w:sz w:val="28"/>
          <w:szCs w:val="28"/>
          <w:lang w:val="en-US" w:eastAsia="zh-CN" w:bidi="ar"/>
        </w:rPr>
        <w:t>优化县域空间格局，</w:t>
      </w:r>
      <w:r>
        <w:rPr>
          <w:rFonts w:hint="eastAsia" w:ascii="仿宋_GB2312" w:hAnsi="宋体" w:eastAsia="仿宋_GB2312" w:cs="仿宋_GB2312"/>
          <w:color w:val="000000"/>
          <w:kern w:val="0"/>
          <w:sz w:val="28"/>
          <w:szCs w:val="28"/>
          <w:lang w:val="en-US" w:eastAsia="zh-CN" w:bidi="ar"/>
        </w:rPr>
        <w:t>提升城市承载力</w:t>
      </w:r>
      <w:r>
        <w:rPr>
          <w:rFonts w:hint="eastAsia"/>
          <w:lang w:eastAsia="zh-CN"/>
        </w:rPr>
        <w:t>。</w:t>
      </w:r>
    </w:p>
    <w:p>
      <w:pPr>
        <w:keepNext w:val="0"/>
        <w:keepLines w:val="0"/>
        <w:pageBreakBefore w:val="0"/>
        <w:widowControl/>
        <w:numPr>
          <w:ilvl w:val="0"/>
          <w:numId w:val="2"/>
        </w:numPr>
        <w:suppressLineNumbers w:val="0"/>
        <w:kinsoku/>
        <w:wordWrap/>
        <w:overflowPunct/>
        <w:topLinePunct w:val="0"/>
        <w:bidi w:val="0"/>
        <w:snapToGrid/>
        <w:ind w:left="-323" w:leftChars="0" w:firstLineChars="0"/>
        <w:jc w:val="left"/>
        <w:textAlignment w:val="auto"/>
        <w:rPr>
          <w:rFonts w:hint="eastAsia"/>
          <w:color w:val="auto"/>
          <w:kern w:val="0"/>
          <w:szCs w:val="28"/>
          <w:lang w:val="en-US" w:eastAsia="zh-CN"/>
        </w:rPr>
      </w:pPr>
      <w:r>
        <w:rPr>
          <w:rFonts w:hint="eastAsia"/>
          <w:color w:val="auto"/>
          <w:kern w:val="0"/>
          <w:szCs w:val="28"/>
          <w:lang w:val="en-US" w:eastAsia="zh-CN"/>
        </w:rPr>
        <w:t>是完善住房体系，提升城区建设品质的需要</w:t>
      </w:r>
    </w:p>
    <w:p>
      <w:pPr>
        <w:keepNext w:val="0"/>
        <w:keepLines w:val="0"/>
        <w:widowControl/>
        <w:suppressLineNumbers w:val="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sz w:val="28"/>
          <w:szCs w:val="28"/>
        </w:rPr>
        <w:t>住房问题关系</w:t>
      </w:r>
      <w:r>
        <w:rPr>
          <w:rFonts w:hint="eastAsia" w:ascii="仿宋_GB2312" w:hAnsi="仿宋_GB2312" w:cs="仿宋_GB2312"/>
          <w:sz w:val="28"/>
          <w:szCs w:val="28"/>
          <w:lang w:val="en-US" w:eastAsia="zh-CN"/>
        </w:rPr>
        <w:t>到</w:t>
      </w:r>
      <w:r>
        <w:rPr>
          <w:rFonts w:hint="eastAsia" w:ascii="仿宋_GB2312" w:hAnsi="仿宋_GB2312" w:eastAsia="仿宋_GB2312" w:cs="仿宋_GB2312"/>
          <w:sz w:val="28"/>
          <w:szCs w:val="28"/>
        </w:rPr>
        <w:t>民生福祉</w:t>
      </w: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德化“十三五”期间已成功入选全国县城新型城镇化示范名单，城市功能品质大幅提高。德化“十四五”规划提出要以建设国家级县城新型城镇化示范县为契机，加快补齐公共服务设施、市政公用设施等领域短板弱项，策划推进一批新片区建设。新寨片区的老城更新改造属于德化“十四五”规划中提升城区建设品质重点项目。</w:t>
      </w:r>
      <w:r>
        <w:rPr>
          <w:rFonts w:hint="eastAsia"/>
          <w:color w:val="auto"/>
          <w:sz w:val="28"/>
          <w:szCs w:val="28"/>
          <w:lang w:val="en-US" w:eastAsia="zh-CN"/>
        </w:rPr>
        <w:t>通过成片开发，</w:t>
      </w:r>
      <w:r>
        <w:rPr>
          <w:rFonts w:hint="eastAsia" w:ascii="Times New Roman" w:hAnsi="Times New Roman" w:eastAsia="仿宋_GB2312"/>
          <w:color w:val="auto"/>
          <w:sz w:val="28"/>
          <w:szCs w:val="28"/>
        </w:rPr>
        <w:t>对该</w:t>
      </w:r>
      <w:r>
        <w:rPr>
          <w:rFonts w:hint="eastAsia" w:ascii="Times New Roman" w:hAnsi="Times New Roman"/>
          <w:color w:val="auto"/>
          <w:sz w:val="28"/>
          <w:szCs w:val="28"/>
          <w:lang w:val="en-US" w:eastAsia="zh-CN"/>
        </w:rPr>
        <w:t>片</w:t>
      </w:r>
      <w:r>
        <w:rPr>
          <w:rFonts w:hint="eastAsia" w:ascii="Times New Roman" w:hAnsi="Times New Roman" w:eastAsia="仿宋_GB2312"/>
          <w:color w:val="auto"/>
          <w:sz w:val="28"/>
          <w:szCs w:val="28"/>
        </w:rPr>
        <w:t>区居民进行集中安置，</w:t>
      </w:r>
      <w:r>
        <w:rPr>
          <w:rFonts w:hint="eastAsia"/>
          <w:color w:val="auto"/>
          <w:kern w:val="0"/>
          <w:szCs w:val="28"/>
        </w:rPr>
        <w:t>群众生活水平</w:t>
      </w:r>
      <w:r>
        <w:rPr>
          <w:rFonts w:hint="eastAsia"/>
          <w:color w:val="auto"/>
          <w:kern w:val="0"/>
          <w:szCs w:val="28"/>
          <w:lang w:eastAsia="zh-CN"/>
        </w:rPr>
        <w:t>、居住环境</w:t>
      </w:r>
      <w:r>
        <w:rPr>
          <w:rFonts w:hint="eastAsia"/>
          <w:color w:val="auto"/>
          <w:kern w:val="0"/>
          <w:szCs w:val="28"/>
        </w:rPr>
        <w:t>将明显提高</w:t>
      </w:r>
      <w:r>
        <w:rPr>
          <w:rFonts w:hint="eastAsia"/>
          <w:color w:val="auto"/>
          <w:kern w:val="0"/>
          <w:szCs w:val="28"/>
          <w:lang w:eastAsia="zh-CN"/>
        </w:rPr>
        <w:t>，</w:t>
      </w:r>
      <w:r>
        <w:rPr>
          <w:rFonts w:hint="eastAsia" w:ascii="仿宋_GB2312" w:hAnsi="仿宋_GB2312" w:eastAsia="仿宋_GB2312" w:cs="仿宋_GB2312"/>
          <w:color w:val="auto"/>
          <w:sz w:val="28"/>
          <w:szCs w:val="28"/>
        </w:rPr>
        <w:t>有利于</w:t>
      </w:r>
      <w:r>
        <w:rPr>
          <w:rFonts w:hint="eastAsia" w:ascii="Times New Roman" w:hAnsi="Times New Roman" w:eastAsia="仿宋_GB2312"/>
          <w:color w:val="auto"/>
          <w:sz w:val="28"/>
          <w:szCs w:val="28"/>
        </w:rPr>
        <w:t>合理调整住宅供给结构，满足不同层次的住房需求</w:t>
      </w:r>
      <w:r>
        <w:rPr>
          <w:rFonts w:hint="eastAsia" w:ascii="仿宋_GB2312" w:hAnsi="仿宋_GB2312" w:eastAsia="仿宋_GB2312" w:cs="仿宋_GB2312"/>
          <w:color w:val="auto"/>
          <w:sz w:val="28"/>
          <w:szCs w:val="28"/>
        </w:rPr>
        <w:t>，</w:t>
      </w:r>
      <w:r>
        <w:rPr>
          <w:rFonts w:hint="eastAsia" w:ascii="仿宋_GB2312" w:hAnsi="仿宋_GB2312" w:cs="仿宋_GB2312"/>
          <w:color w:val="auto"/>
          <w:sz w:val="28"/>
          <w:szCs w:val="28"/>
          <w:lang w:val="en-US" w:eastAsia="zh-CN"/>
        </w:rPr>
        <w:t>有利于</w:t>
      </w:r>
      <w:r>
        <w:rPr>
          <w:rFonts w:hint="eastAsia"/>
          <w:color w:val="auto"/>
          <w:kern w:val="0"/>
          <w:szCs w:val="28"/>
          <w:lang w:val="en-US" w:eastAsia="zh-CN"/>
        </w:rPr>
        <w:t>提升</w:t>
      </w:r>
      <w:r>
        <w:rPr>
          <w:rFonts w:hint="eastAsia" w:ascii="仿宋_GB2312" w:hAnsi="宋体" w:eastAsia="仿宋_GB2312" w:cs="仿宋_GB2312"/>
          <w:color w:val="000000"/>
          <w:kern w:val="0"/>
          <w:sz w:val="28"/>
          <w:szCs w:val="28"/>
          <w:lang w:val="en-US" w:eastAsia="zh-CN" w:bidi="ar"/>
        </w:rPr>
        <w:t>建设品质和宜居环境，吸引人口聚集，化解钟摆式交通拥堵问题，实现就业</w:t>
      </w:r>
      <w:r>
        <w:rPr>
          <w:rFonts w:hint="eastAsia" w:ascii="仿宋_GB2312" w:hAnsi="宋体" w:cs="仿宋_GB2312"/>
          <w:color w:val="000000"/>
          <w:kern w:val="0"/>
          <w:sz w:val="28"/>
          <w:szCs w:val="28"/>
          <w:lang w:val="en-US" w:eastAsia="zh-CN" w:bidi="ar"/>
        </w:rPr>
        <w:t>、</w:t>
      </w:r>
      <w:r>
        <w:rPr>
          <w:rFonts w:hint="eastAsia" w:ascii="仿宋_GB2312" w:hAnsi="宋体" w:eastAsia="仿宋_GB2312" w:cs="仿宋_GB2312"/>
          <w:color w:val="000000"/>
          <w:kern w:val="0"/>
          <w:sz w:val="28"/>
          <w:szCs w:val="28"/>
          <w:lang w:val="en-US" w:eastAsia="zh-CN" w:bidi="ar"/>
        </w:rPr>
        <w:t>居住基本平衡</w:t>
      </w:r>
      <w:r>
        <w:rPr>
          <w:rFonts w:hint="eastAsia" w:ascii="仿宋_GB2312" w:hAnsi="宋体" w:cs="仿宋_GB2312"/>
          <w:color w:val="000000"/>
          <w:kern w:val="0"/>
          <w:sz w:val="28"/>
          <w:szCs w:val="28"/>
          <w:lang w:val="en-US" w:eastAsia="zh-CN" w:bidi="ar"/>
        </w:rPr>
        <w:t>，</w:t>
      </w:r>
      <w:r>
        <w:rPr>
          <w:rFonts w:hint="eastAsia" w:ascii="仿宋_GB2312" w:hAnsi="仿宋_GB2312" w:eastAsia="仿宋_GB2312" w:cs="仿宋_GB2312"/>
          <w:color w:val="auto"/>
          <w:sz w:val="28"/>
          <w:szCs w:val="28"/>
        </w:rPr>
        <w:t>不断提升人民群众的</w:t>
      </w:r>
      <w:r>
        <w:rPr>
          <w:rFonts w:ascii="仿宋_GB2312" w:hAnsi="宋体" w:eastAsia="仿宋_GB2312" w:cs="仿宋_GB2312"/>
          <w:color w:val="000000"/>
          <w:kern w:val="0"/>
          <w:sz w:val="28"/>
          <w:szCs w:val="28"/>
          <w:lang w:val="en-US" w:eastAsia="zh-CN" w:bidi="ar"/>
        </w:rPr>
        <w:t>获得感、幸福感、安全感。</w:t>
      </w:r>
    </w:p>
    <w:p>
      <w:pPr>
        <w:pStyle w:val="8"/>
        <w:numPr>
          <w:ilvl w:val="0"/>
          <w:numId w:val="2"/>
        </w:numPr>
        <w:ind w:left="-323" w:leftChars="0" w:firstLine="883" w:firstLineChars="0"/>
        <w:rPr>
          <w:rFonts w:hint="eastAsia" w:ascii="仿宋_GB2312" w:hAnsi="仿宋_GB2312" w:cs="仿宋_GB2312"/>
          <w:color w:val="auto"/>
          <w:sz w:val="28"/>
          <w:szCs w:val="28"/>
          <w:lang w:val="en-US" w:eastAsia="zh-CN"/>
        </w:rPr>
      </w:pPr>
      <w:r>
        <w:rPr>
          <w:rFonts w:hint="eastAsia" w:ascii="仿宋_GB2312" w:hAnsi="仿宋_GB2312" w:cs="仿宋_GB2312"/>
          <w:color w:val="auto"/>
          <w:sz w:val="28"/>
          <w:szCs w:val="28"/>
          <w:lang w:val="en-US" w:eastAsia="zh-CN"/>
        </w:rPr>
        <w:t>打造“省级教育强县”，推进义务教育均衡发展的需要</w:t>
      </w:r>
    </w:p>
    <w:p>
      <w:pPr>
        <w:rPr>
          <w:rFonts w:hint="default" w:ascii="仿宋_GB2312" w:hAnsi="仿宋_GB2312" w:cs="仿宋_GB2312"/>
          <w:color w:val="auto"/>
          <w:sz w:val="28"/>
          <w:szCs w:val="28"/>
          <w:lang w:val="en-US" w:eastAsia="zh-CN"/>
        </w:rPr>
      </w:pPr>
      <w:r>
        <w:rPr>
          <w:rFonts w:hint="eastAsia" w:ascii="仿宋_GB2312" w:hAnsi="仿宋_GB2312" w:cs="仿宋_GB2312"/>
          <w:color w:val="auto"/>
          <w:sz w:val="28"/>
          <w:szCs w:val="28"/>
          <w:lang w:val="en-US" w:eastAsia="zh-CN"/>
        </w:rPr>
        <w:t>德化正着力打造“省级教育强县”和“全国义务教育发展优质均衡县”，争当“闽中区域教育发展排头兵”。重点内容就是推进学前教育普惠优质，推进义务教育均衡发展，推动高中教育内涵发展，推动其他教育协调发展。“十四五”期间，德化县将坚持把教育高质量发展放在优先位置，持续提高教育承载力，加快教育扩容提质步伐，规划新（扩）建一批学校，推动教育均衡配置，进一步满足人民群众对优质教育需求。本次成片开发范围内的教育用地为德化第五中学，属于德化“十四五”规划重点项目表中的迁建项目。计划新建48班中学，通过完善“名校＋新校”的办学模式，带动相对薄弱地区教育发展，不断扩增优质教育资源，缩小城乡校际差距，巩固九年义务教育成果，实现县域内义务教育优质均衡发展。</w:t>
      </w:r>
    </w:p>
    <w:p>
      <w:pPr>
        <w:pStyle w:val="8"/>
        <w:numPr>
          <w:ilvl w:val="0"/>
          <w:numId w:val="0"/>
        </w:numPr>
        <w:ind w:firstLine="560"/>
        <w:rPr>
          <w:rFonts w:hint="default" w:ascii="仿宋_GB2312" w:hAnsi="仿宋_GB2312" w:cs="仿宋_GB2312"/>
          <w:color w:val="auto"/>
          <w:sz w:val="28"/>
          <w:szCs w:val="28"/>
          <w:lang w:val="en-US" w:eastAsia="zh-CN"/>
        </w:rPr>
      </w:pPr>
      <w:r>
        <w:rPr>
          <w:rFonts w:hint="eastAsia" w:ascii="仿宋_GB2312" w:hAnsi="仿宋_GB2312" w:cs="仿宋_GB2312"/>
          <w:color w:val="auto"/>
          <w:sz w:val="28"/>
          <w:szCs w:val="28"/>
          <w:lang w:val="en-US" w:eastAsia="zh-CN"/>
        </w:rPr>
        <w:t>4、</w:t>
      </w:r>
      <w:r>
        <w:rPr>
          <w:rFonts w:hint="eastAsia" w:cstheme="minorBidi"/>
          <w:color w:val="auto"/>
          <w:kern w:val="0"/>
          <w:sz w:val="28"/>
          <w:szCs w:val="28"/>
          <w:highlight w:val="none"/>
          <w:lang w:val="en-US" w:eastAsia="zh-CN" w:bidi="ar-SA"/>
        </w:rPr>
        <w:t>完善交通基础设施建设，</w:t>
      </w:r>
      <w:r>
        <w:rPr>
          <w:rFonts w:hint="eastAsia" w:ascii="Times New Roman" w:hAnsi="Times New Roman" w:eastAsia="仿宋_GB2312" w:cstheme="minorBidi"/>
          <w:color w:val="auto"/>
          <w:kern w:val="0"/>
          <w:sz w:val="28"/>
          <w:szCs w:val="28"/>
          <w:lang w:val="en-US" w:eastAsia="zh-CN" w:bidi="ar-SA"/>
        </w:rPr>
        <w:t>提高土地利用集约化水平的需要</w:t>
      </w:r>
    </w:p>
    <w:bookmarkEnd w:id="21"/>
    <w:p>
      <w:pPr>
        <w:keepNext w:val="0"/>
        <w:keepLines w:val="0"/>
        <w:widowControl/>
        <w:suppressLineNumbers w:val="0"/>
        <w:jc w:val="left"/>
        <w:rPr>
          <w:rFonts w:hint="eastAsia" w:ascii="Times New Roman" w:hAnsi="Times New Roman" w:eastAsia="仿宋_GB2312" w:cstheme="minorBidi"/>
          <w:color w:val="auto"/>
          <w:kern w:val="0"/>
          <w:sz w:val="28"/>
          <w:szCs w:val="28"/>
          <w:lang w:val="en-US" w:eastAsia="zh-CN" w:bidi="ar-SA"/>
        </w:rPr>
      </w:pPr>
      <w:r>
        <w:rPr>
          <w:rFonts w:hint="eastAsia" w:ascii="Times New Roman" w:hAnsi="Times New Roman" w:eastAsia="仿宋_GB2312" w:cstheme="minorBidi"/>
          <w:color w:val="auto"/>
          <w:kern w:val="0"/>
          <w:sz w:val="28"/>
          <w:szCs w:val="28"/>
          <w:highlight w:val="none"/>
          <w:lang w:val="en-US" w:eastAsia="zh-CN" w:bidi="ar-SA"/>
        </w:rPr>
        <w:t>完善区域交通是实现经济社会发展的基础和保障</w:t>
      </w:r>
      <w:r>
        <w:rPr>
          <w:rFonts w:hint="eastAsia" w:cstheme="minorBidi"/>
          <w:color w:val="auto"/>
          <w:kern w:val="0"/>
          <w:sz w:val="28"/>
          <w:szCs w:val="28"/>
          <w:highlight w:val="none"/>
          <w:lang w:val="en-US" w:eastAsia="zh-CN" w:bidi="ar-SA"/>
        </w:rPr>
        <w:t>。</w:t>
      </w:r>
      <w:r>
        <w:rPr>
          <w:rFonts w:ascii="仿宋_GB2312" w:hAnsi="宋体" w:eastAsia="仿宋_GB2312" w:cs="仿宋_GB2312"/>
          <w:color w:val="000000"/>
          <w:kern w:val="0"/>
          <w:sz w:val="28"/>
          <w:szCs w:val="28"/>
          <w:lang w:val="en-US" w:eastAsia="zh-CN" w:bidi="ar"/>
        </w:rPr>
        <w:t>德化县目前依托环城路串联由城东、城西、城南、城北构成的主</w:t>
      </w:r>
      <w:r>
        <w:rPr>
          <w:rFonts w:hint="eastAsia" w:ascii="仿宋_GB2312" w:hAnsi="宋体" w:eastAsia="仿宋_GB2312" w:cs="仿宋_GB2312"/>
          <w:color w:val="000000"/>
          <w:kern w:val="0"/>
          <w:sz w:val="28"/>
          <w:szCs w:val="28"/>
          <w:lang w:val="en-US" w:eastAsia="zh-CN" w:bidi="ar"/>
        </w:rPr>
        <w:t>城区，但顺畅连通周边特色卫星组团及各组团之间串接联动的内外交通体系尚未完全成形。</w:t>
      </w:r>
      <w:r>
        <w:rPr>
          <w:rFonts w:hint="eastAsia" w:ascii="Times New Roman" w:hAnsi="Times New Roman" w:eastAsia="仿宋_GB2312" w:cstheme="minorBidi"/>
          <w:color w:val="auto"/>
          <w:kern w:val="0"/>
          <w:sz w:val="28"/>
          <w:szCs w:val="28"/>
          <w:highlight w:val="none"/>
          <w:lang w:val="en-US" w:eastAsia="zh-CN" w:bidi="ar-SA"/>
        </w:rPr>
        <w:t>本片区规划注重协调与相邻片区的对接、共享，通过</w:t>
      </w:r>
      <w:r>
        <w:rPr>
          <w:rFonts w:hint="eastAsia" w:cstheme="minorBidi"/>
          <w:color w:val="auto"/>
          <w:kern w:val="0"/>
          <w:sz w:val="28"/>
          <w:szCs w:val="28"/>
          <w:highlight w:val="none"/>
          <w:lang w:val="en-US" w:eastAsia="zh-CN" w:bidi="ar-SA"/>
        </w:rPr>
        <w:t>城后中路等路段</w:t>
      </w:r>
      <w:r>
        <w:rPr>
          <w:rFonts w:hint="eastAsia" w:ascii="Times New Roman" w:hAnsi="Times New Roman" w:eastAsia="仿宋_GB2312" w:cstheme="minorBidi"/>
          <w:color w:val="auto"/>
          <w:kern w:val="0"/>
          <w:sz w:val="28"/>
          <w:szCs w:val="28"/>
          <w:highlight w:val="none"/>
          <w:lang w:val="en-US" w:eastAsia="zh-CN" w:bidi="ar-SA"/>
        </w:rPr>
        <w:t>的建设，实现片区与城市主干路的贯通，</w:t>
      </w:r>
      <w:r>
        <w:rPr>
          <w:rFonts w:hint="eastAsia" w:ascii="仿宋_GB2312" w:hAnsi="仿宋_GB2312" w:eastAsia="仿宋_GB2312" w:cs="仿宋_GB2312"/>
          <w:color w:val="auto"/>
          <w:kern w:val="0"/>
          <w:sz w:val="28"/>
          <w:szCs w:val="28"/>
          <w:highlight w:val="none"/>
          <w:lang w:val="en-US" w:eastAsia="zh-CN" w:bidi="ar-SA"/>
        </w:rPr>
        <w:t>提高片区的交通便捷度</w:t>
      </w:r>
      <w:r>
        <w:rPr>
          <w:rFonts w:hint="eastAsia" w:ascii="仿宋_GB2312" w:hAnsi="仿宋_GB2312" w:cs="仿宋_GB2312"/>
          <w:color w:val="auto"/>
          <w:kern w:val="0"/>
          <w:sz w:val="28"/>
          <w:szCs w:val="28"/>
          <w:highlight w:val="none"/>
          <w:lang w:val="en-US" w:eastAsia="zh-CN" w:bidi="ar-SA"/>
        </w:rPr>
        <w:t>，激活新寨片区对外互联互通。同时，</w:t>
      </w:r>
      <w:r>
        <w:rPr>
          <w:rFonts w:hint="eastAsia" w:ascii="Times New Roman" w:hAnsi="Times New Roman" w:eastAsia="仿宋_GB2312" w:cstheme="minorBidi"/>
          <w:color w:val="auto"/>
          <w:kern w:val="0"/>
          <w:sz w:val="28"/>
          <w:szCs w:val="28"/>
          <w:lang w:val="en-US" w:eastAsia="zh-CN" w:bidi="ar-SA"/>
        </w:rPr>
        <w:t>本次成片开发建设</w:t>
      </w:r>
      <w:r>
        <w:rPr>
          <w:rFonts w:hint="eastAsia"/>
          <w:kern w:val="0"/>
          <w:szCs w:val="28"/>
          <w:lang w:val="en-US" w:eastAsia="zh-CN"/>
        </w:rPr>
        <w:t>权衡区域内可开发用地规模，盘活土地资源，</w:t>
      </w:r>
      <w:r>
        <w:rPr>
          <w:rFonts w:hint="eastAsia" w:ascii="Times New Roman" w:hAnsi="Times New Roman" w:eastAsia="仿宋_GB2312" w:cstheme="minorBidi"/>
          <w:color w:val="auto"/>
          <w:kern w:val="0"/>
          <w:sz w:val="28"/>
          <w:szCs w:val="28"/>
          <w:lang w:val="en-US" w:eastAsia="zh-CN" w:bidi="ar-SA"/>
        </w:rPr>
        <w:t>依据城市规划，</w:t>
      </w:r>
      <w:r>
        <w:rPr>
          <w:rFonts w:hint="eastAsia" w:cstheme="minorBidi"/>
          <w:color w:val="auto"/>
          <w:kern w:val="0"/>
          <w:sz w:val="28"/>
          <w:szCs w:val="28"/>
          <w:lang w:val="en-US" w:eastAsia="zh-CN" w:bidi="ar-SA"/>
        </w:rPr>
        <w:t>分期实施，集约开发，高效利用，</w:t>
      </w:r>
      <w:r>
        <w:rPr>
          <w:rFonts w:hint="eastAsia"/>
          <w:color w:val="auto"/>
          <w:kern w:val="0"/>
          <w:szCs w:val="28"/>
        </w:rPr>
        <w:t>合理确定容积率，</w:t>
      </w:r>
      <w:r>
        <w:rPr>
          <w:rFonts w:hint="eastAsia" w:ascii="Times New Roman" w:hAnsi="Times New Roman" w:eastAsia="仿宋_GB2312" w:cstheme="minorBidi"/>
          <w:color w:val="auto"/>
          <w:kern w:val="0"/>
          <w:sz w:val="28"/>
          <w:szCs w:val="28"/>
          <w:lang w:val="en-US" w:eastAsia="zh-CN" w:bidi="ar-SA"/>
        </w:rPr>
        <w:t>将土地这一稀缺资源的空间利用发挥到最大</w:t>
      </w:r>
      <w:r>
        <w:rPr>
          <w:rFonts w:hint="eastAsia" w:cstheme="minorBidi"/>
          <w:color w:val="auto"/>
          <w:kern w:val="0"/>
          <w:sz w:val="28"/>
          <w:szCs w:val="28"/>
          <w:lang w:val="en-US" w:eastAsia="zh-CN" w:bidi="ar-SA"/>
        </w:rPr>
        <w:t>，</w:t>
      </w:r>
      <w:r>
        <w:rPr>
          <w:rFonts w:hint="eastAsia" w:ascii="Times New Roman" w:hAnsi="Times New Roman" w:eastAsia="仿宋_GB2312" w:cstheme="minorBidi"/>
          <w:color w:val="auto"/>
          <w:kern w:val="0"/>
          <w:sz w:val="28"/>
          <w:szCs w:val="28"/>
          <w:lang w:val="en-US" w:eastAsia="zh-CN" w:bidi="ar-SA"/>
        </w:rPr>
        <w:t>大幅度提升其原有价值，带动周边土地开发。</w:t>
      </w:r>
    </w:p>
    <w:p>
      <w:pPr>
        <w:keepNext w:val="0"/>
        <w:keepLines w:val="0"/>
        <w:pageBreakBefore w:val="0"/>
        <w:widowControl/>
        <w:kinsoku/>
        <w:wordWrap/>
        <w:overflowPunct/>
        <w:topLinePunct w:val="0"/>
        <w:bidi w:val="0"/>
        <w:snapToGrid/>
        <w:spacing w:beforeLines="50" w:afterLines="50"/>
        <w:ind w:firstLine="0" w:firstLineChars="0"/>
        <w:textAlignment w:val="auto"/>
        <w:outlineLvl w:val="1"/>
        <w:rPr>
          <w:rFonts w:hint="eastAsia" w:cs="仿宋_GB2312"/>
          <w:b/>
          <w:bCs/>
          <w:sz w:val="30"/>
          <w:szCs w:val="30"/>
          <w:lang w:val="en-US" w:eastAsia="zh-CN"/>
        </w:rPr>
      </w:pPr>
      <w:bookmarkStart w:id="22" w:name="_Toc25478"/>
      <w:r>
        <w:rPr>
          <w:rFonts w:hint="eastAsia" w:cs="仿宋_GB2312"/>
          <w:b/>
          <w:bCs/>
          <w:sz w:val="30"/>
          <w:szCs w:val="30"/>
          <w:lang w:val="en-US" w:eastAsia="zh-CN"/>
        </w:rPr>
        <w:t>（二）科学合理性</w:t>
      </w:r>
      <w:bookmarkEnd w:id="22"/>
    </w:p>
    <w:p>
      <w:pPr>
        <w:keepNext w:val="0"/>
        <w:keepLines w:val="0"/>
        <w:pageBreakBefore w:val="0"/>
        <w:widowControl/>
        <w:suppressLineNumbers w:val="0"/>
        <w:kinsoku/>
        <w:wordWrap/>
        <w:overflowPunct/>
        <w:topLinePunct w:val="0"/>
        <w:bidi w:val="0"/>
        <w:snapToGrid/>
        <w:jc w:val="left"/>
        <w:rPr>
          <w:rFonts w:hint="eastAsia" w:ascii="Times New Roman" w:hAnsi="Times New Roman"/>
          <w:kern w:val="0"/>
          <w:szCs w:val="28"/>
          <w:lang w:val="en-US" w:eastAsia="zh-CN"/>
        </w:rPr>
      </w:pPr>
      <w:bookmarkStart w:id="23" w:name="_Toc5585"/>
      <w:r>
        <w:rPr>
          <w:rFonts w:hint="eastAsia" w:ascii="Times New Roman" w:hAnsi="Times New Roman"/>
          <w:kern w:val="0"/>
          <w:szCs w:val="28"/>
          <w:lang w:val="en-US" w:eastAsia="zh-CN"/>
        </w:rPr>
        <w:t>1、科学性分析</w:t>
      </w:r>
    </w:p>
    <w:p>
      <w:pPr>
        <w:pStyle w:val="2"/>
        <w:rPr>
          <w:rFonts w:hint="default"/>
          <w:lang w:val="en-US" w:eastAsia="zh-CN"/>
        </w:rPr>
      </w:pPr>
      <w:r>
        <w:rPr>
          <w:rFonts w:hint="eastAsia" w:ascii="Times New Roman" w:hAnsi="Times New Roman"/>
          <w:kern w:val="0"/>
          <w:szCs w:val="28"/>
          <w:lang w:val="en-US" w:eastAsia="zh-CN"/>
        </w:rPr>
        <w:t>（1）</w:t>
      </w:r>
      <w:r>
        <w:rPr>
          <w:rFonts w:hint="eastAsia" w:ascii="Times New Roman" w:hAnsi="Times New Roman"/>
        </w:rPr>
        <w:t>选址合理</w:t>
      </w:r>
    </w:p>
    <w:bookmarkEnd w:id="23"/>
    <w:p>
      <w:pPr>
        <w:keepNext w:val="0"/>
        <w:keepLines w:val="0"/>
        <w:pageBreakBefore w:val="0"/>
        <w:widowControl/>
        <w:suppressLineNumbers w:val="0"/>
        <w:shd w:val="clear"/>
        <w:kinsoku/>
        <w:wordWrap/>
        <w:overflowPunct/>
        <w:topLinePunct w:val="0"/>
        <w:bidi w:val="0"/>
        <w:snapToGrid/>
        <w:jc w:val="left"/>
        <w:rPr>
          <w:rFonts w:hint="eastAsia" w:ascii="Times New Roman" w:hAnsi="Times New Roman"/>
          <w:color w:val="auto"/>
          <w:kern w:val="0"/>
          <w:szCs w:val="28"/>
          <w:lang w:val="en-US" w:eastAsia="zh-CN"/>
        </w:rPr>
      </w:pPr>
      <w:r>
        <w:rPr>
          <w:rFonts w:hint="eastAsia" w:ascii="Times New Roman" w:hAnsi="Times New Roman"/>
          <w:color w:val="auto"/>
          <w:kern w:val="0"/>
          <w:szCs w:val="28"/>
          <w:lang w:val="en-US" w:eastAsia="zh-CN"/>
        </w:rPr>
        <w:t>本次成片开发位于德化县浔中镇浔中村，</w:t>
      </w:r>
      <w:r>
        <w:rPr>
          <w:rFonts w:hint="eastAsia"/>
          <w:color w:val="auto"/>
          <w:kern w:val="0"/>
          <w:szCs w:val="28"/>
          <w:lang w:val="en-US" w:eastAsia="zh-CN"/>
        </w:rPr>
        <w:t>临近北环路，</w:t>
      </w:r>
      <w:r>
        <w:rPr>
          <w:rFonts w:hint="eastAsia" w:ascii="Times New Roman" w:hAnsi="Times New Roman"/>
          <w:color w:val="auto"/>
          <w:kern w:val="0"/>
          <w:szCs w:val="28"/>
          <w:lang w:val="en-US" w:eastAsia="zh-CN"/>
        </w:rPr>
        <w:t>交通便捷，适宜成片开发。片区位于《德化县城南 • 城北片区控制性详细规划》及《德化县城西片区控制性详细规划》确定的陶瓷科教及综合居住功能区域。</w:t>
      </w:r>
      <w:r>
        <w:rPr>
          <w:rFonts w:hint="eastAsia"/>
          <w:color w:val="auto"/>
          <w:kern w:val="0"/>
          <w:szCs w:val="28"/>
          <w:lang w:val="en-US" w:eastAsia="zh-CN"/>
        </w:rPr>
        <w:t>片区功能定位与用地空间结构符合规划管控要求。</w:t>
      </w:r>
      <w:r>
        <w:rPr>
          <w:rFonts w:hint="eastAsia" w:ascii="Times New Roman" w:hAnsi="Times New Roman"/>
          <w:color w:val="auto"/>
          <w:kern w:val="0"/>
          <w:szCs w:val="28"/>
          <w:lang w:val="en-US" w:eastAsia="zh-CN"/>
        </w:rPr>
        <w:t>片区周边已有职业教育学校</w:t>
      </w:r>
      <w:r>
        <w:rPr>
          <w:rFonts w:hint="eastAsia"/>
          <w:color w:val="auto"/>
          <w:kern w:val="0"/>
          <w:szCs w:val="28"/>
          <w:lang w:val="en-US" w:eastAsia="zh-CN"/>
        </w:rPr>
        <w:t>、</w:t>
      </w:r>
      <w:r>
        <w:rPr>
          <w:rFonts w:hint="eastAsia" w:ascii="Times New Roman" w:hAnsi="Times New Roman"/>
          <w:color w:val="auto"/>
          <w:kern w:val="0"/>
          <w:szCs w:val="28"/>
          <w:lang w:val="en-US" w:eastAsia="zh-CN"/>
        </w:rPr>
        <w:t>幼儿园、小学。成片开发的实施将推动片区与周边联动发展，进一步缓解片区居住及教育资源不足的问题。综上，本次成片开发选址合理，适宜成片开发。</w:t>
      </w:r>
    </w:p>
    <w:p>
      <w:pPr>
        <w:ind w:firstLine="560"/>
        <w:rPr>
          <w:rFonts w:hint="default" w:ascii="Times New Roman" w:hAnsi="Times New Roman"/>
          <w:kern w:val="0"/>
          <w:szCs w:val="28"/>
          <w:lang w:val="en-US" w:eastAsia="zh-CN"/>
        </w:rPr>
      </w:pPr>
      <w:r>
        <w:rPr>
          <w:rFonts w:hint="eastAsia" w:ascii="Times New Roman" w:hAnsi="Times New Roman"/>
          <w:kern w:val="0"/>
          <w:szCs w:val="28"/>
          <w:lang w:val="en-US" w:eastAsia="zh-CN"/>
        </w:rPr>
        <w:t>（2）</w:t>
      </w:r>
      <w:r>
        <w:rPr>
          <w:rFonts w:hint="eastAsia"/>
          <w:kern w:val="0"/>
          <w:szCs w:val="28"/>
          <w:lang w:val="en-US" w:eastAsia="zh-CN"/>
        </w:rPr>
        <w:t>规划范围合理</w:t>
      </w:r>
    </w:p>
    <w:p>
      <w:pPr>
        <w:keepNext w:val="0"/>
        <w:keepLines w:val="0"/>
        <w:pageBreakBefore w:val="0"/>
        <w:widowControl/>
        <w:suppressLineNumbers w:val="0"/>
        <w:shd w:val="clear"/>
        <w:kinsoku/>
        <w:wordWrap/>
        <w:overflowPunct/>
        <w:topLinePunct w:val="0"/>
        <w:bidi w:val="0"/>
        <w:snapToGrid/>
        <w:jc w:val="left"/>
        <w:rPr>
          <w:rFonts w:hint="eastAsia" w:ascii="Times New Roman" w:hAnsi="Times New Roman"/>
          <w:color w:val="auto"/>
          <w:kern w:val="0"/>
          <w:szCs w:val="28"/>
          <w:lang w:val="en-US" w:eastAsia="zh-CN"/>
        </w:rPr>
      </w:pPr>
      <w:r>
        <w:rPr>
          <w:rFonts w:hint="default" w:cs="Times New Roman"/>
          <w:color w:val="auto"/>
          <w:kern w:val="0"/>
          <w:szCs w:val="28"/>
          <w:lang w:val="en-US" w:eastAsia="zh-CN"/>
        </w:rPr>
        <w:t>本</w:t>
      </w:r>
      <w:r>
        <w:rPr>
          <w:rFonts w:hint="eastAsia" w:cs="Times New Roman"/>
          <w:color w:val="auto"/>
          <w:kern w:val="0"/>
          <w:szCs w:val="28"/>
          <w:lang w:val="en-US" w:eastAsia="zh-CN"/>
        </w:rPr>
        <w:t>次</w:t>
      </w:r>
      <w:r>
        <w:rPr>
          <w:rFonts w:hint="default" w:cs="Times New Roman"/>
          <w:color w:val="auto"/>
          <w:kern w:val="0"/>
          <w:szCs w:val="28"/>
          <w:lang w:val="en-US" w:eastAsia="zh-CN"/>
        </w:rPr>
        <w:t>成片开发为一个完整的片区，面积大于</w:t>
      </w:r>
      <w:r>
        <w:rPr>
          <w:rFonts w:hint="eastAsia" w:cs="Times New Roman"/>
          <w:color w:val="auto"/>
          <w:kern w:val="0"/>
          <w:szCs w:val="28"/>
          <w:lang w:val="en-US" w:eastAsia="zh-CN"/>
        </w:rPr>
        <w:t>4</w:t>
      </w:r>
      <w:r>
        <w:rPr>
          <w:rFonts w:hint="default" w:cs="Times New Roman"/>
          <w:color w:val="auto"/>
          <w:kern w:val="0"/>
          <w:szCs w:val="28"/>
          <w:lang w:val="en-US" w:eastAsia="zh-CN"/>
        </w:rPr>
        <w:t>公顷，</w:t>
      </w:r>
      <w:r>
        <w:rPr>
          <w:rFonts w:hint="eastAsia" w:cstheme="minorBidi"/>
          <w:kern w:val="0"/>
          <w:sz w:val="28"/>
          <w:szCs w:val="28"/>
          <w:shd w:val="clear"/>
          <w:lang w:val="en-US" w:eastAsia="zh-CN" w:bidi="ar-SA"/>
        </w:rPr>
        <w:t>用地结构合理，符合部省规定。</w:t>
      </w:r>
      <w:r>
        <w:rPr>
          <w:rFonts w:hint="default" w:cs="Times New Roman"/>
          <w:color w:val="auto"/>
          <w:kern w:val="0"/>
          <w:szCs w:val="28"/>
          <w:lang w:val="en-US" w:eastAsia="zh-CN"/>
        </w:rPr>
        <w:t>未涉及占用永久基本农田、生态保护红线、自然保护地、生态公益林等法律法规规定不允许占用或开发的区域，符合国家《土地征收成片开发标准（试行）》、《福建省土地征收成片开发方案报批实施细则（试行）》的要求。</w:t>
      </w:r>
      <w:r>
        <w:rPr>
          <w:rFonts w:hint="eastAsia" w:ascii="Times New Roman" w:hAnsi="Times New Roman"/>
          <w:color w:val="auto"/>
          <w:kern w:val="0"/>
          <w:szCs w:val="28"/>
          <w:lang w:val="en-US" w:eastAsia="zh-CN"/>
        </w:rPr>
        <w:t>综上，本次成片开发</w:t>
      </w:r>
      <w:r>
        <w:rPr>
          <w:rFonts w:hint="eastAsia"/>
          <w:kern w:val="0"/>
          <w:szCs w:val="28"/>
          <w:lang w:val="en-US" w:eastAsia="zh-CN"/>
        </w:rPr>
        <w:t>规划范围合理</w:t>
      </w:r>
      <w:r>
        <w:rPr>
          <w:rFonts w:hint="eastAsia" w:ascii="Times New Roman" w:hAnsi="Times New Roman"/>
          <w:color w:val="auto"/>
          <w:kern w:val="0"/>
          <w:szCs w:val="28"/>
          <w:lang w:val="en-US" w:eastAsia="zh-CN"/>
        </w:rPr>
        <w:t>。</w:t>
      </w:r>
    </w:p>
    <w:p>
      <w:pPr>
        <w:ind w:firstLine="560"/>
        <w:rPr>
          <w:rFonts w:hint="eastAsia" w:cstheme="minorBidi"/>
          <w:kern w:val="0"/>
          <w:sz w:val="28"/>
          <w:szCs w:val="28"/>
          <w:shd w:val="clear"/>
          <w:lang w:val="en-US" w:eastAsia="zh-CN" w:bidi="ar-SA"/>
        </w:rPr>
      </w:pPr>
      <w:r>
        <w:rPr>
          <w:rFonts w:hint="eastAsia" w:ascii="Times New Roman" w:hAnsi="Times New Roman"/>
          <w:kern w:val="0"/>
          <w:szCs w:val="28"/>
          <w:lang w:val="en-US" w:eastAsia="zh-CN"/>
        </w:rPr>
        <w:t>（</w:t>
      </w:r>
      <w:r>
        <w:rPr>
          <w:rFonts w:hint="eastAsia"/>
          <w:kern w:val="0"/>
          <w:szCs w:val="28"/>
          <w:lang w:val="en-US" w:eastAsia="zh-CN"/>
        </w:rPr>
        <w:t>3</w:t>
      </w:r>
      <w:r>
        <w:rPr>
          <w:rFonts w:hint="eastAsia" w:ascii="Times New Roman" w:hAnsi="Times New Roman"/>
          <w:kern w:val="0"/>
          <w:szCs w:val="28"/>
          <w:lang w:val="en-US" w:eastAsia="zh-CN"/>
        </w:rPr>
        <w:t>）</w:t>
      </w:r>
      <w:r>
        <w:rPr>
          <w:rFonts w:hint="eastAsia" w:cs="Times New Roman"/>
          <w:color w:val="auto"/>
          <w:kern w:val="0"/>
          <w:szCs w:val="28"/>
          <w:lang w:val="en-US" w:eastAsia="zh-CN"/>
        </w:rPr>
        <w:t>规划方案合理</w:t>
      </w:r>
    </w:p>
    <w:p>
      <w:pPr>
        <w:ind w:firstLine="560"/>
        <w:rPr>
          <w:rFonts w:hint="eastAsia" w:cstheme="minorBidi"/>
          <w:kern w:val="0"/>
          <w:sz w:val="28"/>
          <w:szCs w:val="28"/>
          <w:shd w:val="clear"/>
          <w:lang w:val="en-US" w:eastAsia="zh-CN" w:bidi="ar-SA"/>
        </w:rPr>
      </w:pPr>
      <w:r>
        <w:rPr>
          <w:rFonts w:hint="eastAsia"/>
          <w:color w:val="auto"/>
          <w:kern w:val="0"/>
          <w:szCs w:val="28"/>
          <w:lang w:val="en-US" w:eastAsia="zh-CN"/>
        </w:rPr>
        <w:t>本次成片开发拟打造居住、教育为主的宜居功能片区，</w:t>
      </w:r>
      <w:r>
        <w:rPr>
          <w:rFonts w:hint="eastAsia" w:ascii="Times New Roman" w:hAnsi="Times New Roman"/>
        </w:rPr>
        <w:t>符合</w:t>
      </w:r>
      <w:r>
        <w:rPr>
          <w:rFonts w:hint="eastAsia" w:ascii="Times New Roman" w:hAnsi="Times New Roman"/>
          <w:lang w:val="en-US" w:eastAsia="zh-CN"/>
        </w:rPr>
        <w:t>德化</w:t>
      </w:r>
      <w:r>
        <w:rPr>
          <w:rFonts w:hint="default" w:cs="Times New Roman"/>
          <w:color w:val="auto"/>
          <w:kern w:val="0"/>
          <w:szCs w:val="28"/>
          <w:lang w:val="en-US" w:eastAsia="zh-CN"/>
        </w:rPr>
        <w:t>现行国民经济和社会发展规划的发展定位和要求，</w:t>
      </w:r>
      <w:r>
        <w:rPr>
          <w:rFonts w:hint="eastAsia"/>
          <w:color w:val="auto"/>
          <w:kern w:val="0"/>
          <w:szCs w:val="28"/>
          <w:lang w:val="en-US" w:eastAsia="zh-CN"/>
        </w:rPr>
        <w:t>已纳入德化县2022年度国民经济和社会发展年度计划。</w:t>
      </w:r>
      <w:r>
        <w:rPr>
          <w:rFonts w:hint="eastAsia" w:cstheme="minorBidi"/>
          <w:kern w:val="0"/>
          <w:sz w:val="28"/>
          <w:szCs w:val="28"/>
          <w:shd w:val="clear"/>
          <w:lang w:val="en-US" w:eastAsia="zh-CN" w:bidi="ar-SA"/>
        </w:rPr>
        <w:t>方案</w:t>
      </w:r>
      <w:r>
        <w:rPr>
          <w:rFonts w:hint="eastAsia"/>
          <w:color w:val="auto"/>
          <w:kern w:val="0"/>
          <w:szCs w:val="28"/>
          <w:lang w:val="en-US" w:eastAsia="zh-CN"/>
        </w:rPr>
        <w:t>规划公益性用地占比超40%，用地结构合理，符合部省规定。</w:t>
      </w:r>
      <w:bookmarkStart w:id="24" w:name="_Toc28289"/>
      <w:r>
        <w:rPr>
          <w:rFonts w:hint="eastAsia"/>
          <w:color w:val="auto"/>
          <w:kern w:val="0"/>
          <w:szCs w:val="28"/>
          <w:lang w:val="en-US" w:eastAsia="zh-CN"/>
        </w:rPr>
        <w:t>成片开发实施后有利于提升</w:t>
      </w:r>
      <w:r>
        <w:rPr>
          <w:rFonts w:hint="eastAsia" w:cstheme="minorBidi"/>
          <w:kern w:val="0"/>
          <w:sz w:val="28"/>
          <w:szCs w:val="28"/>
          <w:shd w:val="clear"/>
          <w:lang w:val="en-US" w:eastAsia="zh-CN" w:bidi="ar-SA"/>
        </w:rPr>
        <w:t>德化城市建设形象，完善区域各项基础设施，推动城镇化健康发展。</w:t>
      </w:r>
    </w:p>
    <w:p>
      <w:pPr>
        <w:keepNext w:val="0"/>
        <w:keepLines w:val="0"/>
        <w:pageBreakBefore w:val="0"/>
        <w:widowControl/>
        <w:suppressLineNumbers w:val="0"/>
        <w:kinsoku/>
        <w:wordWrap/>
        <w:overflowPunct/>
        <w:topLinePunct w:val="0"/>
        <w:bidi w:val="0"/>
        <w:snapToGrid/>
        <w:jc w:val="left"/>
        <w:textAlignment w:val="auto"/>
        <w:rPr>
          <w:rFonts w:hint="eastAsia"/>
          <w:kern w:val="0"/>
          <w:szCs w:val="28"/>
          <w:lang w:val="en-US" w:eastAsia="zh-CN"/>
        </w:rPr>
      </w:pPr>
      <w:r>
        <w:rPr>
          <w:rFonts w:hint="eastAsia"/>
          <w:kern w:val="0"/>
          <w:szCs w:val="28"/>
          <w:lang w:val="en-US" w:eastAsia="zh-CN"/>
        </w:rPr>
        <w:t>2、环境合理性分析</w:t>
      </w:r>
      <w:bookmarkEnd w:id="24"/>
    </w:p>
    <w:p>
      <w:pPr>
        <w:keepNext w:val="0"/>
        <w:keepLines w:val="0"/>
        <w:pageBreakBefore w:val="0"/>
        <w:widowControl/>
        <w:suppressLineNumbers w:val="0"/>
        <w:kinsoku/>
        <w:wordWrap/>
        <w:overflowPunct/>
        <w:topLinePunct w:val="0"/>
        <w:bidi w:val="0"/>
        <w:snapToGrid/>
        <w:jc w:val="left"/>
        <w:textAlignment w:val="auto"/>
        <w:rPr>
          <w:rFonts w:hint="default"/>
          <w:kern w:val="0"/>
          <w:szCs w:val="28"/>
          <w:lang w:val="en-US" w:eastAsia="zh-CN"/>
        </w:rPr>
      </w:pPr>
      <w:r>
        <w:rPr>
          <w:rFonts w:hint="eastAsia"/>
          <w:kern w:val="0"/>
          <w:szCs w:val="28"/>
          <w:lang w:val="en-US" w:eastAsia="zh-CN"/>
        </w:rPr>
        <w:t>（1）水环境影响评估</w:t>
      </w:r>
    </w:p>
    <w:p>
      <w:pPr>
        <w:rPr>
          <w:rFonts w:hint="eastAsia"/>
          <w:kern w:val="0"/>
          <w:szCs w:val="28"/>
          <w:lang w:val="en-US" w:eastAsia="zh-CN"/>
        </w:rPr>
      </w:pPr>
      <w:r>
        <w:rPr>
          <w:rFonts w:hint="eastAsia" w:cstheme="minorBidi"/>
          <w:color w:val="auto"/>
          <w:kern w:val="0"/>
          <w:sz w:val="28"/>
          <w:szCs w:val="28"/>
          <w:lang w:val="en-US" w:eastAsia="zh-CN" w:bidi="ar-SA"/>
        </w:rPr>
        <w:t>德化县人民政府承诺在土地开发利用、规划等过程中，将严格按照相关法律法规，积极落实水环境保护措施，确保满足周边及下游水环境质量与安全要求。</w:t>
      </w:r>
      <w:r>
        <w:rPr>
          <w:rFonts w:hint="eastAsia"/>
          <w:lang w:val="en-US" w:eastAsia="zh-CN"/>
        </w:rPr>
        <w:t>项目区采用封闭施工，生产用水主要为混凝土搅拌机及路面、土方喷淋水等，这类废水水量较小，污染物组成简单，仅含少量混砂，不含其他杂质。这类废水一般采用排水沟引流、沉砂池沉淀，澄清后流入至周边排水系统，对污水处理厂负荷及最终收纳水体影响甚微，</w:t>
      </w:r>
      <w:r>
        <w:rPr>
          <w:rFonts w:hint="eastAsia"/>
          <w:kern w:val="0"/>
          <w:szCs w:val="28"/>
          <w:lang w:val="en-US" w:eastAsia="zh-CN"/>
        </w:rPr>
        <w:t>片区建设对周边地表水环境基本无影响。同时，片区建设将完善市政管网配套，排水采用雨污分流，项目运营后产生的生活污水经由市政排水管网输送至污水处理厂消纳处理达标后安全排放，减少生活污水泄露风险，并提高污水处理率，确保地块开发建设对地表水环境影响处于低水平。</w:t>
      </w:r>
    </w:p>
    <w:p>
      <w:pPr>
        <w:keepNext w:val="0"/>
        <w:keepLines w:val="0"/>
        <w:pageBreakBefore w:val="0"/>
        <w:widowControl/>
        <w:suppressLineNumbers w:val="0"/>
        <w:kinsoku/>
        <w:wordWrap/>
        <w:overflowPunct/>
        <w:topLinePunct w:val="0"/>
        <w:bidi w:val="0"/>
        <w:snapToGrid/>
        <w:jc w:val="left"/>
        <w:textAlignment w:val="auto"/>
        <w:rPr>
          <w:rFonts w:hint="eastAsia"/>
          <w:kern w:val="0"/>
          <w:szCs w:val="28"/>
          <w:lang w:val="en-US" w:eastAsia="zh-CN"/>
        </w:rPr>
      </w:pPr>
      <w:r>
        <w:rPr>
          <w:rFonts w:hint="eastAsia"/>
          <w:kern w:val="0"/>
          <w:szCs w:val="28"/>
          <w:lang w:val="en-US" w:eastAsia="zh-CN"/>
        </w:rPr>
        <w:t>（2）土壤环境影响评估</w:t>
      </w:r>
    </w:p>
    <w:p>
      <w:pPr>
        <w:keepNext w:val="0"/>
        <w:keepLines w:val="0"/>
        <w:pageBreakBefore w:val="0"/>
        <w:widowControl/>
        <w:suppressLineNumbers w:val="0"/>
        <w:kinsoku/>
        <w:wordWrap/>
        <w:overflowPunct/>
        <w:topLinePunct w:val="0"/>
        <w:bidi w:val="0"/>
        <w:snapToGrid/>
        <w:jc w:val="left"/>
        <w:textAlignment w:val="auto"/>
        <w:rPr>
          <w:rFonts w:hint="eastAsia" w:cs="仿宋_GB2312"/>
          <w:b/>
          <w:bCs/>
          <w:sz w:val="32"/>
          <w:szCs w:val="32"/>
        </w:rPr>
      </w:pPr>
      <w:r>
        <w:rPr>
          <w:rFonts w:hint="eastAsia"/>
          <w:lang w:val="en-US" w:eastAsia="zh-CN"/>
        </w:rPr>
        <w:t>本次开发涉及土地变更为居住用地及公共管理与公共服务用地，依照《中华人民共和国土壤污染防治法》要求，“涉及用途变更为住宅、公共管理与公共服务用地的，变更前应当依法进行土壤污染状况调查”。项目开发前将依法进行土壤污染状况调查，确保符合规划用途土壤环境质量要求。同时，</w:t>
      </w:r>
      <w:r>
        <w:rPr>
          <w:rFonts w:hint="eastAsia"/>
          <w:kern w:val="0"/>
          <w:szCs w:val="28"/>
          <w:lang w:val="en-US" w:eastAsia="zh-CN"/>
        </w:rPr>
        <w:t>依照《中华人民共和国土壤污染防治法》相关规定，对开发建设过程中剥离的表土单独收集和存放，符合条件无污染的，优先用于土地复垦，土地改良、造地和绿化等，禁止将重金属或者其他有毒有害物质含量超标的工业固体废物、生活垃圾或者污染土壤用于土地复垦。</w:t>
      </w:r>
    </w:p>
    <w:p>
      <w:pPr>
        <w:keepNext w:val="0"/>
        <w:keepLines w:val="0"/>
        <w:pageBreakBefore w:val="0"/>
        <w:widowControl/>
        <w:numPr>
          <w:ilvl w:val="0"/>
          <w:numId w:val="0"/>
        </w:numPr>
        <w:shd w:val="clear"/>
        <w:kinsoku/>
        <w:wordWrap/>
        <w:overflowPunct/>
        <w:topLinePunct w:val="0"/>
        <w:bidi w:val="0"/>
        <w:snapToGrid/>
        <w:spacing w:beforeLines="50" w:afterLines="50"/>
        <w:textAlignment w:val="auto"/>
        <w:outlineLvl w:val="0"/>
        <w:rPr>
          <w:rFonts w:hint="eastAsia" w:cs="仿宋_GB2312"/>
          <w:b/>
          <w:bCs/>
          <w:sz w:val="32"/>
          <w:szCs w:val="32"/>
        </w:rPr>
      </w:pPr>
      <w:bookmarkStart w:id="25" w:name="_Toc8381"/>
      <w:r>
        <w:rPr>
          <w:rFonts w:hint="eastAsia" w:cs="仿宋_GB2312"/>
          <w:b/>
          <w:bCs/>
          <w:sz w:val="32"/>
          <w:szCs w:val="32"/>
          <w:lang w:val="en-US" w:eastAsia="zh-CN"/>
        </w:rPr>
        <w:t>五、</w:t>
      </w:r>
      <w:r>
        <w:rPr>
          <w:rFonts w:hint="eastAsia" w:cs="仿宋_GB2312"/>
          <w:b/>
          <w:bCs/>
          <w:sz w:val="32"/>
          <w:szCs w:val="32"/>
        </w:rPr>
        <w:t>主要用途、实现功能及公益性用地比例</w:t>
      </w:r>
      <w:bookmarkEnd w:id="25"/>
    </w:p>
    <w:p>
      <w:pPr>
        <w:keepNext w:val="0"/>
        <w:keepLines w:val="0"/>
        <w:pageBreakBefore w:val="0"/>
        <w:widowControl/>
        <w:kinsoku/>
        <w:wordWrap/>
        <w:overflowPunct/>
        <w:topLinePunct w:val="0"/>
        <w:bidi w:val="0"/>
        <w:snapToGrid/>
        <w:spacing w:beforeLines="50" w:afterLines="50"/>
        <w:ind w:firstLine="0" w:firstLineChars="0"/>
        <w:textAlignment w:val="auto"/>
        <w:outlineLvl w:val="1"/>
        <w:rPr>
          <w:rFonts w:hint="eastAsia" w:cs="仿宋_GB2312"/>
          <w:b/>
          <w:bCs/>
          <w:sz w:val="30"/>
          <w:szCs w:val="30"/>
        </w:rPr>
      </w:pPr>
      <w:bookmarkStart w:id="26" w:name="_Toc10786"/>
      <w:r>
        <w:rPr>
          <w:rFonts w:hint="eastAsia" w:cs="仿宋_GB2312"/>
          <w:b/>
          <w:bCs/>
          <w:sz w:val="30"/>
          <w:szCs w:val="30"/>
        </w:rPr>
        <w:t>（一）主要用途和实现功能</w:t>
      </w:r>
      <w:bookmarkEnd w:id="26"/>
    </w:p>
    <w:p>
      <w:pPr>
        <w:pStyle w:val="2"/>
        <w:keepNext w:val="0"/>
        <w:keepLines w:val="0"/>
        <w:pageBreakBefore w:val="0"/>
        <w:widowControl/>
        <w:kinsoku/>
        <w:wordWrap/>
        <w:overflowPunct/>
        <w:topLinePunct w:val="0"/>
        <w:bidi w:val="0"/>
        <w:snapToGrid/>
        <w:ind w:firstLine="560"/>
        <w:textAlignment w:val="auto"/>
        <w:rPr>
          <w:rFonts w:hint="default"/>
          <w:kern w:val="0"/>
          <w:szCs w:val="28"/>
          <w:lang w:val="en-US" w:eastAsia="zh-CN"/>
        </w:rPr>
      </w:pPr>
      <w:r>
        <w:rPr>
          <w:rFonts w:hint="eastAsia"/>
          <w:kern w:val="0"/>
          <w:szCs w:val="28"/>
          <w:lang w:val="en-US" w:eastAsia="zh-CN"/>
        </w:rPr>
        <w:t>本次成片开发用地总面积为14.9326公顷，主要用途为居住及教育。其中居住用地面积8.8684公顷，具体用途为城镇住宅用地。实现功能：城镇居民居住建筑开发建设，分为南北两个居住区。公共管理与公共服务用地面积4.5056公顷，具体用途为教育用地。实现功能：中学教育用地，为片区解决青少年教育问题。具体规划为48班的德化五中新校区。交通运输用地面积1.5586公顷，具体用途为城镇道路用地。实现功能：服务成片开发区域的城市道路。</w:t>
      </w:r>
    </w:p>
    <w:p>
      <w:pPr>
        <w:keepNext w:val="0"/>
        <w:keepLines w:val="0"/>
        <w:pageBreakBefore w:val="0"/>
        <w:widowControl/>
        <w:kinsoku/>
        <w:wordWrap/>
        <w:overflowPunct/>
        <w:topLinePunct w:val="0"/>
        <w:bidi w:val="0"/>
        <w:snapToGrid/>
        <w:spacing w:beforeLines="50" w:afterLines="50"/>
        <w:ind w:firstLine="0" w:firstLineChars="0"/>
        <w:textAlignment w:val="auto"/>
        <w:outlineLvl w:val="1"/>
        <w:rPr>
          <w:rFonts w:hint="eastAsia" w:cs="仿宋_GB2312"/>
          <w:b/>
          <w:bCs/>
          <w:sz w:val="30"/>
          <w:szCs w:val="30"/>
        </w:rPr>
      </w:pPr>
      <w:bookmarkStart w:id="27" w:name="_Toc30726"/>
      <w:r>
        <w:rPr>
          <w:rFonts w:hint="eastAsia" w:cs="仿宋_GB2312"/>
          <w:b/>
          <w:bCs/>
          <w:sz w:val="30"/>
          <w:szCs w:val="30"/>
        </w:rPr>
        <w:t>（二）公益性用地比例</w:t>
      </w:r>
      <w:bookmarkEnd w:id="27"/>
    </w:p>
    <w:p>
      <w:pPr>
        <w:pStyle w:val="2"/>
        <w:keepNext w:val="0"/>
        <w:keepLines w:val="0"/>
        <w:pageBreakBefore w:val="0"/>
        <w:widowControl/>
        <w:kinsoku/>
        <w:wordWrap/>
        <w:overflowPunct/>
        <w:topLinePunct w:val="0"/>
        <w:bidi w:val="0"/>
        <w:snapToGrid/>
        <w:ind w:firstLine="560"/>
        <w:textAlignment w:val="auto"/>
        <w:rPr>
          <w:rFonts w:hint="eastAsia"/>
          <w:kern w:val="0"/>
          <w:szCs w:val="28"/>
          <w:highlight w:val="none"/>
          <w:shd w:val="clear"/>
        </w:rPr>
      </w:pPr>
      <w:bookmarkStart w:id="28" w:name="_Toc25742"/>
      <w:bookmarkStart w:id="29" w:name="_Toc14732"/>
      <w:r>
        <w:rPr>
          <w:rFonts w:hint="eastAsia"/>
          <w:kern w:val="0"/>
          <w:szCs w:val="28"/>
          <w:highlight w:val="none"/>
          <w:shd w:val="clear"/>
          <w:lang w:eastAsia="zh-CN"/>
        </w:rPr>
        <w:t>本次成片开发</w:t>
      </w:r>
      <w:r>
        <w:rPr>
          <w:rFonts w:hint="eastAsia"/>
          <w:kern w:val="0"/>
          <w:szCs w:val="28"/>
          <w:highlight w:val="none"/>
          <w:shd w:val="clear"/>
        </w:rPr>
        <w:t>规划公益性用地，包括</w:t>
      </w:r>
      <w:r>
        <w:rPr>
          <w:rFonts w:hint="eastAsia"/>
          <w:kern w:val="0"/>
          <w:szCs w:val="28"/>
          <w:highlight w:val="none"/>
          <w:shd w:val="clear"/>
          <w:lang w:val="en-US" w:eastAsia="zh-CN"/>
        </w:rPr>
        <w:t>教育用地</w:t>
      </w:r>
      <w:r>
        <w:rPr>
          <w:rFonts w:hint="eastAsia"/>
          <w:kern w:val="0"/>
          <w:szCs w:val="28"/>
          <w:highlight w:val="none"/>
          <w:shd w:val="clear"/>
        </w:rPr>
        <w:t>、城镇道路用地</w:t>
      </w:r>
      <w:r>
        <w:rPr>
          <w:rFonts w:hint="eastAsia"/>
          <w:kern w:val="0"/>
          <w:szCs w:val="28"/>
          <w:highlight w:val="none"/>
          <w:shd w:val="clear"/>
          <w:lang w:val="en-US" w:eastAsia="zh-CN"/>
        </w:rPr>
        <w:t>2</w:t>
      </w:r>
      <w:r>
        <w:rPr>
          <w:rFonts w:hint="eastAsia"/>
          <w:kern w:val="0"/>
          <w:szCs w:val="28"/>
          <w:highlight w:val="none"/>
          <w:shd w:val="clear"/>
        </w:rPr>
        <w:t>类，面积合计</w:t>
      </w:r>
      <w:r>
        <w:rPr>
          <w:rFonts w:hint="eastAsia"/>
          <w:kern w:val="0"/>
          <w:szCs w:val="28"/>
          <w:highlight w:val="none"/>
          <w:shd w:val="clear"/>
          <w:lang w:val="en-US" w:eastAsia="zh-CN"/>
        </w:rPr>
        <w:t>6.0642</w:t>
      </w:r>
      <w:r>
        <w:rPr>
          <w:rFonts w:hint="eastAsia"/>
          <w:kern w:val="0"/>
          <w:szCs w:val="28"/>
          <w:highlight w:val="none"/>
          <w:shd w:val="clear"/>
        </w:rPr>
        <w:t>公顷，占用地总面积的</w:t>
      </w:r>
      <w:r>
        <w:rPr>
          <w:rFonts w:hint="eastAsia"/>
          <w:kern w:val="0"/>
          <w:szCs w:val="28"/>
          <w:highlight w:val="none"/>
          <w:shd w:val="clear"/>
          <w:lang w:val="en-US" w:eastAsia="zh-CN"/>
        </w:rPr>
        <w:t>40.61</w:t>
      </w:r>
      <w:r>
        <w:rPr>
          <w:rFonts w:hint="eastAsia"/>
          <w:kern w:val="0"/>
          <w:szCs w:val="28"/>
          <w:highlight w:val="none"/>
          <w:shd w:val="clear"/>
        </w:rPr>
        <w:t>%，符合自然资规〔2020〕5号文公益性用地占比一般不低于40%的规定。</w:t>
      </w:r>
      <w:bookmarkEnd w:id="28"/>
      <w:bookmarkEnd w:id="29"/>
    </w:p>
    <w:p>
      <w:pPr>
        <w:keepNext w:val="0"/>
        <w:keepLines w:val="0"/>
        <w:pageBreakBefore w:val="0"/>
        <w:widowControl/>
        <w:shd w:val="clear"/>
        <w:kinsoku/>
        <w:wordWrap/>
        <w:overflowPunct/>
        <w:topLinePunct w:val="0"/>
        <w:bidi w:val="0"/>
        <w:snapToGrid/>
        <w:spacing w:beforeLines="50" w:afterLines="50"/>
        <w:ind w:firstLine="0" w:firstLineChars="0"/>
        <w:outlineLvl w:val="0"/>
        <w:rPr>
          <w:rFonts w:hint="eastAsia" w:eastAsia="仿宋_GB2312" w:cs="仿宋_GB2312"/>
          <w:b w:val="0"/>
          <w:bCs w:val="0"/>
          <w:color w:val="FF0000"/>
          <w:sz w:val="28"/>
          <w:szCs w:val="28"/>
          <w:lang w:eastAsia="zh-CN"/>
        </w:rPr>
      </w:pPr>
      <w:bookmarkStart w:id="30" w:name="_Toc5805"/>
      <w:bookmarkStart w:id="31" w:name="_Toc2193"/>
      <w:r>
        <w:rPr>
          <w:rFonts w:hint="eastAsia" w:cs="仿宋_GB2312"/>
          <w:b/>
          <w:bCs/>
          <w:sz w:val="32"/>
          <w:szCs w:val="32"/>
        </w:rPr>
        <w:t>六、</w:t>
      </w:r>
      <w:r>
        <w:rPr>
          <w:rFonts w:hint="eastAsia" w:cs="仿宋_GB2312"/>
          <w:b/>
          <w:bCs/>
          <w:sz w:val="32"/>
          <w:szCs w:val="32"/>
          <w:lang w:val="en-US" w:eastAsia="zh-CN"/>
        </w:rPr>
        <w:t>拟建项目及实施</w:t>
      </w:r>
      <w:r>
        <w:rPr>
          <w:rFonts w:hint="eastAsia" w:cs="仿宋_GB2312"/>
          <w:b/>
          <w:bCs/>
          <w:sz w:val="32"/>
          <w:szCs w:val="32"/>
        </w:rPr>
        <w:t>计划</w:t>
      </w:r>
      <w:bookmarkEnd w:id="30"/>
      <w:bookmarkEnd w:id="31"/>
    </w:p>
    <w:p>
      <w:pPr>
        <w:keepNext w:val="0"/>
        <w:keepLines w:val="0"/>
        <w:pageBreakBefore w:val="0"/>
        <w:widowControl/>
        <w:suppressLineNumbers w:val="0"/>
        <w:kinsoku/>
        <w:wordWrap/>
        <w:overflowPunct/>
        <w:topLinePunct w:val="0"/>
        <w:bidi w:val="0"/>
        <w:snapToGrid/>
        <w:jc w:val="left"/>
        <w:rPr>
          <w:rFonts w:hint="eastAsia" w:cs="仿宋_GB2312"/>
          <w:b/>
          <w:bCs/>
          <w:color w:val="auto"/>
          <w:sz w:val="32"/>
          <w:szCs w:val="32"/>
        </w:rPr>
      </w:pPr>
      <w:r>
        <w:rPr>
          <w:rFonts w:hint="eastAsia"/>
          <w:color w:val="auto"/>
          <w:kern w:val="0"/>
          <w:szCs w:val="28"/>
        </w:rPr>
        <w:t>本次成片开发</w:t>
      </w:r>
      <w:r>
        <w:rPr>
          <w:rFonts w:hint="eastAsia"/>
          <w:color w:val="auto"/>
          <w:kern w:val="0"/>
          <w:szCs w:val="28"/>
          <w:lang w:val="en-US" w:eastAsia="zh-CN"/>
        </w:rPr>
        <w:t>方案</w:t>
      </w:r>
      <w:r>
        <w:rPr>
          <w:rFonts w:hint="eastAsia"/>
          <w:color w:val="auto"/>
          <w:kern w:val="0"/>
          <w:szCs w:val="28"/>
        </w:rPr>
        <w:t>用地总面积</w:t>
      </w:r>
      <w:r>
        <w:rPr>
          <w:rFonts w:hint="eastAsia"/>
          <w:color w:val="auto"/>
          <w:kern w:val="0"/>
          <w:szCs w:val="28"/>
          <w:lang w:val="en-US" w:eastAsia="zh-CN"/>
        </w:rPr>
        <w:t>14.9326</w:t>
      </w:r>
      <w:r>
        <w:rPr>
          <w:rFonts w:hint="eastAsia"/>
          <w:color w:val="auto"/>
          <w:kern w:val="0"/>
          <w:szCs w:val="28"/>
        </w:rPr>
        <w:t>公顷，</w:t>
      </w:r>
      <w:r>
        <w:rPr>
          <w:rFonts w:hint="eastAsia"/>
          <w:color w:val="auto"/>
          <w:lang w:val="en-US" w:eastAsia="zh-CN"/>
        </w:rPr>
        <w:t>其中</w:t>
      </w:r>
      <w:r>
        <w:rPr>
          <w:rFonts w:hint="eastAsia"/>
          <w:color w:val="auto"/>
        </w:rPr>
        <w:t>已完成</w:t>
      </w:r>
      <w:r>
        <w:rPr>
          <w:rFonts w:hint="eastAsia"/>
          <w:color w:val="auto"/>
          <w:lang w:val="en-US" w:eastAsia="zh-CN"/>
        </w:rPr>
        <w:t>实施</w:t>
      </w:r>
      <w:r>
        <w:rPr>
          <w:rFonts w:hint="eastAsia"/>
          <w:color w:val="auto"/>
        </w:rPr>
        <w:t>面积</w:t>
      </w:r>
      <w:r>
        <w:rPr>
          <w:rFonts w:hint="eastAsia"/>
          <w:color w:val="auto"/>
          <w:kern w:val="0"/>
          <w:szCs w:val="28"/>
          <w:lang w:val="en-US" w:eastAsia="zh-CN"/>
        </w:rPr>
        <w:t>4.7143</w:t>
      </w:r>
      <w:r>
        <w:rPr>
          <w:rFonts w:hint="eastAsia"/>
          <w:color w:val="auto"/>
        </w:rPr>
        <w:t>公顷，</w:t>
      </w:r>
      <w:r>
        <w:rPr>
          <w:rFonts w:hint="eastAsia"/>
          <w:color w:val="auto"/>
          <w:lang w:val="en-US" w:eastAsia="zh-CN"/>
        </w:rPr>
        <w:t>故本方案拟安排</w:t>
      </w:r>
      <w:r>
        <w:rPr>
          <w:rFonts w:hint="eastAsia"/>
          <w:color w:val="auto"/>
          <w:sz w:val="28"/>
          <w:szCs w:val="28"/>
          <w:lang w:val="en-US" w:eastAsia="zh-CN"/>
        </w:rPr>
        <w:t>实施项目面积</w:t>
      </w:r>
      <w:r>
        <w:rPr>
          <w:rFonts w:hint="eastAsia"/>
          <w:color w:val="auto"/>
          <w:kern w:val="0"/>
          <w:szCs w:val="28"/>
          <w:lang w:val="en-US" w:eastAsia="zh-CN"/>
        </w:rPr>
        <w:t>10.2183</w:t>
      </w:r>
      <w:r>
        <w:rPr>
          <w:rFonts w:hint="eastAsia"/>
          <w:color w:val="auto"/>
          <w:kern w:val="0"/>
          <w:szCs w:val="28"/>
        </w:rPr>
        <w:t>公顷</w:t>
      </w:r>
      <w:r>
        <w:rPr>
          <w:rFonts w:hint="eastAsia"/>
          <w:color w:val="auto"/>
          <w:kern w:val="0"/>
          <w:szCs w:val="28"/>
          <w:lang w:eastAsia="zh-CN"/>
        </w:rPr>
        <w:t>。</w:t>
      </w:r>
      <w:r>
        <w:rPr>
          <w:rFonts w:hint="eastAsia"/>
          <w:color w:val="auto"/>
          <w:kern w:val="0"/>
          <w:szCs w:val="28"/>
          <w:lang w:val="en-US" w:eastAsia="zh-CN"/>
        </w:rPr>
        <w:t>计划</w:t>
      </w:r>
      <w:r>
        <w:rPr>
          <w:rFonts w:hint="eastAsia"/>
          <w:color w:val="auto"/>
          <w:kern w:val="0"/>
          <w:szCs w:val="28"/>
        </w:rPr>
        <w:t>实施周期为</w:t>
      </w:r>
      <w:r>
        <w:rPr>
          <w:rFonts w:hint="eastAsia"/>
          <w:color w:val="auto"/>
          <w:sz w:val="28"/>
          <w:szCs w:val="28"/>
          <w:lang w:val="en-US" w:eastAsia="zh-CN"/>
        </w:rPr>
        <w:t>批复后第一年至批复后第三</w:t>
      </w:r>
      <w:r>
        <w:rPr>
          <w:rFonts w:hint="eastAsia"/>
          <w:color w:val="auto"/>
          <w:kern w:val="0"/>
          <w:szCs w:val="28"/>
        </w:rPr>
        <w:t>年，</w:t>
      </w:r>
      <w:r>
        <w:rPr>
          <w:rFonts w:hint="eastAsia"/>
          <w:color w:val="auto"/>
          <w:kern w:val="0"/>
          <w:szCs w:val="28"/>
          <w:lang w:val="en-US" w:eastAsia="zh-CN"/>
        </w:rPr>
        <w:t>3年内实施完毕，其中：</w:t>
      </w:r>
      <w:r>
        <w:rPr>
          <w:rFonts w:hint="eastAsia"/>
          <w:color w:val="auto"/>
          <w:sz w:val="28"/>
          <w:szCs w:val="28"/>
          <w:lang w:val="en-US" w:eastAsia="zh-CN"/>
        </w:rPr>
        <w:t>批复后第一年</w:t>
      </w:r>
      <w:r>
        <w:rPr>
          <w:rFonts w:hint="eastAsia"/>
          <w:color w:val="auto"/>
          <w:kern w:val="0"/>
          <w:szCs w:val="28"/>
          <w:lang w:val="en-US" w:eastAsia="zh-CN"/>
        </w:rPr>
        <w:t>实施面积1.3519公顷，完成比例13.23</w:t>
      </w:r>
      <w:r>
        <w:rPr>
          <w:rFonts w:hint="default"/>
          <w:color w:val="auto"/>
          <w:kern w:val="0"/>
          <w:szCs w:val="28"/>
          <w:lang w:val="en-US" w:eastAsia="zh-CN"/>
        </w:rPr>
        <w:t>%</w:t>
      </w:r>
      <w:r>
        <w:rPr>
          <w:rFonts w:hint="eastAsia"/>
          <w:color w:val="auto"/>
          <w:kern w:val="0"/>
          <w:szCs w:val="28"/>
          <w:lang w:val="en-US" w:eastAsia="zh-CN"/>
        </w:rPr>
        <w:t>；</w:t>
      </w:r>
      <w:r>
        <w:rPr>
          <w:rFonts w:hint="eastAsia"/>
          <w:color w:val="auto"/>
          <w:sz w:val="28"/>
          <w:szCs w:val="28"/>
          <w:lang w:val="en-US" w:eastAsia="zh-CN"/>
        </w:rPr>
        <w:t>批复后第二年</w:t>
      </w:r>
      <w:r>
        <w:rPr>
          <w:rFonts w:hint="eastAsia"/>
          <w:color w:val="auto"/>
          <w:kern w:val="0"/>
          <w:szCs w:val="28"/>
          <w:lang w:val="en-US" w:eastAsia="zh-CN"/>
        </w:rPr>
        <w:t>实施面积5.0415公顷，完成比例49.34</w:t>
      </w:r>
      <w:r>
        <w:rPr>
          <w:rFonts w:hint="default"/>
          <w:color w:val="auto"/>
          <w:kern w:val="0"/>
          <w:szCs w:val="28"/>
          <w:lang w:val="en-US" w:eastAsia="zh-CN"/>
        </w:rPr>
        <w:t>%</w:t>
      </w:r>
      <w:r>
        <w:rPr>
          <w:rFonts w:hint="eastAsia"/>
          <w:color w:val="auto"/>
          <w:kern w:val="0"/>
          <w:szCs w:val="28"/>
          <w:lang w:val="en-US" w:eastAsia="zh-CN"/>
        </w:rPr>
        <w:t>；</w:t>
      </w:r>
      <w:r>
        <w:rPr>
          <w:rFonts w:hint="eastAsia"/>
          <w:color w:val="auto"/>
          <w:sz w:val="28"/>
          <w:szCs w:val="28"/>
          <w:lang w:val="en-US" w:eastAsia="zh-CN"/>
        </w:rPr>
        <w:t>批复后第三年</w:t>
      </w:r>
      <w:r>
        <w:rPr>
          <w:rFonts w:hint="eastAsia"/>
          <w:color w:val="auto"/>
          <w:kern w:val="0"/>
          <w:szCs w:val="28"/>
          <w:lang w:val="en-US" w:eastAsia="zh-CN"/>
        </w:rPr>
        <w:t>实施面积3.8249公顷，完成比例37.43</w:t>
      </w:r>
      <w:r>
        <w:rPr>
          <w:rFonts w:hint="default"/>
          <w:color w:val="auto"/>
          <w:kern w:val="0"/>
          <w:szCs w:val="28"/>
          <w:lang w:val="en-US" w:eastAsia="zh-CN"/>
        </w:rPr>
        <w:t>%</w:t>
      </w:r>
      <w:r>
        <w:rPr>
          <w:rFonts w:hint="eastAsia"/>
          <w:color w:val="auto"/>
          <w:kern w:val="0"/>
          <w:szCs w:val="28"/>
          <w:lang w:val="en-US" w:eastAsia="zh-CN"/>
        </w:rPr>
        <w:t>。</w:t>
      </w:r>
    </w:p>
    <w:p>
      <w:pPr>
        <w:keepNext w:val="0"/>
        <w:keepLines w:val="0"/>
        <w:pageBreakBefore w:val="0"/>
        <w:widowControl/>
        <w:numPr>
          <w:ilvl w:val="0"/>
          <w:numId w:val="0"/>
        </w:numPr>
        <w:shd w:val="clear"/>
        <w:kinsoku/>
        <w:wordWrap/>
        <w:overflowPunct/>
        <w:topLinePunct w:val="0"/>
        <w:bidi w:val="0"/>
        <w:snapToGrid/>
        <w:spacing w:beforeLines="50" w:afterLines="50"/>
        <w:textAlignment w:val="auto"/>
        <w:outlineLvl w:val="0"/>
        <w:rPr>
          <w:rFonts w:hint="eastAsia" w:cs="仿宋_GB2312"/>
          <w:b/>
          <w:bCs/>
          <w:sz w:val="32"/>
          <w:szCs w:val="32"/>
        </w:rPr>
      </w:pPr>
      <w:bookmarkStart w:id="32" w:name="_Toc32508"/>
      <w:r>
        <w:rPr>
          <w:rFonts w:hint="eastAsia" w:cs="仿宋_GB2312"/>
          <w:b/>
          <w:bCs/>
          <w:sz w:val="32"/>
          <w:szCs w:val="32"/>
          <w:lang w:val="en-US" w:eastAsia="zh-CN"/>
        </w:rPr>
        <w:t>七、</w:t>
      </w:r>
      <w:r>
        <w:rPr>
          <w:rFonts w:hint="eastAsia" w:cs="仿宋_GB2312"/>
          <w:b/>
          <w:bCs/>
          <w:sz w:val="32"/>
          <w:szCs w:val="32"/>
        </w:rPr>
        <w:t>合规性分析</w:t>
      </w:r>
      <w:bookmarkEnd w:id="32"/>
    </w:p>
    <w:p>
      <w:pPr>
        <w:keepNext w:val="0"/>
        <w:keepLines w:val="0"/>
        <w:pageBreakBefore w:val="0"/>
        <w:widowControl/>
        <w:kinsoku/>
        <w:wordWrap/>
        <w:overflowPunct/>
        <w:topLinePunct w:val="0"/>
        <w:bidi w:val="0"/>
        <w:snapToGrid/>
        <w:spacing w:beforeLines="50" w:afterLines="50"/>
        <w:ind w:firstLine="0" w:firstLineChars="0"/>
        <w:textAlignment w:val="auto"/>
        <w:outlineLvl w:val="1"/>
        <w:rPr>
          <w:rFonts w:hint="eastAsia" w:cs="仿宋_GB2312"/>
          <w:b/>
          <w:bCs/>
          <w:sz w:val="30"/>
          <w:szCs w:val="30"/>
          <w:lang w:val="en-US" w:eastAsia="zh-CN"/>
        </w:rPr>
      </w:pPr>
      <w:bookmarkStart w:id="33" w:name="_Toc8065"/>
      <w:r>
        <w:rPr>
          <w:rFonts w:hint="eastAsia" w:cs="仿宋_GB2312"/>
          <w:b/>
          <w:bCs/>
          <w:sz w:val="30"/>
          <w:szCs w:val="30"/>
        </w:rPr>
        <w:t>（一）</w:t>
      </w:r>
      <w:r>
        <w:rPr>
          <w:rFonts w:hint="eastAsia" w:ascii="Times New Roman" w:hAnsi="Times New Roman" w:cs="仿宋_GB2312"/>
          <w:b/>
          <w:bCs/>
          <w:sz w:val="30"/>
          <w:szCs w:val="30"/>
        </w:rPr>
        <w:t>国土空间规划</w:t>
      </w:r>
      <w:bookmarkEnd w:id="33"/>
    </w:p>
    <w:p>
      <w:pPr>
        <w:pStyle w:val="2"/>
        <w:keepNext w:val="0"/>
        <w:keepLines w:val="0"/>
        <w:pageBreakBefore w:val="0"/>
        <w:widowControl/>
        <w:kinsoku/>
        <w:wordWrap/>
        <w:overflowPunct/>
        <w:topLinePunct w:val="0"/>
        <w:bidi w:val="0"/>
        <w:snapToGrid/>
        <w:ind w:firstLine="560"/>
        <w:textAlignment w:val="auto"/>
        <w:rPr>
          <w:rFonts w:hint="eastAsia"/>
          <w:kern w:val="0"/>
          <w:szCs w:val="28"/>
          <w:highlight w:val="none"/>
          <w:shd w:val="clear"/>
          <w:lang w:eastAsia="zh-CN"/>
        </w:rPr>
      </w:pPr>
      <w:r>
        <w:rPr>
          <w:rFonts w:hint="eastAsia"/>
          <w:kern w:val="0"/>
          <w:szCs w:val="28"/>
          <w:highlight w:val="none"/>
          <w:shd w:val="clear"/>
          <w:lang w:val="en-US" w:eastAsia="zh-CN"/>
        </w:rPr>
        <w:t>本次成片开发范围位于城镇开发边界的集中建设区。德化县人民政府承诺方案获批后，将本次成片开发方案统筹纳入正在编制的国土空间规划及“一张图”，并符合规划管控要求。</w:t>
      </w:r>
    </w:p>
    <w:p>
      <w:pPr>
        <w:keepNext w:val="0"/>
        <w:keepLines w:val="0"/>
        <w:pageBreakBefore w:val="0"/>
        <w:widowControl/>
        <w:kinsoku/>
        <w:wordWrap/>
        <w:overflowPunct/>
        <w:topLinePunct w:val="0"/>
        <w:bidi w:val="0"/>
        <w:snapToGrid/>
        <w:spacing w:beforeLines="50" w:afterLines="50"/>
        <w:ind w:firstLine="0" w:firstLineChars="0"/>
        <w:textAlignment w:val="auto"/>
        <w:outlineLvl w:val="1"/>
        <w:rPr>
          <w:rFonts w:hint="default" w:cs="仿宋_GB2312"/>
          <w:b/>
          <w:bCs/>
          <w:sz w:val="30"/>
          <w:szCs w:val="30"/>
          <w:lang w:val="en-US" w:eastAsia="zh-CN"/>
        </w:rPr>
      </w:pPr>
      <w:bookmarkStart w:id="34" w:name="_Toc32466"/>
      <w:r>
        <w:rPr>
          <w:rFonts w:hint="eastAsia" w:cs="仿宋_GB2312"/>
          <w:b/>
          <w:bCs/>
          <w:sz w:val="30"/>
          <w:szCs w:val="30"/>
        </w:rPr>
        <w:t>（二）国民经济和社会发展规划</w:t>
      </w:r>
      <w:r>
        <w:rPr>
          <w:rFonts w:hint="eastAsia" w:cs="仿宋_GB2312"/>
          <w:b/>
          <w:bCs/>
          <w:sz w:val="30"/>
          <w:szCs w:val="30"/>
          <w:lang w:eastAsia="zh-CN"/>
        </w:rPr>
        <w:t>、</w:t>
      </w:r>
      <w:r>
        <w:rPr>
          <w:rFonts w:hint="eastAsia" w:cs="仿宋_GB2312"/>
          <w:b/>
          <w:bCs/>
          <w:sz w:val="30"/>
          <w:szCs w:val="30"/>
          <w:lang w:val="en-US" w:eastAsia="zh-CN"/>
        </w:rPr>
        <w:t>年度计划</w:t>
      </w:r>
      <w:bookmarkEnd w:id="34"/>
    </w:p>
    <w:p>
      <w:pPr>
        <w:keepNext w:val="0"/>
        <w:keepLines w:val="0"/>
        <w:widowControl/>
        <w:suppressLineNumbers w:val="0"/>
        <w:jc w:val="left"/>
        <w:rPr>
          <w:color w:val="auto"/>
          <w:kern w:val="0"/>
          <w:szCs w:val="28"/>
        </w:rPr>
      </w:pPr>
      <w:r>
        <w:rPr>
          <w:rFonts w:hint="eastAsia" w:ascii="Times New Roman" w:hAnsi="Times New Roman"/>
        </w:rPr>
        <w:t>本次成片开发</w:t>
      </w:r>
      <w:r>
        <w:rPr>
          <w:rFonts w:hint="eastAsia" w:ascii="Times New Roman" w:hAnsi="Times New Roman"/>
          <w:lang w:val="en-US" w:eastAsia="zh-CN"/>
        </w:rPr>
        <w:t>位于</w:t>
      </w:r>
      <w:r>
        <w:rPr>
          <w:rFonts w:hint="eastAsia" w:ascii="Times New Roman" w:hAnsi="Times New Roman"/>
        </w:rPr>
        <w:t>德化县西</w:t>
      </w:r>
      <w:r>
        <w:rPr>
          <w:rFonts w:hint="eastAsia" w:ascii="Times New Roman" w:hAnsi="Times New Roman"/>
          <w:lang w:val="en-US" w:eastAsia="zh-CN"/>
        </w:rPr>
        <w:t>北</w:t>
      </w:r>
      <w:r>
        <w:rPr>
          <w:rFonts w:hint="eastAsia" w:ascii="Times New Roman" w:hAnsi="Times New Roman"/>
        </w:rPr>
        <w:t>方向进入中心城区的门户区域，是德化县城关提质扩容的重要区域，规划发展居住</w:t>
      </w:r>
      <w:r>
        <w:rPr>
          <w:rFonts w:hint="eastAsia" w:ascii="Times New Roman" w:hAnsi="Times New Roman"/>
          <w:lang w:eastAsia="zh-CN"/>
        </w:rPr>
        <w:t>、</w:t>
      </w:r>
      <w:r>
        <w:rPr>
          <w:rFonts w:hint="eastAsia" w:ascii="Times New Roman" w:hAnsi="Times New Roman"/>
          <w:lang w:val="en-US" w:eastAsia="zh-CN"/>
        </w:rPr>
        <w:t>教育</w:t>
      </w:r>
      <w:r>
        <w:rPr>
          <w:rFonts w:hint="eastAsia" w:ascii="Times New Roman" w:hAnsi="Times New Roman"/>
        </w:rPr>
        <w:t>于一体的产城融合</w:t>
      </w:r>
      <w:r>
        <w:rPr>
          <w:rFonts w:hint="eastAsia" w:ascii="Times New Roman" w:hAnsi="Times New Roman"/>
          <w:lang w:val="en-US" w:eastAsia="zh-CN"/>
        </w:rPr>
        <w:t>片</w:t>
      </w:r>
      <w:r>
        <w:rPr>
          <w:rFonts w:hint="eastAsia" w:ascii="Times New Roman" w:hAnsi="Times New Roman"/>
        </w:rPr>
        <w:t>区，是德化县“大城关”战略建设的重要组成部分</w:t>
      </w:r>
      <w:r>
        <w:rPr>
          <w:rFonts w:hint="eastAsia"/>
          <w:lang w:eastAsia="zh-CN"/>
        </w:rPr>
        <w:t>。</w:t>
      </w:r>
      <w:r>
        <w:rPr>
          <w:rFonts w:hint="eastAsia" w:ascii="Times New Roman" w:hAnsi="Times New Roman"/>
        </w:rPr>
        <w:t>本次</w:t>
      </w:r>
      <w:r>
        <w:rPr>
          <w:rFonts w:hint="eastAsia"/>
          <w:kern w:val="0"/>
          <w:szCs w:val="28"/>
          <w:highlight w:val="none"/>
          <w:shd w:val="clear"/>
          <w:lang w:val="en-US" w:eastAsia="zh-CN"/>
        </w:rPr>
        <w:t>成片开发</w:t>
      </w:r>
      <w:r>
        <w:rPr>
          <w:rFonts w:hint="eastAsia" w:ascii="Times New Roman" w:hAnsi="Times New Roman"/>
        </w:rPr>
        <w:t>符合《</w:t>
      </w:r>
      <w:r>
        <w:rPr>
          <w:rFonts w:hint="eastAsia" w:ascii="Times New Roman" w:hAnsi="Times New Roman"/>
          <w:lang w:val="en-US" w:eastAsia="zh-CN"/>
        </w:rPr>
        <w:t>德化县国民经济和社会发展第十四个五年规划和二〇三五年远景目标纲要》中“优化县域空间格局</w:t>
      </w:r>
      <w:r>
        <w:rPr>
          <w:rFonts w:hint="eastAsia"/>
          <w:lang w:val="en-US" w:eastAsia="zh-CN"/>
        </w:rPr>
        <w:t>，提升城区建设品质</w:t>
      </w:r>
      <w:r>
        <w:rPr>
          <w:rFonts w:hint="eastAsia" w:ascii="Times New Roman" w:hAnsi="Times New Roman"/>
          <w:lang w:val="en-US" w:eastAsia="zh-CN"/>
        </w:rPr>
        <w:t>”，“推动中心城区提质增载”</w:t>
      </w:r>
      <w:r>
        <w:rPr>
          <w:rFonts w:hint="eastAsia"/>
          <w:lang w:val="en-US" w:eastAsia="zh-CN"/>
        </w:rPr>
        <w:t>，</w:t>
      </w:r>
      <w:r>
        <w:rPr>
          <w:rFonts w:hint="eastAsia" w:ascii="Times New Roman" w:hAnsi="Times New Roman"/>
          <w:lang w:val="en-US" w:eastAsia="zh-CN"/>
        </w:rPr>
        <w:t>“着力打造教育强县”，“推进义务教育均衡发展”的要求，</w:t>
      </w:r>
      <w:r>
        <w:rPr>
          <w:rFonts w:hint="eastAsia" w:ascii="Times New Roman" w:hAnsi="Times New Roman"/>
        </w:rPr>
        <w:t>成片开发实施后有利于提升德化城市建设形象，完善区域各项基础设施，推动城镇化健康发展。</w:t>
      </w:r>
      <w:r>
        <w:rPr>
          <w:rFonts w:hint="eastAsia"/>
          <w:color w:val="auto"/>
          <w:kern w:val="0"/>
          <w:szCs w:val="28"/>
          <w:lang w:val="en-US" w:eastAsia="zh-CN"/>
        </w:rPr>
        <w:t>方案</w:t>
      </w:r>
      <w:r>
        <w:rPr>
          <w:rFonts w:hint="eastAsia"/>
          <w:color w:val="auto"/>
          <w:kern w:val="0"/>
          <w:szCs w:val="28"/>
        </w:rPr>
        <w:t>符合德化县现行国民经济和社会发展规划的发展定位和要求，有利于加快现行国民经济和社会发展规划目标、任务的完成，方案已纳入德化县202</w:t>
      </w:r>
      <w:r>
        <w:rPr>
          <w:rFonts w:hint="eastAsia"/>
          <w:color w:val="auto"/>
          <w:kern w:val="0"/>
          <w:szCs w:val="28"/>
          <w:lang w:val="en-US" w:eastAsia="zh-CN"/>
        </w:rPr>
        <w:t>2</w:t>
      </w:r>
      <w:r>
        <w:rPr>
          <w:rFonts w:hint="eastAsia" w:ascii="Times New Roman" w:hAnsi="Times New Roman"/>
          <w:color w:val="auto"/>
          <w:kern w:val="0"/>
          <w:szCs w:val="28"/>
        </w:rPr>
        <w:t>年国民经济和社会发展年度计</w:t>
      </w:r>
      <w:r>
        <w:rPr>
          <w:rFonts w:hint="eastAsia"/>
          <w:color w:val="auto"/>
          <w:kern w:val="0"/>
          <w:szCs w:val="28"/>
        </w:rPr>
        <w:t>划。相关证明材料见附件。</w:t>
      </w:r>
    </w:p>
    <w:p>
      <w:pPr>
        <w:spacing w:before="190" w:beforeLines="50" w:after="190" w:afterLines="50"/>
        <w:ind w:firstLine="0" w:firstLineChars="0"/>
        <w:outlineLvl w:val="1"/>
        <w:rPr>
          <w:rFonts w:ascii="Times New Roman" w:hAnsi="Times New Roman"/>
        </w:rPr>
      </w:pPr>
      <w:bookmarkStart w:id="35" w:name="_Toc31152"/>
      <w:r>
        <w:rPr>
          <w:rFonts w:hint="eastAsia" w:cs="仿宋_GB2312"/>
          <w:b/>
          <w:bCs/>
          <w:sz w:val="30"/>
          <w:szCs w:val="30"/>
        </w:rPr>
        <w:t>（</w:t>
      </w:r>
      <w:r>
        <w:rPr>
          <w:rFonts w:hint="eastAsia" w:cs="仿宋_GB2312"/>
          <w:b/>
          <w:bCs/>
          <w:sz w:val="30"/>
          <w:szCs w:val="30"/>
          <w:lang w:eastAsia="zh-CN"/>
        </w:rPr>
        <w:t>三</w:t>
      </w:r>
      <w:r>
        <w:rPr>
          <w:rFonts w:hint="eastAsia" w:cs="仿宋_GB2312"/>
          <w:b/>
          <w:bCs/>
          <w:sz w:val="30"/>
          <w:szCs w:val="30"/>
        </w:rPr>
        <w:t>）</w:t>
      </w:r>
      <w:r>
        <w:rPr>
          <w:rFonts w:hint="eastAsia" w:cs="仿宋_GB2312"/>
          <w:b/>
          <w:bCs/>
          <w:color w:val="auto"/>
          <w:sz w:val="30"/>
          <w:szCs w:val="30"/>
          <w:lang w:val="en-US" w:eastAsia="zh-CN"/>
        </w:rPr>
        <w:t>不</w:t>
      </w:r>
      <w:r>
        <w:rPr>
          <w:rFonts w:hint="eastAsia" w:ascii="Times New Roman" w:hAnsi="Times New Roman" w:cs="仿宋_GB2312"/>
          <w:b/>
          <w:bCs/>
          <w:color w:val="auto"/>
          <w:sz w:val="30"/>
          <w:szCs w:val="30"/>
          <w:lang w:val="en-US" w:eastAsia="zh-CN"/>
        </w:rPr>
        <w:t>涉及占用永久基本农田和其他法律法规规定不允许占用或开发的</w:t>
      </w:r>
      <w:r>
        <w:rPr>
          <w:rFonts w:hint="eastAsia" w:cs="仿宋_GB2312"/>
          <w:b/>
          <w:bCs/>
          <w:color w:val="auto"/>
          <w:sz w:val="30"/>
          <w:szCs w:val="30"/>
          <w:lang w:val="en-US" w:eastAsia="zh-CN"/>
        </w:rPr>
        <w:t>区域</w:t>
      </w:r>
      <w:bookmarkEnd w:id="35"/>
    </w:p>
    <w:p>
      <w:pPr>
        <w:ind w:firstLine="560"/>
        <w:rPr>
          <w:rFonts w:hint="eastAsia" w:ascii="Times New Roman" w:hAnsi="Times New Roman" w:eastAsia="仿宋_GB2312" w:cstheme="minorBidi"/>
          <w:color w:val="auto"/>
          <w:kern w:val="0"/>
          <w:sz w:val="28"/>
          <w:szCs w:val="28"/>
          <w:lang w:val="en-US" w:eastAsia="zh-CN" w:bidi="ar-SA"/>
        </w:rPr>
      </w:pPr>
      <w:r>
        <w:rPr>
          <w:rFonts w:hint="eastAsia" w:cstheme="minorBidi"/>
          <w:color w:val="auto"/>
          <w:kern w:val="0"/>
          <w:sz w:val="28"/>
          <w:szCs w:val="28"/>
          <w:lang w:val="en-US" w:eastAsia="zh-CN" w:bidi="ar-SA"/>
        </w:rPr>
        <w:t>经核实，本次成片开发不涉及</w:t>
      </w:r>
      <w:r>
        <w:rPr>
          <w:rFonts w:hint="eastAsia" w:ascii="Times New Roman" w:hAnsi="Times New Roman" w:eastAsia="仿宋_GB2312" w:cstheme="minorBidi"/>
          <w:color w:val="auto"/>
          <w:kern w:val="0"/>
          <w:sz w:val="28"/>
          <w:szCs w:val="28"/>
          <w:lang w:val="en-US" w:eastAsia="zh-CN" w:bidi="ar-SA"/>
        </w:rPr>
        <w:t>占用永久基本农田</w:t>
      </w:r>
      <w:r>
        <w:rPr>
          <w:rFonts w:hint="eastAsia" w:cstheme="minorBidi"/>
          <w:color w:val="auto"/>
          <w:kern w:val="0"/>
          <w:sz w:val="28"/>
          <w:szCs w:val="28"/>
          <w:lang w:val="en-US" w:eastAsia="zh-CN" w:bidi="ar-SA"/>
        </w:rPr>
        <w:t>、生态保护红线、自然保护区、饮用水水源保护区等</w:t>
      </w:r>
      <w:r>
        <w:rPr>
          <w:rFonts w:hint="eastAsia" w:ascii="Times New Roman" w:hAnsi="Times New Roman" w:eastAsia="仿宋_GB2312" w:cstheme="minorBidi"/>
          <w:color w:val="auto"/>
          <w:kern w:val="0"/>
          <w:sz w:val="28"/>
          <w:szCs w:val="28"/>
          <w:lang w:val="en-US" w:eastAsia="zh-CN" w:bidi="ar-SA"/>
        </w:rPr>
        <w:t>其他法律法规规定不允许占用或开发的</w:t>
      </w:r>
      <w:r>
        <w:rPr>
          <w:rFonts w:hint="eastAsia" w:cstheme="minorBidi"/>
          <w:color w:val="auto"/>
          <w:kern w:val="0"/>
          <w:sz w:val="28"/>
          <w:szCs w:val="28"/>
          <w:lang w:val="en-US" w:eastAsia="zh-CN" w:bidi="ar-SA"/>
        </w:rPr>
        <w:t>区域</w:t>
      </w:r>
      <w:r>
        <w:rPr>
          <w:rFonts w:hint="eastAsia" w:ascii="Times New Roman" w:hAnsi="Times New Roman" w:eastAsia="仿宋_GB2312" w:cstheme="minorBidi"/>
          <w:color w:val="auto"/>
          <w:kern w:val="0"/>
          <w:sz w:val="28"/>
          <w:szCs w:val="28"/>
          <w:lang w:val="en-US" w:eastAsia="zh-CN" w:bidi="ar-SA"/>
        </w:rPr>
        <w:t>，符合《福建省自然资源厅关于印发〈福建省土地征收成片开发方案报批实施细则（试行）〉的通知》（闽自然资发〔2021〕3号）的要求。</w:t>
      </w:r>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cs="仿宋_GB2312"/>
          <w:b/>
          <w:bCs/>
          <w:sz w:val="32"/>
          <w:szCs w:val="32"/>
          <w:lang w:val="en-US" w:eastAsia="zh-CN"/>
        </w:rPr>
      </w:pPr>
      <w:r>
        <w:rPr>
          <w:rFonts w:hint="eastAsia" w:ascii="Times New Roman" w:hAnsi="Times New Roman" w:eastAsia="仿宋_GB2312" w:cstheme="minorBidi"/>
          <w:color w:val="auto"/>
          <w:kern w:val="0"/>
          <w:sz w:val="28"/>
          <w:szCs w:val="28"/>
          <w:lang w:val="en-US" w:eastAsia="zh-CN" w:bidi="ar-SA"/>
        </w:rPr>
        <w:t>本次成片开发不涉及历史文化名城名镇名村传统村落和文物建筑历史建筑传统风貌建筑，不存在50年以上的建筑物，符合《福建省人民政府办公厅关于加强历史文化名城名镇名村传统村落和文物建筑历史建筑传统风貌建筑保护利用九条措施的通知》（闽政办〔2020〕53号文）要求。</w:t>
      </w:r>
    </w:p>
    <w:p>
      <w:pPr>
        <w:keepNext w:val="0"/>
        <w:keepLines w:val="0"/>
        <w:pageBreakBefore w:val="0"/>
        <w:widowControl/>
        <w:numPr>
          <w:ilvl w:val="0"/>
          <w:numId w:val="0"/>
        </w:numPr>
        <w:shd w:val="clear"/>
        <w:kinsoku/>
        <w:wordWrap/>
        <w:overflowPunct/>
        <w:topLinePunct w:val="0"/>
        <w:bidi w:val="0"/>
        <w:snapToGrid/>
        <w:spacing w:beforeLines="50" w:afterLines="50"/>
        <w:textAlignment w:val="auto"/>
        <w:outlineLvl w:val="0"/>
        <w:rPr>
          <w:rFonts w:hint="eastAsia" w:cs="仿宋_GB2312"/>
          <w:b/>
          <w:bCs/>
          <w:sz w:val="32"/>
          <w:szCs w:val="32"/>
        </w:rPr>
      </w:pPr>
      <w:bookmarkStart w:id="36" w:name="_Toc27736"/>
      <w:r>
        <w:rPr>
          <w:rFonts w:hint="eastAsia" w:cs="仿宋_GB2312"/>
          <w:b/>
          <w:bCs/>
          <w:sz w:val="32"/>
          <w:szCs w:val="32"/>
          <w:lang w:val="en-US" w:eastAsia="zh-CN"/>
        </w:rPr>
        <w:t>八、</w:t>
      </w:r>
      <w:r>
        <w:rPr>
          <w:rFonts w:hint="eastAsia" w:cs="仿宋_GB2312"/>
          <w:b/>
          <w:bCs/>
          <w:sz w:val="32"/>
          <w:szCs w:val="32"/>
        </w:rPr>
        <w:t>效益分析</w:t>
      </w:r>
      <w:bookmarkEnd w:id="36"/>
    </w:p>
    <w:p>
      <w:pPr>
        <w:pStyle w:val="2"/>
        <w:keepNext w:val="0"/>
        <w:keepLines w:val="0"/>
        <w:pageBreakBefore w:val="0"/>
        <w:widowControl/>
        <w:kinsoku/>
        <w:wordWrap/>
        <w:overflowPunct/>
        <w:topLinePunct w:val="0"/>
        <w:bidi w:val="0"/>
        <w:snapToGrid/>
        <w:ind w:firstLine="560"/>
        <w:textAlignment w:val="auto"/>
        <w:rPr>
          <w:rFonts w:hint="default" w:ascii="Times New Roman" w:hAnsi="Times New Roman"/>
          <w:kern w:val="0"/>
          <w:szCs w:val="28"/>
          <w:lang w:val="en-US" w:eastAsia="zh-CN"/>
        </w:rPr>
      </w:pPr>
      <w:r>
        <w:rPr>
          <w:rFonts w:hint="default" w:ascii="Times New Roman" w:hAnsi="Times New Roman"/>
          <w:kern w:val="0"/>
          <w:szCs w:val="28"/>
          <w:lang w:val="en-US" w:eastAsia="zh-CN"/>
        </w:rPr>
        <w:t>本</w:t>
      </w:r>
      <w:r>
        <w:rPr>
          <w:rFonts w:hint="eastAsia" w:ascii="Times New Roman" w:hAnsi="Times New Roman"/>
          <w:kern w:val="0"/>
          <w:szCs w:val="28"/>
          <w:lang w:val="en-US" w:eastAsia="zh-CN"/>
        </w:rPr>
        <w:t>次成片开发</w:t>
      </w:r>
      <w:r>
        <w:rPr>
          <w:rFonts w:hint="default" w:ascii="Times New Roman" w:hAnsi="Times New Roman"/>
          <w:kern w:val="0"/>
          <w:szCs w:val="28"/>
          <w:lang w:val="en-US" w:eastAsia="zh-CN"/>
        </w:rPr>
        <w:t>的建设对</w:t>
      </w:r>
      <w:r>
        <w:rPr>
          <w:rFonts w:hint="eastAsia" w:ascii="Times New Roman" w:hAnsi="Times New Roman"/>
          <w:kern w:val="0"/>
          <w:szCs w:val="28"/>
          <w:lang w:val="en-US" w:eastAsia="zh-CN"/>
        </w:rPr>
        <w:t>德化</w:t>
      </w:r>
      <w:r>
        <w:rPr>
          <w:rFonts w:hint="eastAsia"/>
          <w:kern w:val="0"/>
          <w:szCs w:val="28"/>
          <w:lang w:val="en-US" w:eastAsia="zh-CN"/>
        </w:rPr>
        <w:t>县</w:t>
      </w:r>
      <w:r>
        <w:rPr>
          <w:rFonts w:hint="eastAsia" w:ascii="Times New Roman" w:hAnsi="Times New Roman"/>
          <w:kern w:val="0"/>
          <w:szCs w:val="28"/>
          <w:lang w:val="en-US" w:eastAsia="zh-CN"/>
        </w:rPr>
        <w:t>及</w:t>
      </w:r>
      <w:r>
        <w:rPr>
          <w:rFonts w:hint="eastAsia"/>
          <w:kern w:val="0"/>
          <w:szCs w:val="28"/>
          <w:lang w:val="en-US" w:eastAsia="zh-CN"/>
        </w:rPr>
        <w:t>浔中镇</w:t>
      </w:r>
      <w:r>
        <w:rPr>
          <w:rFonts w:hint="eastAsia" w:ascii="Times New Roman" w:hAnsi="Times New Roman"/>
          <w:kern w:val="0"/>
          <w:szCs w:val="28"/>
          <w:lang w:val="en-US" w:eastAsia="zh-CN"/>
        </w:rPr>
        <w:t>的</w:t>
      </w:r>
      <w:r>
        <w:rPr>
          <w:rFonts w:hint="default" w:ascii="Times New Roman" w:hAnsi="Times New Roman"/>
          <w:kern w:val="0"/>
          <w:szCs w:val="28"/>
          <w:lang w:val="en-US" w:eastAsia="zh-CN"/>
        </w:rPr>
        <w:t>城市建设和社会发展将产生积极影响，对社会经济的可持续发展能够起到良好的推动作用。</w:t>
      </w:r>
    </w:p>
    <w:p>
      <w:pPr>
        <w:keepNext w:val="0"/>
        <w:keepLines w:val="0"/>
        <w:pageBreakBefore w:val="0"/>
        <w:widowControl/>
        <w:kinsoku/>
        <w:wordWrap/>
        <w:overflowPunct/>
        <w:topLinePunct w:val="0"/>
        <w:bidi w:val="0"/>
        <w:snapToGrid/>
        <w:spacing w:beforeLines="50" w:afterLines="50"/>
        <w:ind w:firstLine="0" w:firstLineChars="0"/>
        <w:textAlignment w:val="auto"/>
        <w:outlineLvl w:val="1"/>
        <w:rPr>
          <w:rFonts w:cs="仿宋_GB2312"/>
          <w:b/>
          <w:bCs/>
          <w:sz w:val="30"/>
          <w:szCs w:val="30"/>
        </w:rPr>
      </w:pPr>
      <w:bookmarkStart w:id="37" w:name="_Toc8588"/>
      <w:r>
        <w:rPr>
          <w:rFonts w:hint="eastAsia" w:cs="仿宋_GB2312"/>
          <w:b/>
          <w:bCs/>
          <w:sz w:val="30"/>
          <w:szCs w:val="30"/>
        </w:rPr>
        <w:t>（一）土地利用效益</w:t>
      </w:r>
      <w:bookmarkEnd w:id="37"/>
    </w:p>
    <w:p>
      <w:pPr>
        <w:ind w:firstLine="640"/>
        <w:rPr>
          <w:rFonts w:ascii="Times New Roman" w:hAnsi="Times New Roman" w:cs="Times New Roman"/>
          <w:szCs w:val="32"/>
        </w:rPr>
      </w:pPr>
      <w:r>
        <w:rPr>
          <w:rFonts w:hint="default" w:ascii="Times New Roman" w:hAnsi="Times New Roman"/>
          <w:kern w:val="0"/>
          <w:szCs w:val="28"/>
          <w:lang w:val="en-US" w:eastAsia="zh-CN"/>
        </w:rPr>
        <w:t>本</w:t>
      </w:r>
      <w:r>
        <w:rPr>
          <w:rFonts w:hint="eastAsia" w:ascii="Times New Roman" w:hAnsi="Times New Roman"/>
          <w:kern w:val="0"/>
          <w:szCs w:val="28"/>
          <w:lang w:val="en-US" w:eastAsia="zh-CN"/>
        </w:rPr>
        <w:t>次成片开发</w:t>
      </w:r>
      <w:r>
        <w:rPr>
          <w:rFonts w:hint="eastAsia" w:cstheme="minorBidi"/>
          <w:kern w:val="0"/>
          <w:sz w:val="28"/>
          <w:szCs w:val="28"/>
          <w:lang w:val="en-US" w:eastAsia="zh-CN" w:bidi="ar-SA"/>
        </w:rPr>
        <w:t>范围</w:t>
      </w:r>
      <w:r>
        <w:rPr>
          <w:rFonts w:hint="eastAsia" w:ascii="Times New Roman" w:hAnsi="Times New Roman" w:eastAsia="仿宋_GB2312" w:cstheme="minorBidi"/>
          <w:kern w:val="0"/>
          <w:sz w:val="28"/>
          <w:szCs w:val="28"/>
          <w:lang w:val="en-US" w:eastAsia="zh-CN" w:bidi="ar-SA"/>
        </w:rPr>
        <w:t>内现状多</w:t>
      </w:r>
      <w:r>
        <w:rPr>
          <w:rFonts w:hint="eastAsia" w:ascii="Times New Roman" w:hAnsi="Times New Roman" w:eastAsia="仿宋_GB2312" w:cstheme="minorBidi"/>
          <w:kern w:val="0"/>
          <w:sz w:val="28"/>
          <w:szCs w:val="28"/>
          <w:shd w:val="clear"/>
          <w:lang w:val="en-US" w:eastAsia="zh-CN" w:bidi="ar-SA"/>
        </w:rPr>
        <w:t>为</w:t>
      </w:r>
      <w:r>
        <w:rPr>
          <w:rFonts w:hint="eastAsia"/>
          <w:color w:val="auto"/>
          <w:kern w:val="0"/>
          <w:szCs w:val="28"/>
          <w:shd w:val="clear"/>
          <w:lang w:val="en-US" w:eastAsia="zh-CN"/>
        </w:rPr>
        <w:t>林地及园地，还有废弃监狱及</w:t>
      </w:r>
      <w:r>
        <w:rPr>
          <w:rFonts w:hint="eastAsia"/>
          <w:color w:val="auto"/>
          <w:kern w:val="0"/>
          <w:szCs w:val="28"/>
          <w:lang w:val="en-US" w:eastAsia="zh-CN"/>
        </w:rPr>
        <w:t>散落的村民、居民自建房，</w:t>
      </w:r>
      <w:r>
        <w:rPr>
          <w:rFonts w:hint="eastAsia" w:ascii="Times New Roman" w:hAnsi="Times New Roman" w:eastAsia="仿宋_GB2312" w:cstheme="minorBidi"/>
          <w:kern w:val="0"/>
          <w:sz w:val="28"/>
          <w:szCs w:val="28"/>
          <w:lang w:val="en-US" w:eastAsia="zh-CN" w:bidi="ar-SA"/>
        </w:rPr>
        <w:t>容积率低，</w:t>
      </w:r>
      <w:r>
        <w:rPr>
          <w:rFonts w:hint="eastAsia"/>
          <w:kern w:val="0"/>
          <w:szCs w:val="28"/>
        </w:rPr>
        <w:t>土地利用</w:t>
      </w:r>
      <w:r>
        <w:rPr>
          <w:rFonts w:hint="eastAsia"/>
          <w:kern w:val="0"/>
          <w:szCs w:val="28"/>
          <w:lang w:eastAsia="zh-CN"/>
        </w:rPr>
        <w:t>不</w:t>
      </w:r>
      <w:r>
        <w:rPr>
          <w:rFonts w:hint="eastAsia"/>
          <w:kern w:val="0"/>
          <w:szCs w:val="28"/>
        </w:rPr>
        <w:t>充分。</w:t>
      </w:r>
      <w:r>
        <w:rPr>
          <w:rFonts w:hint="eastAsia"/>
          <w:color w:val="auto"/>
          <w:kern w:val="0"/>
          <w:szCs w:val="28"/>
        </w:rPr>
        <w:t>通过本次成片开发，</w:t>
      </w:r>
      <w:r>
        <w:rPr>
          <w:rFonts w:hint="eastAsia"/>
          <w:color w:val="auto"/>
          <w:kern w:val="0"/>
          <w:szCs w:val="28"/>
          <w:lang w:val="en-US" w:eastAsia="zh-CN"/>
        </w:rPr>
        <w:t>整合</w:t>
      </w:r>
      <w:r>
        <w:rPr>
          <w:rFonts w:hint="eastAsia"/>
          <w:color w:val="auto"/>
          <w:kern w:val="0"/>
          <w:szCs w:val="28"/>
        </w:rPr>
        <w:t>土地资源，</w:t>
      </w:r>
      <w:r>
        <w:rPr>
          <w:rFonts w:hint="eastAsia"/>
          <w:color w:val="auto"/>
          <w:kern w:val="0"/>
          <w:szCs w:val="28"/>
          <w:lang w:val="en-US" w:eastAsia="zh-CN"/>
        </w:rPr>
        <w:t>合理规划用地布局，</w:t>
      </w:r>
      <w:r>
        <w:rPr>
          <w:rFonts w:ascii="Times New Roman" w:hAnsi="Times New Roman" w:cs="Times New Roman"/>
          <w:szCs w:val="32"/>
        </w:rPr>
        <w:t>将</w:t>
      </w:r>
      <w:r>
        <w:rPr>
          <w:rFonts w:hint="eastAsia"/>
          <w:color w:val="auto"/>
          <w:kern w:val="0"/>
          <w:szCs w:val="28"/>
        </w:rPr>
        <w:t>零散居民点集中安置，拟建</w:t>
      </w:r>
      <w:r>
        <w:rPr>
          <w:rFonts w:hint="eastAsia"/>
          <w:color w:val="auto"/>
          <w:kern w:val="0"/>
          <w:szCs w:val="28"/>
          <w:lang w:val="en-US" w:eastAsia="zh-CN"/>
        </w:rPr>
        <w:t>综合</w:t>
      </w:r>
      <w:r>
        <w:rPr>
          <w:rFonts w:hint="eastAsia"/>
          <w:color w:val="auto"/>
          <w:kern w:val="0"/>
          <w:szCs w:val="28"/>
        </w:rPr>
        <w:t>容积率</w:t>
      </w:r>
      <w:r>
        <w:rPr>
          <w:rFonts w:hint="eastAsia"/>
          <w:color w:val="auto"/>
          <w:kern w:val="0"/>
          <w:szCs w:val="28"/>
          <w:lang w:val="en-US" w:eastAsia="zh-CN"/>
        </w:rPr>
        <w:t>约为2.4</w:t>
      </w:r>
      <w:r>
        <w:rPr>
          <w:rFonts w:hint="eastAsia"/>
          <w:color w:val="auto"/>
          <w:kern w:val="0"/>
          <w:szCs w:val="28"/>
        </w:rPr>
        <w:t>，</w:t>
      </w:r>
      <w:r>
        <w:rPr>
          <w:rFonts w:hint="eastAsia"/>
          <w:color w:val="auto"/>
          <w:kern w:val="0"/>
          <w:szCs w:val="28"/>
          <w:lang w:val="en-US" w:eastAsia="zh-CN"/>
        </w:rPr>
        <w:t>建筑</w:t>
      </w:r>
      <w:r>
        <w:rPr>
          <w:rFonts w:hint="default"/>
          <w:color w:val="auto"/>
          <w:kern w:val="0"/>
          <w:szCs w:val="28"/>
          <w:lang w:eastAsia="zh-CN"/>
        </w:rPr>
        <w:t>高度</w:t>
      </w:r>
      <w:r>
        <w:rPr>
          <w:rFonts w:hint="eastAsia"/>
          <w:color w:val="auto"/>
          <w:kern w:val="0"/>
          <w:szCs w:val="28"/>
          <w:lang w:val="en-US" w:eastAsia="zh-CN"/>
        </w:rPr>
        <w:t>限高54米的两个居住小区。</w:t>
      </w:r>
      <w:r>
        <w:rPr>
          <w:rFonts w:hint="eastAsia"/>
          <w:color w:val="auto"/>
          <w:kern w:val="0"/>
          <w:szCs w:val="28"/>
        </w:rPr>
        <w:t>与分散的村民自建房相比，建设区域更加集中，容积率大幅提升，土地利用更加高效</w:t>
      </w:r>
      <w:r>
        <w:rPr>
          <w:rFonts w:hint="eastAsia"/>
          <w:color w:val="auto"/>
          <w:kern w:val="0"/>
          <w:szCs w:val="28"/>
          <w:lang w:eastAsia="zh-CN"/>
        </w:rPr>
        <w:t>。</w:t>
      </w:r>
      <w:r>
        <w:rPr>
          <w:rFonts w:hint="eastAsia"/>
          <w:color w:val="auto"/>
          <w:kern w:val="0"/>
          <w:szCs w:val="28"/>
          <w:lang w:val="en-US" w:eastAsia="zh-CN"/>
        </w:rPr>
        <w:t>片区</w:t>
      </w:r>
      <w:r>
        <w:rPr>
          <w:rFonts w:hint="eastAsia" w:ascii="Times New Roman" w:hAnsi="Times New Roman" w:eastAsia="仿宋_GB2312" w:cstheme="minorBidi"/>
          <w:kern w:val="0"/>
          <w:sz w:val="28"/>
          <w:szCs w:val="28"/>
          <w:lang w:val="en-US" w:eastAsia="zh-CN" w:bidi="ar-SA"/>
        </w:rPr>
        <w:t>开发</w:t>
      </w:r>
      <w:r>
        <w:rPr>
          <w:rFonts w:hint="eastAsia" w:ascii="Times New Roman" w:hAnsi="Times New Roman" w:cs="Times New Roman"/>
          <w:szCs w:val="32"/>
        </w:rPr>
        <w:t>城镇住宅用地</w:t>
      </w:r>
      <w:r>
        <w:rPr>
          <w:rFonts w:hint="eastAsia" w:ascii="Times New Roman" w:hAnsi="Times New Roman" w:cs="Times New Roman"/>
          <w:szCs w:val="32"/>
          <w:lang w:val="en-US" w:eastAsia="zh-CN"/>
        </w:rPr>
        <w:t>，</w:t>
      </w:r>
      <w:r>
        <w:rPr>
          <w:rFonts w:hint="eastAsia" w:ascii="Times New Roman" w:hAnsi="Times New Roman" w:eastAsia="仿宋_GB2312" w:cstheme="minorBidi"/>
          <w:kern w:val="0"/>
          <w:sz w:val="28"/>
          <w:szCs w:val="28"/>
          <w:lang w:val="en-US" w:eastAsia="zh-CN" w:bidi="ar-SA"/>
        </w:rPr>
        <w:t>建成集</w:t>
      </w:r>
      <w:r>
        <w:rPr>
          <w:rFonts w:hint="eastAsia" w:cstheme="minorBidi"/>
          <w:kern w:val="0"/>
          <w:sz w:val="28"/>
          <w:szCs w:val="28"/>
          <w:lang w:val="en-US" w:eastAsia="zh-CN" w:bidi="ar-SA"/>
        </w:rPr>
        <w:t>中学</w:t>
      </w:r>
      <w:r>
        <w:rPr>
          <w:rFonts w:hint="eastAsia" w:ascii="Times New Roman" w:hAnsi="Times New Roman" w:eastAsia="仿宋_GB2312" w:cstheme="minorBidi"/>
          <w:kern w:val="0"/>
          <w:sz w:val="28"/>
          <w:szCs w:val="28"/>
          <w:lang w:val="en-US" w:eastAsia="zh-CN" w:bidi="ar-SA"/>
        </w:rPr>
        <w:t>教育、</w:t>
      </w:r>
      <w:r>
        <w:rPr>
          <w:rFonts w:hint="default" w:ascii="Times New Roman" w:hAnsi="Times New Roman" w:eastAsia="仿宋_GB2312" w:cstheme="minorBidi"/>
          <w:kern w:val="0"/>
          <w:sz w:val="28"/>
          <w:szCs w:val="28"/>
          <w:lang w:val="en-US" w:eastAsia="zh-CN" w:bidi="ar-SA"/>
        </w:rPr>
        <w:t>生活配套、</w:t>
      </w:r>
      <w:r>
        <w:rPr>
          <w:rFonts w:hint="eastAsia" w:ascii="Times New Roman" w:hAnsi="Times New Roman" w:eastAsia="仿宋_GB2312" w:cstheme="minorBidi"/>
          <w:kern w:val="0"/>
          <w:sz w:val="28"/>
          <w:szCs w:val="28"/>
          <w:lang w:val="en-US" w:eastAsia="zh-CN" w:bidi="ar-SA"/>
        </w:rPr>
        <w:t>品质居住等功能为一体的多元复合现代化居住生活区，</w:t>
      </w:r>
      <w:r>
        <w:rPr>
          <w:rFonts w:ascii="Times New Roman" w:hAnsi="Times New Roman" w:cs="Times New Roman"/>
          <w:szCs w:val="32"/>
        </w:rPr>
        <w:t>节约集约利用</w:t>
      </w:r>
      <w:r>
        <w:rPr>
          <w:rFonts w:hint="eastAsia" w:ascii="Times New Roman" w:hAnsi="Times New Roman" w:cs="Times New Roman"/>
          <w:szCs w:val="32"/>
          <w:lang w:val="en-US" w:eastAsia="zh-CN"/>
        </w:rPr>
        <w:t>了</w:t>
      </w:r>
      <w:r>
        <w:rPr>
          <w:rFonts w:ascii="Times New Roman" w:hAnsi="Times New Roman" w:cs="Times New Roman"/>
          <w:szCs w:val="32"/>
        </w:rPr>
        <w:t>土地、优化了用地空间布局。</w:t>
      </w:r>
    </w:p>
    <w:p>
      <w:pPr>
        <w:keepNext w:val="0"/>
        <w:keepLines w:val="0"/>
        <w:pageBreakBefore w:val="0"/>
        <w:widowControl/>
        <w:kinsoku/>
        <w:wordWrap/>
        <w:overflowPunct/>
        <w:topLinePunct w:val="0"/>
        <w:bidi w:val="0"/>
        <w:snapToGrid/>
        <w:spacing w:beforeLines="50" w:afterLines="50"/>
        <w:ind w:firstLine="0" w:firstLineChars="0"/>
        <w:textAlignment w:val="auto"/>
        <w:outlineLvl w:val="1"/>
        <w:rPr>
          <w:rFonts w:hint="eastAsia" w:cs="仿宋_GB2312"/>
          <w:b/>
          <w:bCs/>
          <w:sz w:val="30"/>
          <w:szCs w:val="30"/>
        </w:rPr>
      </w:pPr>
      <w:bookmarkStart w:id="38" w:name="_Toc30105"/>
      <w:r>
        <w:rPr>
          <w:rFonts w:hint="eastAsia" w:cs="仿宋_GB2312"/>
          <w:b/>
          <w:bCs/>
          <w:sz w:val="30"/>
          <w:szCs w:val="30"/>
        </w:rPr>
        <w:t>（</w:t>
      </w:r>
      <w:r>
        <w:rPr>
          <w:rFonts w:hint="eastAsia" w:cs="仿宋_GB2312"/>
          <w:b/>
          <w:bCs/>
          <w:sz w:val="30"/>
          <w:szCs w:val="30"/>
          <w:lang w:val="en-US" w:eastAsia="zh-CN"/>
        </w:rPr>
        <w:t>二</w:t>
      </w:r>
      <w:r>
        <w:rPr>
          <w:rFonts w:hint="eastAsia" w:cs="仿宋_GB2312"/>
          <w:b/>
          <w:bCs/>
          <w:sz w:val="30"/>
          <w:szCs w:val="30"/>
        </w:rPr>
        <w:t>）经济效益</w:t>
      </w:r>
      <w:bookmarkEnd w:id="38"/>
    </w:p>
    <w:p>
      <w:pPr>
        <w:keepNext w:val="0"/>
        <w:keepLines w:val="0"/>
        <w:pageBreakBefore w:val="0"/>
        <w:widowControl/>
        <w:kinsoku/>
        <w:wordWrap/>
        <w:overflowPunct/>
        <w:topLinePunct w:val="0"/>
        <w:bidi w:val="0"/>
        <w:snapToGrid/>
        <w:ind w:left="0" w:leftChars="0" w:firstLine="560" w:firstLineChars="200"/>
        <w:textAlignment w:val="auto"/>
        <w:rPr>
          <w:rFonts w:hint="eastAsia"/>
          <w:color w:val="auto"/>
          <w:kern w:val="0"/>
          <w:szCs w:val="28"/>
          <w:highlight w:val="none"/>
          <w:lang w:val="en-US" w:eastAsia="zh-CN"/>
        </w:rPr>
      </w:pPr>
      <w:r>
        <w:rPr>
          <w:rFonts w:hint="eastAsia"/>
          <w:color w:val="auto"/>
          <w:lang w:val="en-US" w:eastAsia="zh-CN"/>
        </w:rPr>
        <w:t>本次成片开发可供出让经营性用地（居住用地）面积</w:t>
      </w:r>
      <w:r>
        <w:rPr>
          <w:rFonts w:hint="eastAsia" w:cs="宋体"/>
          <w:color w:val="auto"/>
          <w:kern w:val="0"/>
          <w:szCs w:val="28"/>
          <w:highlight w:val="none"/>
          <w:lang w:val="en-US" w:eastAsia="zh-CN"/>
        </w:rPr>
        <w:t>8.8684</w:t>
      </w:r>
      <w:r>
        <w:rPr>
          <w:rFonts w:hint="eastAsia"/>
          <w:color w:val="auto"/>
          <w:lang w:val="en-US" w:eastAsia="zh-CN"/>
        </w:rPr>
        <w:t>公顷，总建筑面积</w:t>
      </w:r>
      <w:r>
        <w:rPr>
          <w:rFonts w:hint="eastAsia"/>
          <w:color w:val="auto"/>
          <w:kern w:val="0"/>
          <w:szCs w:val="28"/>
          <w:lang w:val="en-US" w:eastAsia="zh-CN"/>
        </w:rPr>
        <w:t>约为212800</w:t>
      </w:r>
      <w:r>
        <w:rPr>
          <w:rFonts w:hint="eastAsia"/>
          <w:color w:val="auto"/>
          <w:lang w:val="en-US" w:eastAsia="zh-CN"/>
        </w:rPr>
        <w:t>平方米。周边目前住宅销售价格</w:t>
      </w:r>
      <w:r>
        <w:rPr>
          <w:rFonts w:hint="eastAsia" w:ascii="Times New Roman" w:hAnsi="Times New Roman" w:eastAsia="仿宋_GB2312" w:cstheme="minorBidi"/>
          <w:kern w:val="0"/>
          <w:sz w:val="28"/>
          <w:szCs w:val="28"/>
          <w:lang w:val="en-US" w:eastAsia="zh-CN" w:bidi="ar-SA"/>
        </w:rPr>
        <w:t>均值</w:t>
      </w:r>
      <w:r>
        <w:rPr>
          <w:rFonts w:hint="eastAsia"/>
          <w:color w:val="auto"/>
          <w:lang w:val="en-US" w:eastAsia="zh-CN"/>
        </w:rPr>
        <w:t>9500元/平方米左右，预计可实现销售收入约20亿元，可新增税收6600万元。成片</w:t>
      </w:r>
      <w:r>
        <w:rPr>
          <w:rFonts w:hint="eastAsia" w:ascii="Times New Roman" w:hAnsi="Times New Roman" w:eastAsia="仿宋_GB2312" w:cstheme="minorBidi"/>
          <w:color w:val="auto"/>
          <w:kern w:val="0"/>
          <w:sz w:val="28"/>
          <w:szCs w:val="28"/>
          <w:lang w:val="en-US" w:eastAsia="zh-CN" w:bidi="ar-SA"/>
        </w:rPr>
        <w:t>开发完成后可以改善居民居住条件，提高当地居民的生活水平和生活质量，对加快</w:t>
      </w:r>
      <w:r>
        <w:rPr>
          <w:rFonts w:hint="eastAsia" w:cstheme="minorBidi"/>
          <w:color w:val="auto"/>
          <w:kern w:val="0"/>
          <w:sz w:val="28"/>
          <w:szCs w:val="28"/>
          <w:lang w:val="en-US" w:eastAsia="zh-CN" w:bidi="ar-SA"/>
        </w:rPr>
        <w:t>德化县</w:t>
      </w:r>
      <w:r>
        <w:rPr>
          <w:rFonts w:hint="eastAsia" w:ascii="Times New Roman" w:hAnsi="Times New Roman" w:eastAsia="仿宋_GB2312" w:cstheme="minorBidi"/>
          <w:color w:val="auto"/>
          <w:kern w:val="0"/>
          <w:sz w:val="28"/>
          <w:szCs w:val="28"/>
          <w:lang w:val="en-US" w:eastAsia="zh-CN" w:bidi="ar-SA"/>
        </w:rPr>
        <w:t>社会经济发展、增加政</w:t>
      </w:r>
      <w:r>
        <w:rPr>
          <w:rFonts w:hint="eastAsia" w:ascii="Times New Roman" w:hAnsi="Times New Roman" w:eastAsia="仿宋_GB2312" w:cstheme="minorBidi"/>
          <w:kern w:val="0"/>
          <w:sz w:val="28"/>
          <w:szCs w:val="28"/>
          <w:lang w:val="en-US" w:eastAsia="zh-CN" w:bidi="ar-SA"/>
        </w:rPr>
        <w:t>府财政收入</w:t>
      </w:r>
      <w:r>
        <w:rPr>
          <w:rFonts w:hint="eastAsia" w:cstheme="minorBidi"/>
          <w:kern w:val="0"/>
          <w:sz w:val="28"/>
          <w:szCs w:val="28"/>
          <w:lang w:val="en-US" w:eastAsia="zh-CN" w:bidi="ar-SA"/>
        </w:rPr>
        <w:t>等</w:t>
      </w:r>
      <w:r>
        <w:rPr>
          <w:rFonts w:hint="eastAsia" w:ascii="Times New Roman" w:hAnsi="Times New Roman" w:eastAsia="仿宋_GB2312" w:cstheme="minorBidi"/>
          <w:kern w:val="0"/>
          <w:sz w:val="28"/>
          <w:szCs w:val="28"/>
          <w:lang w:val="en-US" w:eastAsia="zh-CN" w:bidi="ar-SA"/>
        </w:rPr>
        <w:t>都将起到积极的推动作用，并带动相关产业发展。</w:t>
      </w:r>
    </w:p>
    <w:p>
      <w:pPr>
        <w:keepNext w:val="0"/>
        <w:keepLines w:val="0"/>
        <w:pageBreakBefore w:val="0"/>
        <w:widowControl/>
        <w:kinsoku/>
        <w:wordWrap/>
        <w:overflowPunct/>
        <w:topLinePunct w:val="0"/>
        <w:bidi w:val="0"/>
        <w:snapToGrid/>
        <w:spacing w:beforeLines="50" w:afterLines="50"/>
        <w:ind w:firstLine="0" w:firstLineChars="0"/>
        <w:textAlignment w:val="auto"/>
        <w:outlineLvl w:val="1"/>
        <w:rPr>
          <w:rFonts w:hint="eastAsia" w:cs="仿宋_GB2312"/>
          <w:b/>
          <w:bCs/>
          <w:sz w:val="30"/>
          <w:szCs w:val="30"/>
        </w:rPr>
      </w:pPr>
      <w:bookmarkStart w:id="39" w:name="_Toc3302"/>
      <w:r>
        <w:rPr>
          <w:rFonts w:hint="eastAsia" w:cs="仿宋_GB2312"/>
          <w:b/>
          <w:bCs/>
          <w:sz w:val="30"/>
          <w:szCs w:val="30"/>
        </w:rPr>
        <w:t>（</w:t>
      </w:r>
      <w:r>
        <w:rPr>
          <w:rFonts w:hint="eastAsia" w:cs="仿宋_GB2312"/>
          <w:b/>
          <w:bCs/>
          <w:sz w:val="30"/>
          <w:szCs w:val="30"/>
          <w:lang w:val="en-US" w:eastAsia="zh-CN"/>
        </w:rPr>
        <w:t>三</w:t>
      </w:r>
      <w:r>
        <w:rPr>
          <w:rFonts w:hint="eastAsia" w:cs="仿宋_GB2312"/>
          <w:b/>
          <w:bCs/>
          <w:sz w:val="30"/>
          <w:szCs w:val="30"/>
        </w:rPr>
        <w:t>）社会效益</w:t>
      </w:r>
      <w:bookmarkEnd w:id="39"/>
    </w:p>
    <w:p>
      <w:pPr>
        <w:pStyle w:val="2"/>
        <w:keepNext w:val="0"/>
        <w:keepLines w:val="0"/>
        <w:pageBreakBefore w:val="0"/>
        <w:widowControl/>
        <w:shd w:val="clear"/>
        <w:kinsoku/>
        <w:wordWrap/>
        <w:overflowPunct/>
        <w:topLinePunct w:val="0"/>
        <w:autoSpaceDE/>
        <w:autoSpaceDN/>
        <w:bidi w:val="0"/>
        <w:adjustRightInd/>
        <w:snapToGrid/>
        <w:ind w:firstLine="562"/>
        <w:textAlignment w:val="auto"/>
        <w:rPr>
          <w:rFonts w:hint="eastAsia"/>
          <w:lang w:eastAsia="zh-CN"/>
        </w:rPr>
      </w:pPr>
      <w:r>
        <w:rPr>
          <w:rFonts w:hint="eastAsia" w:ascii="Times New Roman" w:hAnsi="Times New Roman"/>
        </w:rPr>
        <w:t>本次成片开发社会效益显著，成片开发实施后，可新增住宅建筑规模约</w:t>
      </w:r>
      <w:r>
        <w:rPr>
          <w:rFonts w:hint="eastAsia" w:ascii="Times New Roman" w:hAnsi="Times New Roman"/>
          <w:lang w:val="en-US" w:eastAsia="zh-CN"/>
        </w:rPr>
        <w:t>212800</w:t>
      </w:r>
      <w:r>
        <w:rPr>
          <w:rFonts w:hint="eastAsia" w:ascii="Times New Roman" w:hAnsi="Times New Roman"/>
        </w:rPr>
        <w:t>平方米，按住宅建筑面积45m</w:t>
      </w:r>
      <w:r>
        <w:rPr>
          <w:rFonts w:hint="eastAsia" w:ascii="Times New Roman" w:hAnsi="Times New Roman"/>
          <w:sz w:val="28"/>
          <w:vertAlign w:val="superscript"/>
        </w:rPr>
        <w:t>2</w:t>
      </w:r>
      <w:r>
        <w:rPr>
          <w:rFonts w:hint="eastAsia" w:ascii="Times New Roman" w:hAnsi="Times New Roman"/>
        </w:rPr>
        <w:t>/人进行预测，约可满足</w:t>
      </w:r>
      <w:r>
        <w:rPr>
          <w:rFonts w:hint="eastAsia" w:ascii="Times New Roman" w:hAnsi="Times New Roman"/>
          <w:lang w:val="en-US" w:eastAsia="zh-CN"/>
        </w:rPr>
        <w:t>4700</w:t>
      </w:r>
      <w:r>
        <w:rPr>
          <w:rFonts w:hint="eastAsia" w:ascii="Times New Roman" w:hAnsi="Times New Roman"/>
        </w:rPr>
        <w:t>人口居住需求</w:t>
      </w:r>
      <w:r>
        <w:rPr>
          <w:rFonts w:hint="eastAsia" w:ascii="Times New Roman" w:hAnsi="Times New Roman"/>
          <w:lang w:val="en-US" w:eastAsia="zh-CN"/>
        </w:rPr>
        <w:t>。同时，片区在周边已有职业教育学校、幼儿园、小学的基础上，新建48班德化五中新校区，对教育资源进行了优化配置及升级完善，进一步缓解</w:t>
      </w:r>
      <w:r>
        <w:rPr>
          <w:rFonts w:hint="eastAsia"/>
          <w:lang w:val="en-US" w:eastAsia="zh-CN"/>
        </w:rPr>
        <w:t>区域</w:t>
      </w:r>
      <w:r>
        <w:rPr>
          <w:rFonts w:hint="eastAsia" w:ascii="Times New Roman" w:hAnsi="Times New Roman"/>
          <w:lang w:val="en-US" w:eastAsia="zh-CN"/>
        </w:rPr>
        <w:t>教育资源不足的问题。片区实施后，</w:t>
      </w:r>
      <w:r>
        <w:rPr>
          <w:rFonts w:hint="eastAsia" w:ascii="Times New Roman" w:hAnsi="Times New Roman"/>
        </w:rPr>
        <w:t>对</w:t>
      </w:r>
      <w:r>
        <w:rPr>
          <w:rFonts w:hint="eastAsia" w:ascii="Times New Roman" w:hAnsi="Times New Roman"/>
          <w:lang w:val="en-US" w:eastAsia="zh-CN"/>
        </w:rPr>
        <w:t>周边</w:t>
      </w:r>
      <w:r>
        <w:rPr>
          <w:rFonts w:hint="eastAsia" w:ascii="Times New Roman" w:hAnsi="Times New Roman"/>
        </w:rPr>
        <w:t>居民进行集中安置，高起点的规划、建设集中居住小区，</w:t>
      </w:r>
      <w:r>
        <w:rPr>
          <w:rFonts w:hint="eastAsia" w:ascii="Times New Roman" w:hAnsi="Times New Roman"/>
          <w:lang w:val="en-US" w:eastAsia="zh-CN"/>
        </w:rPr>
        <w:t>并配置中学、道路等配套设施</w:t>
      </w:r>
      <w:r>
        <w:rPr>
          <w:rFonts w:hint="eastAsia" w:ascii="Times New Roman" w:hAnsi="Times New Roman"/>
        </w:rPr>
        <w:t>，为居民创造生活、</w:t>
      </w:r>
      <w:r>
        <w:rPr>
          <w:rFonts w:hint="eastAsia" w:ascii="Times New Roman" w:hAnsi="Times New Roman"/>
          <w:lang w:val="en-US" w:eastAsia="zh-CN"/>
        </w:rPr>
        <w:t>教育、</w:t>
      </w:r>
      <w:r>
        <w:rPr>
          <w:rFonts w:hint="eastAsia" w:ascii="Times New Roman" w:hAnsi="Times New Roman"/>
        </w:rPr>
        <w:t>休闲为一体的环境，将会明显改善居民生活环境和卫生条件，提高居民生活品质和</w:t>
      </w:r>
      <w:r>
        <w:rPr>
          <w:rFonts w:hint="eastAsia" w:ascii="Times New Roman" w:hAnsi="Times New Roman"/>
          <w:lang w:val="en-US" w:eastAsia="zh-CN"/>
        </w:rPr>
        <w:t>教育</w:t>
      </w:r>
      <w:r>
        <w:rPr>
          <w:rFonts w:hint="eastAsia" w:ascii="Times New Roman" w:hAnsi="Times New Roman"/>
        </w:rPr>
        <w:t>水平</w:t>
      </w:r>
      <w:r>
        <w:rPr>
          <w:rFonts w:hint="eastAsia" w:ascii="Times New Roman" w:hAnsi="Times New Roman"/>
          <w:lang w:eastAsia="zh-CN"/>
        </w:rPr>
        <w:t>，</w:t>
      </w:r>
      <w:r>
        <w:rPr>
          <w:rFonts w:hint="eastAsia" w:ascii="Times New Roman" w:hAnsi="Times New Roman"/>
          <w:lang w:val="en-US" w:eastAsia="zh-CN"/>
        </w:rPr>
        <w:t>促进区域整体品质的稳步提升</w:t>
      </w:r>
      <w:r>
        <w:rPr>
          <w:rFonts w:hint="eastAsia" w:ascii="Times New Roman" w:hAnsi="Times New Roman"/>
          <w:lang w:eastAsia="zh-CN"/>
        </w:rPr>
        <w:t>。</w:t>
      </w:r>
    </w:p>
    <w:p>
      <w:pPr>
        <w:keepNext w:val="0"/>
        <w:keepLines w:val="0"/>
        <w:pageBreakBefore w:val="0"/>
        <w:widowControl/>
        <w:kinsoku/>
        <w:wordWrap/>
        <w:overflowPunct/>
        <w:topLinePunct w:val="0"/>
        <w:bidi w:val="0"/>
        <w:snapToGrid/>
        <w:spacing w:beforeLines="50" w:afterLines="50"/>
        <w:ind w:firstLine="0" w:firstLineChars="0"/>
        <w:textAlignment w:val="auto"/>
        <w:outlineLvl w:val="1"/>
        <w:rPr>
          <w:rFonts w:hint="eastAsia" w:ascii="Times New Roman" w:hAnsi="Times New Roman" w:cs="仿宋_GB2312"/>
          <w:b/>
          <w:bCs/>
          <w:sz w:val="30"/>
          <w:szCs w:val="30"/>
        </w:rPr>
      </w:pPr>
      <w:bookmarkStart w:id="40" w:name="_Toc336"/>
      <w:r>
        <w:rPr>
          <w:rFonts w:hint="eastAsia" w:ascii="Times New Roman" w:hAnsi="Times New Roman" w:cs="仿宋_GB2312"/>
          <w:b/>
          <w:bCs/>
          <w:sz w:val="30"/>
          <w:szCs w:val="30"/>
        </w:rPr>
        <w:t>（</w:t>
      </w:r>
      <w:r>
        <w:rPr>
          <w:rFonts w:hint="eastAsia" w:ascii="Times New Roman" w:hAnsi="Times New Roman" w:cs="仿宋_GB2312"/>
          <w:b/>
          <w:bCs/>
          <w:sz w:val="30"/>
          <w:szCs w:val="30"/>
          <w:lang w:val="en-US" w:eastAsia="zh-CN"/>
        </w:rPr>
        <w:t>四</w:t>
      </w:r>
      <w:r>
        <w:rPr>
          <w:rFonts w:hint="eastAsia" w:ascii="Times New Roman" w:hAnsi="Times New Roman" w:cs="仿宋_GB2312"/>
          <w:b/>
          <w:bCs/>
          <w:sz w:val="30"/>
          <w:szCs w:val="30"/>
        </w:rPr>
        <w:t>）生态效益</w:t>
      </w:r>
      <w:bookmarkEnd w:id="40"/>
    </w:p>
    <w:p>
      <w:pPr>
        <w:numPr>
          <w:ilvl w:val="0"/>
          <w:numId w:val="0"/>
        </w:numPr>
        <w:ind w:firstLine="560" w:firstLineChars="200"/>
        <w:rPr>
          <w:rFonts w:hint="eastAsia" w:cstheme="minorBidi"/>
          <w:kern w:val="0"/>
          <w:sz w:val="28"/>
          <w:szCs w:val="28"/>
          <w:lang w:val="en-US" w:eastAsia="zh-CN" w:bidi="ar-SA"/>
        </w:rPr>
      </w:pPr>
      <w:r>
        <w:rPr>
          <w:rFonts w:hint="eastAsia" w:ascii="Times New Roman" w:hAnsi="Times New Roman"/>
          <w:lang w:val="en-US" w:eastAsia="zh-CN"/>
        </w:rPr>
        <w:t xml:space="preserve">本次成片开发以居住、教育功能为主。项目建设过程中，注重协调居住、教育用地周边的生态环境和水土保持，提升生态景观效益。 </w:t>
      </w:r>
      <w:r>
        <w:rPr>
          <w:rFonts w:hint="eastAsia" w:ascii="Times New Roman" w:hAnsi="Times New Roman" w:eastAsia="仿宋_GB2312" w:cstheme="minorBidi"/>
          <w:kern w:val="0"/>
          <w:sz w:val="28"/>
          <w:szCs w:val="28"/>
          <w:lang w:val="en-US" w:eastAsia="zh-CN" w:bidi="ar-SA"/>
        </w:rPr>
        <w:t>根据</w:t>
      </w:r>
      <w:r>
        <w:rPr>
          <w:rFonts w:hint="eastAsia" w:cstheme="minorBidi"/>
          <w:kern w:val="0"/>
          <w:sz w:val="28"/>
          <w:szCs w:val="28"/>
          <w:lang w:val="en-US" w:eastAsia="zh-CN" w:bidi="ar-SA"/>
        </w:rPr>
        <w:t>居住及教育规划</w:t>
      </w:r>
      <w:r>
        <w:rPr>
          <w:rFonts w:hint="eastAsia" w:ascii="Times New Roman" w:hAnsi="Times New Roman" w:eastAsia="仿宋_GB2312" w:cstheme="minorBidi"/>
          <w:kern w:val="0"/>
          <w:sz w:val="28"/>
          <w:szCs w:val="28"/>
          <w:lang w:val="en-US" w:eastAsia="zh-CN" w:bidi="ar-SA"/>
        </w:rPr>
        <w:t>相关规范，居住</w:t>
      </w:r>
      <w:r>
        <w:rPr>
          <w:rFonts w:hint="eastAsia" w:cstheme="minorBidi"/>
          <w:kern w:val="0"/>
          <w:sz w:val="28"/>
          <w:szCs w:val="28"/>
          <w:lang w:val="en-US" w:eastAsia="zh-CN" w:bidi="ar-SA"/>
        </w:rPr>
        <w:t>、教育用地需至少</w:t>
      </w:r>
      <w:r>
        <w:rPr>
          <w:rFonts w:hint="eastAsia" w:ascii="Times New Roman" w:hAnsi="Times New Roman" w:eastAsia="仿宋_GB2312" w:cstheme="minorBidi"/>
          <w:kern w:val="0"/>
          <w:sz w:val="28"/>
          <w:szCs w:val="28"/>
          <w:lang w:val="en-US" w:eastAsia="zh-CN" w:bidi="ar-SA"/>
        </w:rPr>
        <w:t>有</w:t>
      </w:r>
      <w:r>
        <w:rPr>
          <w:rFonts w:hint="eastAsia" w:cstheme="minorBidi"/>
          <w:kern w:val="0"/>
          <w:sz w:val="28"/>
          <w:szCs w:val="28"/>
          <w:lang w:val="en-US" w:eastAsia="zh-CN" w:bidi="ar-SA"/>
        </w:rPr>
        <w:t>30%</w:t>
      </w:r>
      <w:r>
        <w:rPr>
          <w:rFonts w:hint="eastAsia" w:ascii="Times New Roman" w:hAnsi="Times New Roman" w:eastAsia="仿宋_GB2312" w:cstheme="minorBidi"/>
          <w:kern w:val="0"/>
          <w:sz w:val="28"/>
          <w:szCs w:val="28"/>
          <w:lang w:val="en-US" w:eastAsia="zh-CN" w:bidi="ar-SA"/>
        </w:rPr>
        <w:t>的绿化配套，</w:t>
      </w:r>
      <w:r>
        <w:rPr>
          <w:rFonts w:hint="eastAsia" w:cstheme="minorBidi"/>
          <w:kern w:val="0"/>
          <w:sz w:val="28"/>
          <w:szCs w:val="28"/>
          <w:lang w:val="en-US" w:eastAsia="zh-CN" w:bidi="ar-SA"/>
        </w:rPr>
        <w:t>共计约4.0122公顷绿地。绿地建成后可降低噪音，美化环境，</w:t>
      </w:r>
      <w:r>
        <w:rPr>
          <w:rFonts w:hint="eastAsia" w:ascii="Times New Roman" w:hAnsi="Times New Roman" w:eastAsia="仿宋_GB2312" w:cstheme="minorBidi"/>
          <w:kern w:val="0"/>
          <w:sz w:val="28"/>
          <w:szCs w:val="28"/>
          <w:lang w:val="en-US" w:eastAsia="zh-CN" w:bidi="ar-SA"/>
        </w:rPr>
        <w:t>涵养水源，</w:t>
      </w:r>
      <w:r>
        <w:rPr>
          <w:rFonts w:hint="eastAsia" w:cstheme="minorBidi"/>
          <w:kern w:val="0"/>
          <w:sz w:val="28"/>
          <w:szCs w:val="28"/>
          <w:lang w:val="en-US" w:eastAsia="zh-CN" w:bidi="ar-SA"/>
        </w:rPr>
        <w:t>有利于改善片区生态</w:t>
      </w:r>
      <w:r>
        <w:rPr>
          <w:rFonts w:hint="eastAsia" w:ascii="Times New Roman" w:hAnsi="Times New Roman" w:eastAsia="仿宋_GB2312" w:cstheme="minorBidi"/>
          <w:kern w:val="0"/>
          <w:sz w:val="28"/>
          <w:szCs w:val="28"/>
          <w:lang w:val="en-US" w:eastAsia="zh-CN" w:bidi="ar-SA"/>
        </w:rPr>
        <w:t>环境质量。</w:t>
      </w:r>
    </w:p>
    <w:p>
      <w:pPr>
        <w:keepNext w:val="0"/>
        <w:keepLines w:val="0"/>
        <w:widowControl/>
        <w:suppressLineNumbers w:val="0"/>
        <w:jc w:val="left"/>
      </w:pPr>
      <w:r>
        <w:rPr>
          <w:rFonts w:hint="eastAsia" w:ascii="Times New Roman" w:hAnsi="Times New Roman"/>
          <w:lang w:val="en-US" w:eastAsia="zh-CN"/>
        </w:rPr>
        <w:t>本次成片开发不存在高耗能、高污染的项目，不存在对大气</w:t>
      </w:r>
      <w:r>
        <w:rPr>
          <w:rFonts w:hint="eastAsia"/>
          <w:lang w:val="en-US" w:eastAsia="zh-CN"/>
        </w:rPr>
        <w:t>及地表水</w:t>
      </w:r>
      <w:r>
        <w:rPr>
          <w:rFonts w:hint="eastAsia" w:ascii="Times New Roman" w:hAnsi="Times New Roman"/>
          <w:lang w:val="en-US" w:eastAsia="zh-CN"/>
        </w:rPr>
        <w:t>环境产生较大影响的污染源和污染物</w:t>
      </w:r>
      <w:r>
        <w:rPr>
          <w:rFonts w:hint="eastAsia"/>
          <w:lang w:val="en-US" w:eastAsia="zh-CN"/>
        </w:rPr>
        <w:t>。同时，片区</w:t>
      </w:r>
      <w:r>
        <w:rPr>
          <w:rFonts w:hint="eastAsia" w:ascii="Times New Roman" w:hAnsi="Times New Roman"/>
          <w:lang w:val="en-US" w:eastAsia="zh-CN"/>
        </w:rPr>
        <w:t>通过加快污水管网建设和改造、推进雨污分流，结合海绵城市建设等措施可有效保护并改善地表水环境。片区内利用市政污水管网将生活污水排放至位于片区附近的浔中镇凤洋村的污水处理厂处理，降低生活污水排放对地下水环境的不良影响。</w:t>
      </w:r>
      <w:r>
        <w:rPr>
          <w:rFonts w:hint="eastAsia" w:cstheme="minorBidi"/>
          <w:kern w:val="0"/>
          <w:sz w:val="28"/>
          <w:szCs w:val="28"/>
          <w:lang w:val="en-US" w:eastAsia="zh-CN" w:bidi="ar-SA"/>
        </w:rPr>
        <w:t xml:space="preserve">项目区建成运营后，居民生活产生的生活垃圾等固体废物，将遵循减量化、资源化、无害化三原则，统一收集、清运、集中处置。 </w:t>
      </w:r>
    </w:p>
    <w:p>
      <w:pPr>
        <w:keepNext w:val="0"/>
        <w:keepLines w:val="0"/>
        <w:pageBreakBefore w:val="0"/>
        <w:widowControl/>
        <w:numPr>
          <w:ilvl w:val="0"/>
          <w:numId w:val="0"/>
        </w:numPr>
        <w:shd w:val="clear"/>
        <w:kinsoku/>
        <w:wordWrap/>
        <w:overflowPunct/>
        <w:topLinePunct w:val="0"/>
        <w:bidi w:val="0"/>
        <w:snapToGrid/>
        <w:spacing w:beforeLines="50" w:afterLines="50"/>
        <w:textAlignment w:val="auto"/>
        <w:outlineLvl w:val="0"/>
        <w:rPr>
          <w:rFonts w:hint="eastAsia" w:cs="仿宋_GB2312"/>
          <w:b/>
          <w:bCs/>
          <w:sz w:val="32"/>
          <w:szCs w:val="32"/>
        </w:rPr>
      </w:pPr>
      <w:bookmarkStart w:id="41" w:name="_Toc22290"/>
      <w:r>
        <w:rPr>
          <w:rFonts w:hint="eastAsia" w:cs="仿宋_GB2312"/>
          <w:b/>
          <w:bCs/>
          <w:sz w:val="32"/>
          <w:szCs w:val="32"/>
          <w:lang w:val="en-US" w:eastAsia="zh-CN"/>
        </w:rPr>
        <w:t>九、</w:t>
      </w:r>
      <w:r>
        <w:rPr>
          <w:rFonts w:hint="eastAsia" w:cs="仿宋_GB2312"/>
          <w:b/>
          <w:bCs/>
          <w:sz w:val="32"/>
          <w:szCs w:val="32"/>
        </w:rPr>
        <w:t>征求意见情况</w:t>
      </w:r>
      <w:bookmarkEnd w:id="41"/>
    </w:p>
    <w:p>
      <w:pPr>
        <w:keepNext w:val="0"/>
        <w:keepLines w:val="0"/>
        <w:pageBreakBefore w:val="0"/>
        <w:widowControl/>
        <w:kinsoku/>
        <w:wordWrap/>
        <w:overflowPunct/>
        <w:topLinePunct w:val="0"/>
        <w:bidi w:val="0"/>
        <w:snapToGrid/>
        <w:spacing w:beforeLines="50" w:afterLines="50"/>
        <w:ind w:firstLine="0" w:firstLineChars="0"/>
        <w:textAlignment w:val="auto"/>
        <w:outlineLvl w:val="1"/>
        <w:rPr>
          <w:rFonts w:hint="eastAsia" w:ascii="Times New Roman" w:hAnsi="Times New Roman" w:cs="仿宋_GB2312"/>
          <w:b/>
          <w:bCs/>
          <w:sz w:val="30"/>
          <w:szCs w:val="30"/>
        </w:rPr>
      </w:pPr>
      <w:bookmarkStart w:id="42" w:name="_Toc22266"/>
      <w:bookmarkStart w:id="43" w:name="_Toc61179750"/>
      <w:bookmarkStart w:id="44" w:name="_Toc18047"/>
      <w:r>
        <w:rPr>
          <w:rFonts w:hint="eastAsia" w:ascii="Times New Roman" w:hAnsi="Times New Roman" w:cs="仿宋_GB2312"/>
          <w:b/>
          <w:bCs/>
          <w:sz w:val="30"/>
          <w:szCs w:val="30"/>
        </w:rPr>
        <w:t>（一）征求人大代表、政协委员、社会公众和有关专家学者意见</w:t>
      </w:r>
      <w:bookmarkEnd w:id="42"/>
    </w:p>
    <w:p>
      <w:pPr>
        <w:pStyle w:val="2"/>
        <w:keepNext w:val="0"/>
        <w:keepLines w:val="0"/>
        <w:pageBreakBefore w:val="0"/>
        <w:widowControl/>
        <w:kinsoku/>
        <w:wordWrap/>
        <w:overflowPunct/>
        <w:topLinePunct w:val="0"/>
        <w:autoSpaceDE/>
        <w:autoSpaceDN/>
        <w:bidi w:val="0"/>
        <w:adjustRightInd/>
        <w:snapToGrid/>
        <w:ind w:firstLine="560"/>
        <w:textAlignment w:val="auto"/>
        <w:rPr>
          <w:color w:val="000000" w:themeColor="text1"/>
          <w:kern w:val="0"/>
          <w:szCs w:val="28"/>
          <w14:textFill>
            <w14:solidFill>
              <w14:schemeClr w14:val="tx1"/>
            </w14:solidFill>
          </w14:textFill>
        </w:rPr>
      </w:pPr>
      <w:r>
        <w:rPr>
          <w:rFonts w:hint="eastAsia"/>
          <w:color w:val="000000" w:themeColor="text1"/>
          <w:kern w:val="0"/>
          <w:szCs w:val="28"/>
          <w:lang w:val="en-US" w:eastAsia="zh-CN"/>
          <w14:textFill>
            <w14:solidFill>
              <w14:schemeClr w14:val="tx1"/>
            </w14:solidFill>
          </w14:textFill>
        </w:rPr>
        <w:t>2021年8月</w:t>
      </w:r>
      <w:r>
        <w:rPr>
          <w:rFonts w:hint="default"/>
          <w:color w:val="000000" w:themeColor="text1"/>
          <w:kern w:val="0"/>
          <w:szCs w:val="28"/>
          <w:lang w:eastAsia="zh-CN"/>
          <w14:textFill>
            <w14:solidFill>
              <w14:schemeClr w14:val="tx1"/>
            </w14:solidFill>
          </w14:textFill>
        </w:rPr>
        <w:t>2</w:t>
      </w:r>
      <w:r>
        <w:rPr>
          <w:rFonts w:hint="eastAsia"/>
          <w:color w:val="000000" w:themeColor="text1"/>
          <w:kern w:val="0"/>
          <w:szCs w:val="28"/>
          <w:lang w:val="en-US" w:eastAsia="zh-CN"/>
          <w14:textFill>
            <w14:solidFill>
              <w14:schemeClr w14:val="tx1"/>
            </w14:solidFill>
          </w14:textFill>
        </w:rPr>
        <w:t>6日</w:t>
      </w:r>
      <w:r>
        <w:rPr>
          <w:rFonts w:hint="eastAsia" w:ascii="Times New Roman" w:hAnsi="Times New Roman"/>
          <w:color w:val="000000" w:themeColor="text1"/>
          <w:kern w:val="0"/>
          <w:szCs w:val="28"/>
          <w:lang w:val="en-US" w:eastAsia="zh-CN"/>
          <w14:textFill>
            <w14:solidFill>
              <w14:schemeClr w14:val="tx1"/>
            </w14:solidFill>
          </w14:textFill>
        </w:rPr>
        <w:t>，</w:t>
      </w:r>
      <w:r>
        <w:rPr>
          <w:rFonts w:hint="eastAsia"/>
          <w:color w:val="000000" w:themeColor="text1"/>
          <w:kern w:val="0"/>
          <w:szCs w:val="28"/>
          <w:lang w:val="en-US" w:eastAsia="zh-CN"/>
          <w14:textFill>
            <w14:solidFill>
              <w14:schemeClr w14:val="tx1"/>
            </w14:solidFill>
          </w14:textFill>
        </w:rPr>
        <w:t>德化</w:t>
      </w:r>
      <w:r>
        <w:rPr>
          <w:rFonts w:hint="eastAsia" w:ascii="Times New Roman" w:hAnsi="Times New Roman" w:eastAsia="仿宋_GB2312"/>
          <w:color w:val="000000" w:themeColor="text1"/>
          <w:kern w:val="0"/>
          <w:szCs w:val="28"/>
          <w:lang w:val="en-US" w:eastAsia="zh-CN"/>
          <w14:textFill>
            <w14:solidFill>
              <w14:schemeClr w14:val="tx1"/>
            </w14:solidFill>
          </w14:textFill>
        </w:rPr>
        <w:t>县</w:t>
      </w:r>
      <w:r>
        <w:rPr>
          <w:rFonts w:hint="eastAsia"/>
          <w:color w:val="000000" w:themeColor="text1"/>
          <w:kern w:val="0"/>
          <w:szCs w:val="28"/>
          <w:lang w:val="en-US" w:eastAsia="zh-CN"/>
          <w14:textFill>
            <w14:solidFill>
              <w14:schemeClr w14:val="tx1"/>
            </w14:solidFill>
          </w14:textFill>
        </w:rPr>
        <w:t>人民政府</w:t>
      </w:r>
      <w:r>
        <w:rPr>
          <w:rFonts w:hint="eastAsia" w:ascii="Times New Roman" w:hAnsi="Times New Roman" w:eastAsia="仿宋_GB2312"/>
          <w:color w:val="000000" w:themeColor="text1"/>
          <w:kern w:val="0"/>
          <w:szCs w:val="28"/>
          <w:lang w:val="en-US" w:eastAsia="zh-CN"/>
          <w14:textFill>
            <w14:solidFill>
              <w14:schemeClr w14:val="tx1"/>
            </w14:solidFill>
          </w14:textFill>
        </w:rPr>
        <w:t>通过</w:t>
      </w:r>
      <w:r>
        <w:rPr>
          <w:rFonts w:hint="eastAsia"/>
          <w:color w:val="000000" w:themeColor="text1"/>
          <w:kern w:val="0"/>
          <w:szCs w:val="28"/>
          <w:lang w:val="en-US" w:eastAsia="zh-CN"/>
          <w14:textFill>
            <w14:solidFill>
              <w14:schemeClr w14:val="tx1"/>
            </w14:solidFill>
          </w14:textFill>
        </w:rPr>
        <w:t>书面征询意见</w:t>
      </w:r>
      <w:r>
        <w:rPr>
          <w:rFonts w:hint="eastAsia" w:ascii="Times New Roman" w:hAnsi="Times New Roman" w:eastAsia="仿宋_GB2312"/>
          <w:color w:val="000000" w:themeColor="text1"/>
          <w:kern w:val="0"/>
          <w:szCs w:val="28"/>
          <w:lang w:val="en-US" w:eastAsia="zh-CN"/>
          <w14:textFill>
            <w14:solidFill>
              <w14:schemeClr w14:val="tx1"/>
            </w14:solidFill>
          </w14:textFill>
        </w:rPr>
        <w:t>方式，</w:t>
      </w:r>
      <w:r>
        <w:rPr>
          <w:rFonts w:hint="eastAsia"/>
          <w:color w:val="000000" w:themeColor="text1"/>
          <w:kern w:val="0"/>
          <w:szCs w:val="28"/>
          <w:lang w:val="en-US" w:eastAsia="zh-CN"/>
          <w14:textFill>
            <w14:solidFill>
              <w14:schemeClr w14:val="tx1"/>
            </w14:solidFill>
          </w14:textFill>
        </w:rPr>
        <w:t>征求了</w:t>
      </w:r>
      <w:r>
        <w:rPr>
          <w:rFonts w:hint="eastAsia" w:ascii="Times New Roman" w:hAnsi="Times New Roman" w:eastAsia="仿宋_GB2312"/>
          <w:color w:val="000000" w:themeColor="text1"/>
          <w:kern w:val="0"/>
          <w:szCs w:val="28"/>
          <w:lang w:val="en-US" w:eastAsia="zh-CN"/>
          <w14:textFill>
            <w14:solidFill>
              <w14:schemeClr w14:val="tx1"/>
            </w14:solidFill>
          </w14:textFill>
        </w:rPr>
        <w:t>人大代表</w:t>
      </w:r>
      <w:r>
        <w:rPr>
          <w:rFonts w:hint="eastAsia"/>
          <w:color w:val="000000" w:themeColor="text1"/>
          <w:kern w:val="0"/>
          <w:szCs w:val="28"/>
          <w:lang w:val="en-US" w:eastAsia="zh-CN"/>
          <w14:textFill>
            <w14:solidFill>
              <w14:schemeClr w14:val="tx1"/>
            </w14:solidFill>
          </w14:textFill>
        </w:rPr>
        <w:t>3</w:t>
      </w:r>
      <w:r>
        <w:rPr>
          <w:rFonts w:hint="eastAsia" w:ascii="Times New Roman" w:hAnsi="Times New Roman" w:eastAsia="仿宋_GB2312"/>
          <w:color w:val="000000" w:themeColor="text1"/>
          <w:kern w:val="0"/>
          <w:szCs w:val="28"/>
          <w:lang w:val="en-US" w:eastAsia="zh-CN"/>
          <w14:textFill>
            <w14:solidFill>
              <w14:schemeClr w14:val="tx1"/>
            </w14:solidFill>
          </w14:textFill>
        </w:rPr>
        <w:t>人、政协委员</w:t>
      </w:r>
      <w:r>
        <w:rPr>
          <w:rFonts w:hint="eastAsia"/>
          <w:color w:val="000000" w:themeColor="text1"/>
          <w:kern w:val="0"/>
          <w:szCs w:val="28"/>
          <w:lang w:val="en-US" w:eastAsia="zh-CN"/>
          <w14:textFill>
            <w14:solidFill>
              <w14:schemeClr w14:val="tx1"/>
            </w14:solidFill>
          </w14:textFill>
        </w:rPr>
        <w:t>3</w:t>
      </w:r>
      <w:r>
        <w:rPr>
          <w:rFonts w:hint="eastAsia" w:ascii="Times New Roman" w:hAnsi="Times New Roman" w:eastAsia="仿宋_GB2312"/>
          <w:color w:val="000000" w:themeColor="text1"/>
          <w:kern w:val="0"/>
          <w:szCs w:val="28"/>
          <w:lang w:val="en-US" w:eastAsia="zh-CN"/>
          <w14:textFill>
            <w14:solidFill>
              <w14:schemeClr w14:val="tx1"/>
            </w14:solidFill>
          </w14:textFill>
        </w:rPr>
        <w:t>人</w:t>
      </w:r>
      <w:r>
        <w:rPr>
          <w:rFonts w:hint="eastAsia"/>
          <w:color w:val="000000" w:themeColor="text1"/>
          <w:kern w:val="0"/>
          <w:szCs w:val="28"/>
          <w:lang w:val="en-US" w:eastAsia="zh-CN"/>
          <w14:textFill>
            <w14:solidFill>
              <w14:schemeClr w14:val="tx1"/>
            </w14:solidFill>
          </w14:textFill>
        </w:rPr>
        <w:t>、专家3人，社会公众和</w:t>
      </w:r>
      <w:r>
        <w:rPr>
          <w:rFonts w:hint="eastAsia" w:ascii="Times New Roman" w:hAnsi="Times New Roman" w:eastAsia="仿宋_GB2312"/>
          <w:color w:val="000000" w:themeColor="text1"/>
          <w:kern w:val="0"/>
          <w:szCs w:val="28"/>
          <w:lang w:val="en-US" w:eastAsia="zh-CN"/>
          <w14:textFill>
            <w14:solidFill>
              <w14:schemeClr w14:val="tx1"/>
            </w14:solidFill>
          </w14:textFill>
        </w:rPr>
        <w:t>县</w:t>
      </w:r>
      <w:r>
        <w:rPr>
          <w:rFonts w:hint="eastAsia"/>
          <w:color w:val="000000" w:themeColor="text1"/>
          <w:kern w:val="0"/>
          <w:szCs w:val="28"/>
          <w:lang w:val="en-US" w:eastAsia="zh-CN"/>
          <w14:textFill>
            <w14:solidFill>
              <w14:schemeClr w14:val="tx1"/>
            </w14:solidFill>
          </w14:textFill>
        </w:rPr>
        <w:t>发改</w:t>
      </w:r>
      <w:r>
        <w:rPr>
          <w:rFonts w:hint="eastAsia" w:ascii="Times New Roman" w:hAnsi="Times New Roman" w:eastAsia="仿宋_GB2312"/>
          <w:color w:val="000000" w:themeColor="text1"/>
          <w:kern w:val="0"/>
          <w:szCs w:val="28"/>
          <w:lang w:val="en-US" w:eastAsia="zh-CN"/>
          <w14:textFill>
            <w14:solidFill>
              <w14:schemeClr w14:val="tx1"/>
            </w14:solidFill>
          </w14:textFill>
        </w:rPr>
        <w:t>局、县</w:t>
      </w:r>
      <w:r>
        <w:rPr>
          <w:rFonts w:hint="eastAsia"/>
          <w:color w:val="000000" w:themeColor="text1"/>
          <w:kern w:val="0"/>
          <w:szCs w:val="28"/>
          <w:lang w:val="en-US" w:eastAsia="zh-CN"/>
          <w14:textFill>
            <w14:solidFill>
              <w14:schemeClr w14:val="tx1"/>
            </w14:solidFill>
          </w14:textFill>
        </w:rPr>
        <w:t>工信与商务局、</w:t>
      </w:r>
      <w:r>
        <w:rPr>
          <w:rFonts w:hint="eastAsia" w:ascii="Times New Roman" w:hAnsi="Times New Roman" w:eastAsia="仿宋_GB2312"/>
          <w:color w:val="000000" w:themeColor="text1"/>
          <w:kern w:val="0"/>
          <w:szCs w:val="28"/>
          <w:lang w:val="en-US" w:eastAsia="zh-CN"/>
          <w14:textFill>
            <w14:solidFill>
              <w14:schemeClr w14:val="tx1"/>
            </w14:solidFill>
          </w14:textFill>
        </w:rPr>
        <w:t>县</w:t>
      </w:r>
      <w:r>
        <w:rPr>
          <w:rFonts w:hint="eastAsia"/>
          <w:color w:val="000000" w:themeColor="text1"/>
          <w:kern w:val="0"/>
          <w:szCs w:val="28"/>
          <w:lang w:val="en-US" w:eastAsia="zh-CN"/>
          <w14:textFill>
            <w14:solidFill>
              <w14:schemeClr w14:val="tx1"/>
            </w14:solidFill>
          </w14:textFill>
        </w:rPr>
        <w:t>住建</w:t>
      </w:r>
      <w:r>
        <w:rPr>
          <w:rFonts w:hint="eastAsia" w:ascii="Times New Roman" w:hAnsi="Times New Roman" w:eastAsia="仿宋_GB2312"/>
          <w:color w:val="000000" w:themeColor="text1"/>
          <w:kern w:val="0"/>
          <w:szCs w:val="28"/>
          <w:lang w:val="en-US" w:eastAsia="zh-CN"/>
          <w14:textFill>
            <w14:solidFill>
              <w14:schemeClr w14:val="tx1"/>
            </w14:solidFill>
          </w14:textFill>
        </w:rPr>
        <w:t>局、县</w:t>
      </w:r>
      <w:r>
        <w:rPr>
          <w:rFonts w:hint="eastAsia"/>
          <w:color w:val="000000" w:themeColor="text1"/>
          <w:kern w:val="0"/>
          <w:szCs w:val="28"/>
          <w:lang w:val="en-US" w:eastAsia="zh-CN"/>
          <w14:textFill>
            <w14:solidFill>
              <w14:schemeClr w14:val="tx1"/>
            </w14:solidFill>
          </w14:textFill>
        </w:rPr>
        <w:t>林业局、泉州市德化生态环境局</w:t>
      </w:r>
      <w:r>
        <w:rPr>
          <w:rFonts w:hint="eastAsia" w:ascii="Times New Roman" w:hAnsi="Times New Roman" w:eastAsia="仿宋_GB2312"/>
          <w:color w:val="000000" w:themeColor="text1"/>
          <w:kern w:val="0"/>
          <w:szCs w:val="28"/>
          <w:lang w:val="en-US" w:eastAsia="zh-CN"/>
          <w14:textFill>
            <w14:solidFill>
              <w14:schemeClr w14:val="tx1"/>
            </w14:solidFill>
          </w14:textFill>
        </w:rPr>
        <w:t>等相关部门</w:t>
      </w:r>
      <w:r>
        <w:rPr>
          <w:rFonts w:hint="eastAsia"/>
          <w:color w:val="000000" w:themeColor="text1"/>
          <w:kern w:val="0"/>
          <w:szCs w:val="28"/>
          <w:lang w:val="en-US" w:eastAsia="zh-CN"/>
          <w14:textFill>
            <w14:solidFill>
              <w14:schemeClr w14:val="tx1"/>
            </w14:solidFill>
          </w14:textFill>
        </w:rPr>
        <w:t>以及项目所在村村民意见，共收集到</w:t>
      </w:r>
      <w:r>
        <w:rPr>
          <w:rFonts w:hint="eastAsia" w:ascii="Times New Roman" w:hAnsi="Times New Roman" w:eastAsia="仿宋_GB2312"/>
          <w:color w:val="000000" w:themeColor="text1"/>
          <w:kern w:val="0"/>
          <w:szCs w:val="28"/>
          <w:lang w:val="en-US" w:eastAsia="zh-CN"/>
          <w14:textFill>
            <w14:solidFill>
              <w14:schemeClr w14:val="tx1"/>
            </w14:solidFill>
          </w14:textFill>
        </w:rPr>
        <w:t>意见建议28份。</w:t>
      </w:r>
      <w:r>
        <w:rPr>
          <w:rFonts w:hint="eastAsia"/>
          <w:color w:val="000000" w:themeColor="text1"/>
          <w:kern w:val="0"/>
          <w:szCs w:val="28"/>
          <w:lang w:val="en-US" w:eastAsia="zh-CN"/>
          <w14:textFill>
            <w14:solidFill>
              <w14:schemeClr w14:val="tx1"/>
            </w14:solidFill>
          </w14:textFill>
        </w:rPr>
        <w:t>经充分征询，均同意本方案。</w:t>
      </w:r>
      <w:r>
        <w:rPr>
          <w:rFonts w:hint="eastAsia"/>
          <w:color w:val="000000" w:themeColor="text1"/>
          <w:kern w:val="0"/>
          <w:szCs w:val="28"/>
          <w14:textFill>
            <w14:solidFill>
              <w14:schemeClr w14:val="tx1"/>
            </w14:solidFill>
          </w14:textFill>
        </w:rPr>
        <w:t>相关意见</w:t>
      </w:r>
      <w:r>
        <w:rPr>
          <w:rFonts w:hint="eastAsia"/>
          <w:color w:val="000000" w:themeColor="text1"/>
          <w:kern w:val="0"/>
          <w:szCs w:val="28"/>
          <w:lang w:eastAsia="zh-CN"/>
          <w14:textFill>
            <w14:solidFill>
              <w14:schemeClr w14:val="tx1"/>
            </w14:solidFill>
          </w14:textFill>
        </w:rPr>
        <w:t>建议</w:t>
      </w:r>
      <w:r>
        <w:rPr>
          <w:rFonts w:hint="eastAsia"/>
          <w:color w:val="000000" w:themeColor="text1"/>
          <w:kern w:val="0"/>
          <w:szCs w:val="28"/>
          <w14:textFill>
            <w14:solidFill>
              <w14:schemeClr w14:val="tx1"/>
            </w14:solidFill>
          </w14:textFill>
        </w:rPr>
        <w:t>已落实到方案中。详见附件。</w:t>
      </w:r>
    </w:p>
    <w:p>
      <w:pPr>
        <w:keepNext w:val="0"/>
        <w:keepLines w:val="0"/>
        <w:pageBreakBefore w:val="0"/>
        <w:widowControl/>
        <w:kinsoku/>
        <w:wordWrap/>
        <w:overflowPunct/>
        <w:topLinePunct w:val="0"/>
        <w:bidi w:val="0"/>
        <w:snapToGrid/>
        <w:spacing w:beforeLines="50" w:afterLines="50"/>
        <w:ind w:firstLine="0" w:firstLineChars="0"/>
        <w:textAlignment w:val="auto"/>
        <w:outlineLvl w:val="1"/>
        <w:rPr>
          <w:rFonts w:hint="eastAsia" w:ascii="Times New Roman" w:hAnsi="Times New Roman" w:cs="仿宋_GB2312"/>
          <w:b/>
          <w:bCs/>
          <w:sz w:val="30"/>
          <w:szCs w:val="30"/>
        </w:rPr>
      </w:pPr>
      <w:bookmarkStart w:id="45" w:name="_Toc17705"/>
      <w:r>
        <w:rPr>
          <w:rFonts w:hint="eastAsia" w:cs="仿宋_GB2312"/>
          <w:b/>
          <w:bCs/>
          <w:sz w:val="30"/>
          <w:szCs w:val="30"/>
          <w:lang w:eastAsia="zh-CN"/>
        </w:rPr>
        <w:t>（</w:t>
      </w:r>
      <w:r>
        <w:rPr>
          <w:rFonts w:hint="eastAsia" w:cs="仿宋_GB2312"/>
          <w:b/>
          <w:bCs/>
          <w:sz w:val="30"/>
          <w:szCs w:val="30"/>
          <w:lang w:val="en-US" w:eastAsia="zh-CN"/>
        </w:rPr>
        <w:t>二</w:t>
      </w:r>
      <w:r>
        <w:rPr>
          <w:rFonts w:hint="eastAsia" w:cs="仿宋_GB2312"/>
          <w:b/>
          <w:bCs/>
          <w:sz w:val="30"/>
          <w:szCs w:val="30"/>
          <w:lang w:eastAsia="zh-CN"/>
        </w:rPr>
        <w:t>）</w:t>
      </w:r>
      <w:r>
        <w:rPr>
          <w:rFonts w:hint="eastAsia" w:ascii="Times New Roman" w:hAnsi="Times New Roman" w:cs="仿宋_GB2312"/>
          <w:b/>
          <w:bCs/>
          <w:sz w:val="30"/>
          <w:szCs w:val="30"/>
        </w:rPr>
        <w:t>征求</w:t>
      </w:r>
      <w:r>
        <w:rPr>
          <w:rFonts w:hint="eastAsia" w:cs="仿宋_GB2312"/>
          <w:b/>
          <w:bCs/>
          <w:sz w:val="30"/>
          <w:szCs w:val="30"/>
          <w:lang w:val="en-US" w:eastAsia="zh-CN"/>
        </w:rPr>
        <w:t>村</w:t>
      </w:r>
      <w:r>
        <w:rPr>
          <w:rFonts w:hint="eastAsia" w:ascii="Times New Roman" w:hAnsi="Times New Roman" w:cs="仿宋_GB2312"/>
          <w:b/>
          <w:bCs/>
          <w:sz w:val="30"/>
          <w:szCs w:val="30"/>
        </w:rPr>
        <w:t>集体经济组织和</w:t>
      </w:r>
      <w:r>
        <w:rPr>
          <w:rFonts w:hint="eastAsia" w:cs="仿宋_GB2312"/>
          <w:b/>
          <w:bCs/>
          <w:sz w:val="30"/>
          <w:szCs w:val="30"/>
          <w:lang w:val="en-US" w:eastAsia="zh-CN"/>
        </w:rPr>
        <w:t>村</w:t>
      </w:r>
      <w:r>
        <w:rPr>
          <w:rFonts w:hint="eastAsia" w:ascii="Times New Roman" w:hAnsi="Times New Roman" w:cs="仿宋_GB2312"/>
          <w:b/>
          <w:bCs/>
          <w:sz w:val="30"/>
          <w:szCs w:val="30"/>
        </w:rPr>
        <w:t>民意见</w:t>
      </w:r>
      <w:bookmarkEnd w:id="43"/>
      <w:bookmarkEnd w:id="44"/>
      <w:bookmarkEnd w:id="45"/>
    </w:p>
    <w:p>
      <w:pPr>
        <w:pStyle w:val="2"/>
        <w:keepNext w:val="0"/>
        <w:keepLines w:val="0"/>
        <w:pageBreakBefore w:val="0"/>
        <w:widowControl/>
        <w:numPr>
          <w:ilvl w:val="0"/>
          <w:numId w:val="0"/>
        </w:numPr>
        <w:kinsoku/>
        <w:wordWrap/>
        <w:overflowPunct/>
        <w:topLinePunct w:val="0"/>
        <w:bidi w:val="0"/>
        <w:snapToGrid/>
        <w:textAlignment w:val="auto"/>
        <w:rPr>
          <w:rFonts w:hint="default" w:eastAsia="仿宋_GB2312"/>
          <w:lang w:val="en-US" w:eastAsia="zh-CN"/>
        </w:rPr>
      </w:pPr>
      <w:r>
        <w:rPr>
          <w:rFonts w:hint="eastAsia"/>
          <w:lang w:val="en-US" w:eastAsia="zh-CN"/>
        </w:rPr>
        <w:t xml:space="preserve">  </w:t>
      </w:r>
      <w:r>
        <w:rPr>
          <w:rFonts w:hint="eastAsia"/>
          <w:color w:val="FF0000"/>
          <w:lang w:val="en-US" w:eastAsia="zh-CN"/>
        </w:rPr>
        <w:t xml:space="preserve"> </w:t>
      </w:r>
      <w:r>
        <w:rPr>
          <w:rFonts w:hint="eastAsia"/>
          <w:kern w:val="0"/>
          <w:szCs w:val="28"/>
          <w:lang w:val="en-US" w:eastAsia="zh-CN"/>
        </w:rPr>
        <w:t xml:space="preserve"> 2021年8月31日，德化县自然资源局发函征求成片开发范围内村集体经济组织和村民意见。</w:t>
      </w:r>
    </w:p>
    <w:p>
      <w:pPr>
        <w:pStyle w:val="2"/>
        <w:keepNext w:val="0"/>
        <w:keepLines w:val="0"/>
        <w:pageBreakBefore w:val="0"/>
        <w:widowControl/>
        <w:kinsoku/>
        <w:wordWrap/>
        <w:overflowPunct/>
        <w:topLinePunct w:val="0"/>
        <w:bidi w:val="0"/>
        <w:snapToGrid/>
        <w:ind w:left="0" w:firstLine="560"/>
        <w:textAlignment w:val="auto"/>
        <w:rPr>
          <w:rFonts w:hint="eastAsia" w:ascii="Times New Roman" w:hAnsi="Times New Roman" w:eastAsia="仿宋_GB2312" w:cstheme="minorBidi"/>
          <w:color w:val="auto"/>
          <w:kern w:val="0"/>
          <w:sz w:val="28"/>
          <w:szCs w:val="28"/>
        </w:rPr>
      </w:pPr>
      <w:r>
        <w:rPr>
          <w:rFonts w:hint="eastAsia"/>
          <w:kern w:val="0"/>
          <w:szCs w:val="28"/>
          <w:lang w:val="en-US" w:eastAsia="zh-CN"/>
        </w:rPr>
        <w:t>2021年9月3日，在方</w:t>
      </w:r>
      <w:r>
        <w:rPr>
          <w:rFonts w:hint="eastAsia" w:ascii="Times New Roman" w:hAnsi="Times New Roman" w:eastAsia="仿宋_GB2312" w:cstheme="minorBidi"/>
          <w:color w:val="auto"/>
          <w:kern w:val="0"/>
          <w:sz w:val="28"/>
          <w:szCs w:val="28"/>
          <w:lang w:val="en-US" w:eastAsia="zh-CN"/>
        </w:rPr>
        <w:t>案涉及的</w:t>
      </w:r>
      <w:r>
        <w:rPr>
          <w:rFonts w:hint="eastAsia" w:cstheme="minorBidi"/>
          <w:color w:val="auto"/>
          <w:kern w:val="0"/>
          <w:sz w:val="28"/>
          <w:szCs w:val="28"/>
          <w:lang w:val="en-US" w:eastAsia="zh-CN"/>
        </w:rPr>
        <w:t>浔中</w:t>
      </w:r>
      <w:r>
        <w:rPr>
          <w:rFonts w:hint="eastAsia" w:ascii="Times New Roman" w:hAnsi="Times New Roman" w:eastAsia="仿宋_GB2312" w:cstheme="minorBidi"/>
          <w:color w:val="auto"/>
          <w:kern w:val="0"/>
          <w:sz w:val="28"/>
          <w:szCs w:val="28"/>
        </w:rPr>
        <w:t>镇</w:t>
      </w:r>
      <w:r>
        <w:rPr>
          <w:rFonts w:hint="eastAsia" w:cstheme="minorBidi"/>
          <w:color w:val="auto"/>
          <w:kern w:val="0"/>
          <w:sz w:val="28"/>
          <w:szCs w:val="28"/>
          <w:lang w:val="en-US" w:eastAsia="zh-CN"/>
        </w:rPr>
        <w:t>浔中</w:t>
      </w:r>
      <w:r>
        <w:rPr>
          <w:rFonts w:hint="eastAsia" w:ascii="Times New Roman" w:hAnsi="Times New Roman" w:eastAsia="仿宋_GB2312" w:cstheme="minorBidi"/>
          <w:color w:val="auto"/>
          <w:kern w:val="0"/>
          <w:sz w:val="28"/>
          <w:szCs w:val="28"/>
        </w:rPr>
        <w:t>村</w:t>
      </w:r>
      <w:r>
        <w:rPr>
          <w:rFonts w:hint="eastAsia" w:ascii="Times New Roman" w:hAnsi="Times New Roman" w:eastAsia="仿宋_GB2312" w:cstheme="minorBidi"/>
          <w:color w:val="auto"/>
          <w:kern w:val="0"/>
          <w:sz w:val="28"/>
          <w:szCs w:val="28"/>
          <w:lang w:val="en-US" w:eastAsia="zh-CN"/>
        </w:rPr>
        <w:t>组织</w:t>
      </w:r>
      <w:r>
        <w:rPr>
          <w:rFonts w:hint="eastAsia" w:ascii="Times New Roman" w:hAnsi="Times New Roman" w:eastAsia="仿宋_GB2312" w:cstheme="minorBidi"/>
          <w:color w:val="auto"/>
          <w:kern w:val="0"/>
          <w:sz w:val="28"/>
          <w:szCs w:val="28"/>
        </w:rPr>
        <w:t>召开村民代表</w:t>
      </w:r>
      <w:r>
        <w:rPr>
          <w:rFonts w:hint="eastAsia" w:ascii="Times New Roman" w:hAnsi="Times New Roman" w:eastAsia="仿宋_GB2312" w:cstheme="minorBidi"/>
          <w:color w:val="auto"/>
          <w:kern w:val="0"/>
          <w:sz w:val="28"/>
          <w:szCs w:val="28"/>
          <w:lang w:val="en-US" w:eastAsia="zh-CN"/>
        </w:rPr>
        <w:t>会议</w:t>
      </w:r>
      <w:r>
        <w:rPr>
          <w:rFonts w:hint="eastAsia" w:cstheme="minorBidi"/>
          <w:color w:val="auto"/>
          <w:kern w:val="0"/>
          <w:sz w:val="28"/>
          <w:szCs w:val="28"/>
          <w:lang w:eastAsia="zh-CN"/>
        </w:rPr>
        <w:t>，</w:t>
      </w:r>
      <w:r>
        <w:rPr>
          <w:rFonts w:hint="eastAsia" w:ascii="Times New Roman" w:hAnsi="Times New Roman" w:eastAsia="仿宋_GB2312" w:cstheme="minorBidi"/>
          <w:color w:val="auto"/>
          <w:kern w:val="0"/>
          <w:sz w:val="28"/>
          <w:szCs w:val="28"/>
        </w:rPr>
        <w:t>应到村民代表</w:t>
      </w:r>
      <w:r>
        <w:rPr>
          <w:rFonts w:hint="eastAsia" w:cstheme="minorBidi"/>
          <w:color w:val="auto"/>
          <w:kern w:val="0"/>
          <w:sz w:val="28"/>
          <w:szCs w:val="28"/>
          <w:lang w:val="en-US" w:eastAsia="zh-CN"/>
        </w:rPr>
        <w:t>62</w:t>
      </w:r>
      <w:r>
        <w:rPr>
          <w:rFonts w:hint="eastAsia" w:ascii="Times New Roman" w:hAnsi="Times New Roman" w:eastAsia="仿宋_GB2312" w:cstheme="minorBidi"/>
          <w:color w:val="auto"/>
          <w:kern w:val="0"/>
          <w:sz w:val="28"/>
          <w:szCs w:val="28"/>
        </w:rPr>
        <w:t>人，</w:t>
      </w:r>
      <w:r>
        <w:rPr>
          <w:rFonts w:hint="eastAsia" w:ascii="Times New Roman" w:hAnsi="Times New Roman" w:eastAsia="仿宋_GB2312" w:cstheme="minorBidi"/>
          <w:color w:val="auto"/>
          <w:kern w:val="0"/>
          <w:sz w:val="28"/>
          <w:szCs w:val="28"/>
          <w:lang w:val="en-US" w:eastAsia="zh-CN"/>
        </w:rPr>
        <w:t>参</w:t>
      </w:r>
      <w:r>
        <w:rPr>
          <w:rFonts w:hint="eastAsia" w:ascii="Times New Roman" w:hAnsi="Times New Roman" w:eastAsia="仿宋_GB2312" w:cstheme="minorBidi"/>
          <w:color w:val="auto"/>
          <w:kern w:val="0"/>
          <w:sz w:val="28"/>
          <w:szCs w:val="28"/>
        </w:rPr>
        <w:t>会村民代表</w:t>
      </w:r>
      <w:r>
        <w:rPr>
          <w:rFonts w:hint="eastAsia" w:cstheme="minorBidi"/>
          <w:color w:val="auto"/>
          <w:kern w:val="0"/>
          <w:sz w:val="28"/>
          <w:szCs w:val="28"/>
          <w:lang w:val="en-US" w:eastAsia="zh-CN"/>
        </w:rPr>
        <w:t>55</w:t>
      </w:r>
      <w:r>
        <w:rPr>
          <w:rFonts w:hint="eastAsia" w:ascii="Times New Roman" w:hAnsi="Times New Roman" w:eastAsia="仿宋_GB2312" w:cstheme="minorBidi"/>
          <w:color w:val="auto"/>
          <w:kern w:val="0"/>
          <w:sz w:val="28"/>
          <w:szCs w:val="28"/>
        </w:rPr>
        <w:t>人，</w:t>
      </w:r>
      <w:r>
        <w:rPr>
          <w:rFonts w:hint="eastAsia" w:cstheme="minorBidi"/>
          <w:color w:val="auto"/>
          <w:kern w:val="0"/>
          <w:sz w:val="28"/>
          <w:szCs w:val="28"/>
          <w:lang w:val="en-US" w:eastAsia="zh-CN"/>
        </w:rPr>
        <w:t>55</w:t>
      </w:r>
      <w:r>
        <w:rPr>
          <w:rFonts w:hint="eastAsia" w:ascii="Times New Roman" w:hAnsi="Times New Roman" w:eastAsia="仿宋_GB2312" w:cstheme="minorBidi"/>
          <w:color w:val="auto"/>
          <w:kern w:val="0"/>
          <w:sz w:val="28"/>
          <w:szCs w:val="28"/>
          <w:lang w:val="en-US" w:eastAsia="zh-CN"/>
        </w:rPr>
        <w:t>人</w:t>
      </w:r>
      <w:r>
        <w:rPr>
          <w:rFonts w:hint="eastAsia" w:ascii="Times New Roman" w:hAnsi="Times New Roman" w:eastAsia="仿宋_GB2312" w:cstheme="minorBidi"/>
          <w:color w:val="auto"/>
          <w:kern w:val="0"/>
          <w:sz w:val="28"/>
          <w:szCs w:val="28"/>
        </w:rPr>
        <w:t>同意</w:t>
      </w:r>
      <w:r>
        <w:rPr>
          <w:rFonts w:hint="eastAsia" w:ascii="Times New Roman" w:hAnsi="Times New Roman" w:eastAsia="仿宋_GB2312" w:cstheme="minorBidi"/>
          <w:color w:val="auto"/>
          <w:kern w:val="0"/>
          <w:sz w:val="28"/>
          <w:szCs w:val="28"/>
          <w:lang w:val="en-US" w:eastAsia="zh-CN"/>
        </w:rPr>
        <w:t>成片开发</w:t>
      </w:r>
      <w:r>
        <w:rPr>
          <w:rFonts w:hint="eastAsia" w:ascii="Times New Roman" w:hAnsi="Times New Roman" w:eastAsia="仿宋_GB2312" w:cstheme="minorBidi"/>
          <w:color w:val="auto"/>
          <w:kern w:val="0"/>
          <w:sz w:val="28"/>
          <w:szCs w:val="28"/>
        </w:rPr>
        <w:t>方案</w:t>
      </w:r>
      <w:r>
        <w:rPr>
          <w:rFonts w:hint="eastAsia" w:ascii="Times New Roman" w:hAnsi="Times New Roman" w:eastAsia="仿宋_GB2312" w:cstheme="minorBidi"/>
          <w:color w:val="auto"/>
          <w:kern w:val="0"/>
          <w:sz w:val="28"/>
          <w:szCs w:val="28"/>
          <w:lang w:eastAsia="zh-CN"/>
        </w:rPr>
        <w:t>，</w:t>
      </w:r>
      <w:r>
        <w:rPr>
          <w:rFonts w:hint="eastAsia" w:ascii="Times New Roman" w:hAnsi="Times New Roman" w:eastAsia="仿宋_GB2312" w:cstheme="minorBidi"/>
          <w:color w:val="auto"/>
          <w:kern w:val="0"/>
          <w:sz w:val="28"/>
          <w:szCs w:val="28"/>
          <w:lang w:val="en-US" w:eastAsia="zh-CN"/>
        </w:rPr>
        <w:t>比例为</w:t>
      </w:r>
      <w:r>
        <w:rPr>
          <w:rFonts w:hint="eastAsia" w:cstheme="minorBidi"/>
          <w:color w:val="auto"/>
          <w:kern w:val="0"/>
          <w:sz w:val="28"/>
          <w:szCs w:val="28"/>
          <w:lang w:val="en-US" w:eastAsia="zh-CN"/>
        </w:rPr>
        <w:t>89</w:t>
      </w:r>
      <w:r>
        <w:rPr>
          <w:rFonts w:hint="eastAsia" w:ascii="Times New Roman" w:hAnsi="Times New Roman" w:eastAsia="仿宋_GB2312" w:cstheme="minorBidi"/>
          <w:color w:val="auto"/>
          <w:kern w:val="0"/>
          <w:sz w:val="28"/>
          <w:szCs w:val="28"/>
          <w:lang w:val="en-US" w:eastAsia="zh-CN"/>
        </w:rPr>
        <w:t>%</w:t>
      </w:r>
      <w:r>
        <w:rPr>
          <w:rFonts w:hint="eastAsia" w:cstheme="minorBidi"/>
          <w:color w:val="auto"/>
          <w:kern w:val="0"/>
          <w:sz w:val="28"/>
          <w:szCs w:val="28"/>
          <w:lang w:eastAsia="zh-CN"/>
        </w:rPr>
        <w:t>，</w:t>
      </w:r>
      <w:r>
        <w:rPr>
          <w:rFonts w:hint="eastAsia" w:ascii="Times New Roman" w:hAnsi="Times New Roman" w:eastAsia="仿宋_GB2312" w:cstheme="minorBidi"/>
          <w:color w:val="auto"/>
          <w:kern w:val="0"/>
          <w:sz w:val="28"/>
          <w:szCs w:val="28"/>
        </w:rPr>
        <w:t>达到三分之二以上村民代表同意的规定，</w:t>
      </w:r>
      <w:r>
        <w:rPr>
          <w:rFonts w:hint="eastAsia" w:cstheme="minorBidi"/>
          <w:color w:val="auto"/>
          <w:kern w:val="0"/>
          <w:sz w:val="28"/>
          <w:szCs w:val="28"/>
          <w:lang w:val="en-US" w:eastAsia="zh-CN"/>
        </w:rPr>
        <w:t>并</w:t>
      </w:r>
      <w:r>
        <w:rPr>
          <w:rFonts w:hint="eastAsia" w:ascii="Times New Roman" w:hAnsi="Times New Roman" w:eastAsia="仿宋_GB2312" w:cstheme="minorBidi"/>
          <w:color w:val="auto"/>
          <w:kern w:val="0"/>
          <w:sz w:val="28"/>
          <w:szCs w:val="28"/>
        </w:rPr>
        <w:t>取得同意</w:t>
      </w:r>
      <w:r>
        <w:rPr>
          <w:rFonts w:hint="eastAsia" w:ascii="Times New Roman" w:hAnsi="Times New Roman" w:eastAsia="仿宋_GB2312" w:cstheme="minorBidi"/>
          <w:color w:val="auto"/>
          <w:kern w:val="0"/>
          <w:sz w:val="28"/>
          <w:szCs w:val="28"/>
          <w:lang w:val="en-US" w:eastAsia="zh-CN"/>
        </w:rPr>
        <w:t>本次土地征收成片开发方案</w:t>
      </w:r>
      <w:r>
        <w:rPr>
          <w:rFonts w:hint="eastAsia" w:ascii="Times New Roman" w:hAnsi="Times New Roman" w:eastAsia="仿宋_GB2312" w:cstheme="minorBidi"/>
          <w:color w:val="auto"/>
          <w:kern w:val="0"/>
          <w:sz w:val="28"/>
          <w:szCs w:val="28"/>
        </w:rPr>
        <w:t>意见函。详见附件。</w:t>
      </w:r>
    </w:p>
    <w:p>
      <w:pPr>
        <w:keepNext w:val="0"/>
        <w:keepLines w:val="0"/>
        <w:pageBreakBefore w:val="0"/>
        <w:widowControl/>
        <w:kinsoku/>
        <w:wordWrap/>
        <w:overflowPunct/>
        <w:topLinePunct w:val="0"/>
        <w:bidi w:val="0"/>
        <w:snapToGrid/>
        <w:spacing w:beforeLines="50" w:afterLines="50"/>
        <w:ind w:firstLine="0" w:firstLineChars="0"/>
        <w:textAlignment w:val="auto"/>
        <w:outlineLvl w:val="1"/>
        <w:rPr>
          <w:rFonts w:hint="eastAsia" w:cs="仿宋_GB2312"/>
          <w:b/>
          <w:bCs/>
          <w:sz w:val="30"/>
          <w:szCs w:val="30"/>
          <w:lang w:eastAsia="zh-CN"/>
        </w:rPr>
      </w:pPr>
      <w:bookmarkStart w:id="46" w:name="_Toc7319"/>
      <w:r>
        <w:rPr>
          <w:rFonts w:hint="eastAsia" w:cs="仿宋_GB2312"/>
          <w:b/>
          <w:bCs/>
          <w:sz w:val="30"/>
          <w:szCs w:val="30"/>
          <w:lang w:val="en-US" w:eastAsia="zh-CN"/>
        </w:rPr>
        <w:t>（三）方案公示情况</w:t>
      </w:r>
      <w:bookmarkEnd w:id="46"/>
      <w:r>
        <w:rPr>
          <w:rFonts w:hint="eastAsia" w:cs="仿宋_GB2312"/>
          <w:b/>
          <w:bCs/>
          <w:sz w:val="30"/>
          <w:szCs w:val="30"/>
          <w:lang w:val="en-US" w:eastAsia="zh-CN"/>
        </w:rPr>
        <w:t xml:space="preserve"> </w:t>
      </w:r>
    </w:p>
    <w:p>
      <w:pPr>
        <w:keepNext w:val="0"/>
        <w:keepLines w:val="0"/>
        <w:pageBreakBefore w:val="0"/>
        <w:widowControl/>
        <w:kinsoku/>
        <w:wordWrap/>
        <w:overflowPunct/>
        <w:topLinePunct w:val="0"/>
        <w:bidi w:val="0"/>
        <w:snapToGrid/>
        <w:textAlignment w:val="auto"/>
        <w:rPr>
          <w:rFonts w:hint="eastAsia" w:cs="仿宋_GB2312"/>
          <w:b/>
          <w:bCs/>
          <w:sz w:val="32"/>
          <w:szCs w:val="32"/>
          <w:lang w:val="en-US" w:eastAsia="zh-CN"/>
        </w:rPr>
      </w:pPr>
      <w:r>
        <w:rPr>
          <w:rFonts w:ascii="Times New Roman" w:hAnsi="Times New Roman"/>
        </w:rPr>
        <w:t>根据各界意见</w:t>
      </w:r>
      <w:r>
        <w:rPr>
          <w:rFonts w:hint="eastAsia" w:ascii="Times New Roman" w:hAnsi="Times New Roman"/>
        </w:rPr>
        <w:t>、</w:t>
      </w:r>
      <w:r>
        <w:rPr>
          <w:rFonts w:ascii="Times New Roman" w:hAnsi="Times New Roman"/>
        </w:rPr>
        <w:t>成片开发范围内村集体经济组织和村民</w:t>
      </w:r>
      <w:r>
        <w:rPr>
          <w:rFonts w:hint="eastAsia" w:ascii="Times New Roman" w:hAnsi="Times New Roman"/>
        </w:rPr>
        <w:t>的</w:t>
      </w:r>
      <w:r>
        <w:rPr>
          <w:rFonts w:ascii="Times New Roman" w:hAnsi="Times New Roman"/>
        </w:rPr>
        <w:t>意见修改方案后，</w:t>
      </w:r>
      <w:r>
        <w:rPr>
          <w:rFonts w:hint="eastAsia"/>
          <w:lang w:val="en-US" w:eastAsia="zh-CN"/>
        </w:rPr>
        <w:t>德化</w:t>
      </w:r>
      <w:r>
        <w:rPr>
          <w:rFonts w:ascii="Times New Roman" w:hAnsi="Times New Roman"/>
        </w:rPr>
        <w:t>县于</w:t>
      </w:r>
      <w:r>
        <w:rPr>
          <w:rFonts w:hint="eastAsia" w:ascii="Times New Roman" w:hAnsi="Times New Roman"/>
        </w:rPr>
        <w:t>202</w:t>
      </w:r>
      <w:r>
        <w:rPr>
          <w:rFonts w:hint="eastAsia" w:ascii="Times New Roman" w:hAnsi="Times New Roman"/>
          <w:lang w:val="en-US" w:eastAsia="zh-CN"/>
        </w:rPr>
        <w:t>2</w:t>
      </w:r>
      <w:r>
        <w:rPr>
          <w:rFonts w:hint="eastAsia" w:ascii="Times New Roman" w:hAnsi="Times New Roman"/>
        </w:rPr>
        <w:t>年</w:t>
      </w:r>
      <w:r>
        <w:rPr>
          <w:rFonts w:hint="eastAsia" w:ascii="Times New Roman" w:hAnsi="Times New Roman"/>
          <w:lang w:val="en-US" w:eastAsia="zh-CN"/>
        </w:rPr>
        <w:t>10</w:t>
      </w:r>
      <w:r>
        <w:rPr>
          <w:rFonts w:hint="eastAsia" w:ascii="Times New Roman" w:hAnsi="Times New Roman"/>
        </w:rPr>
        <w:t>月</w:t>
      </w:r>
      <w:r>
        <w:rPr>
          <w:rFonts w:hint="eastAsia" w:ascii="Times New Roman" w:hAnsi="Times New Roman"/>
          <w:lang w:val="en-US" w:eastAsia="zh-CN"/>
        </w:rPr>
        <w:t>31</w:t>
      </w:r>
      <w:r>
        <w:rPr>
          <w:rFonts w:hint="eastAsia" w:ascii="Times New Roman" w:hAnsi="Times New Roman"/>
        </w:rPr>
        <w:t>日</w:t>
      </w:r>
      <w:r>
        <w:rPr>
          <w:rFonts w:hint="eastAsia" w:ascii="Times New Roman" w:hAnsi="Times New Roman"/>
          <w:lang w:val="en-US" w:eastAsia="zh-CN"/>
        </w:rPr>
        <w:t>至11</w:t>
      </w:r>
      <w:r>
        <w:rPr>
          <w:rFonts w:hint="eastAsia" w:ascii="Times New Roman" w:hAnsi="Times New Roman"/>
        </w:rPr>
        <w:t>月</w:t>
      </w:r>
      <w:r>
        <w:rPr>
          <w:rFonts w:hint="eastAsia" w:ascii="Times New Roman" w:hAnsi="Times New Roman"/>
          <w:lang w:val="en-US" w:eastAsia="zh-CN"/>
        </w:rPr>
        <w:t>7</w:t>
      </w:r>
      <w:r>
        <w:rPr>
          <w:rFonts w:hint="eastAsia" w:ascii="Times New Roman" w:hAnsi="Times New Roman"/>
        </w:rPr>
        <w:t>日</w:t>
      </w:r>
      <w:r>
        <w:rPr>
          <w:rFonts w:hint="default" w:ascii="Times New Roman" w:hAnsi="Times New Roman"/>
          <w:lang w:val="en-US" w:eastAsia="zh-CN"/>
        </w:rPr>
        <w:t>将成片开发方案公示在</w:t>
      </w:r>
      <w:r>
        <w:rPr>
          <w:rFonts w:hint="eastAsia" w:ascii="Times New Roman" w:hAnsi="Times New Roman"/>
          <w:lang w:val="en-US" w:eastAsia="zh-CN"/>
        </w:rPr>
        <w:t>德化</w:t>
      </w:r>
      <w:r>
        <w:rPr>
          <w:rFonts w:hint="default" w:ascii="Times New Roman" w:hAnsi="Times New Roman"/>
          <w:lang w:val="en-US" w:eastAsia="zh-CN"/>
        </w:rPr>
        <w:t>县政府信息网站，并于</w:t>
      </w:r>
      <w:r>
        <w:rPr>
          <w:rFonts w:hint="eastAsia" w:ascii="Times New Roman" w:hAnsi="Times New Roman"/>
        </w:rPr>
        <w:t>202</w:t>
      </w:r>
      <w:r>
        <w:rPr>
          <w:rFonts w:hint="eastAsia" w:ascii="Times New Roman" w:hAnsi="Times New Roman"/>
          <w:lang w:val="en-US" w:eastAsia="zh-CN"/>
        </w:rPr>
        <w:t>2</w:t>
      </w:r>
      <w:r>
        <w:rPr>
          <w:rFonts w:hint="eastAsia" w:ascii="Times New Roman" w:hAnsi="Times New Roman"/>
        </w:rPr>
        <w:t>年</w:t>
      </w:r>
      <w:r>
        <w:rPr>
          <w:rFonts w:hint="eastAsia" w:ascii="Times New Roman" w:hAnsi="Times New Roman"/>
          <w:lang w:val="en-US" w:eastAsia="zh-CN"/>
        </w:rPr>
        <w:t>10</w:t>
      </w:r>
      <w:r>
        <w:rPr>
          <w:rFonts w:hint="eastAsia" w:ascii="Times New Roman" w:hAnsi="Times New Roman"/>
        </w:rPr>
        <w:t>月</w:t>
      </w:r>
      <w:r>
        <w:rPr>
          <w:rFonts w:hint="eastAsia" w:ascii="Times New Roman" w:hAnsi="Times New Roman"/>
          <w:lang w:val="en-US" w:eastAsia="zh-CN"/>
        </w:rPr>
        <w:t>31</w:t>
      </w:r>
      <w:r>
        <w:rPr>
          <w:rFonts w:hint="eastAsia" w:ascii="Times New Roman" w:hAnsi="Times New Roman"/>
        </w:rPr>
        <w:t>日</w:t>
      </w:r>
      <w:r>
        <w:rPr>
          <w:rFonts w:hint="eastAsia" w:ascii="Times New Roman" w:hAnsi="Times New Roman"/>
          <w:lang w:val="en-US" w:eastAsia="zh-CN"/>
        </w:rPr>
        <w:t>至11</w:t>
      </w:r>
      <w:r>
        <w:rPr>
          <w:rFonts w:hint="eastAsia" w:ascii="Times New Roman" w:hAnsi="Times New Roman"/>
        </w:rPr>
        <w:t>月</w:t>
      </w:r>
      <w:r>
        <w:rPr>
          <w:rFonts w:hint="eastAsia" w:ascii="Times New Roman" w:hAnsi="Times New Roman"/>
          <w:lang w:val="en-US" w:eastAsia="zh-CN"/>
        </w:rPr>
        <w:t>7</w:t>
      </w:r>
      <w:r>
        <w:rPr>
          <w:rFonts w:hint="eastAsia" w:ascii="Times New Roman" w:hAnsi="Times New Roman"/>
        </w:rPr>
        <w:t>日</w:t>
      </w:r>
      <w:r>
        <w:rPr>
          <w:rFonts w:hint="default" w:ascii="Times New Roman" w:hAnsi="Times New Roman" w:eastAsia="仿宋_GB2312" w:cstheme="minorBidi"/>
          <w:color w:val="auto"/>
          <w:kern w:val="0"/>
          <w:sz w:val="28"/>
          <w:szCs w:val="28"/>
          <w:lang w:val="en-US" w:eastAsia="zh-CN"/>
        </w:rPr>
        <w:t>将成片开发方案相关内容张贴于</w:t>
      </w:r>
      <w:r>
        <w:rPr>
          <w:rFonts w:hint="eastAsia" w:cstheme="minorBidi"/>
          <w:color w:val="auto"/>
          <w:kern w:val="0"/>
          <w:sz w:val="28"/>
          <w:szCs w:val="28"/>
          <w:lang w:val="en-US" w:eastAsia="zh-CN"/>
        </w:rPr>
        <w:t>浔中</w:t>
      </w:r>
      <w:r>
        <w:rPr>
          <w:rFonts w:hint="eastAsia" w:ascii="Times New Roman" w:hAnsi="Times New Roman" w:eastAsia="仿宋_GB2312" w:cstheme="minorBidi"/>
          <w:color w:val="auto"/>
          <w:kern w:val="0"/>
          <w:sz w:val="28"/>
          <w:szCs w:val="28"/>
        </w:rPr>
        <w:t>镇</w:t>
      </w:r>
      <w:r>
        <w:rPr>
          <w:rFonts w:hint="eastAsia" w:cstheme="minorBidi"/>
          <w:color w:val="auto"/>
          <w:kern w:val="0"/>
          <w:sz w:val="28"/>
          <w:szCs w:val="28"/>
          <w:lang w:val="en-US" w:eastAsia="zh-CN"/>
        </w:rPr>
        <w:t>浔中</w:t>
      </w:r>
      <w:r>
        <w:rPr>
          <w:rFonts w:hint="eastAsia" w:ascii="Times New Roman" w:hAnsi="Times New Roman" w:eastAsia="仿宋_GB2312" w:cstheme="minorBidi"/>
          <w:color w:val="auto"/>
          <w:kern w:val="0"/>
          <w:sz w:val="28"/>
          <w:szCs w:val="28"/>
        </w:rPr>
        <w:t>村</w:t>
      </w:r>
      <w:r>
        <w:rPr>
          <w:rFonts w:hint="eastAsia" w:cstheme="minorBidi"/>
          <w:color w:val="auto"/>
          <w:kern w:val="0"/>
          <w:sz w:val="28"/>
          <w:szCs w:val="28"/>
          <w:lang w:val="en-US" w:eastAsia="zh-CN"/>
        </w:rPr>
        <w:t>村务</w:t>
      </w:r>
      <w:r>
        <w:rPr>
          <w:rFonts w:hint="default" w:ascii="Times New Roman" w:hAnsi="Times New Roman" w:eastAsia="仿宋_GB2312" w:cstheme="minorBidi"/>
          <w:color w:val="auto"/>
          <w:kern w:val="0"/>
          <w:sz w:val="28"/>
          <w:szCs w:val="28"/>
          <w:lang w:val="en-US" w:eastAsia="zh-CN"/>
        </w:rPr>
        <w:t>公告栏，公示时间均超过5个工作日。公示期间，未收到任何意见、建议和反馈。</w:t>
      </w:r>
    </w:p>
    <w:p>
      <w:pPr>
        <w:keepNext w:val="0"/>
        <w:keepLines w:val="0"/>
        <w:pageBreakBefore w:val="0"/>
        <w:widowControl/>
        <w:numPr>
          <w:ilvl w:val="0"/>
          <w:numId w:val="0"/>
        </w:numPr>
        <w:shd w:val="clear"/>
        <w:kinsoku/>
        <w:wordWrap/>
        <w:overflowPunct/>
        <w:topLinePunct w:val="0"/>
        <w:bidi w:val="0"/>
        <w:snapToGrid/>
        <w:spacing w:beforeLines="50" w:afterLines="50"/>
        <w:textAlignment w:val="auto"/>
        <w:outlineLvl w:val="0"/>
        <w:rPr>
          <w:rFonts w:hint="eastAsia" w:cs="仿宋_GB2312"/>
          <w:b/>
          <w:bCs/>
          <w:sz w:val="32"/>
          <w:szCs w:val="32"/>
        </w:rPr>
      </w:pPr>
      <w:bookmarkStart w:id="47" w:name="_Toc11598"/>
      <w:r>
        <w:rPr>
          <w:rFonts w:hint="eastAsia" w:cs="仿宋_GB2312"/>
          <w:b/>
          <w:bCs/>
          <w:sz w:val="32"/>
          <w:szCs w:val="32"/>
          <w:lang w:val="en-US" w:eastAsia="zh-CN"/>
        </w:rPr>
        <w:t>十、</w:t>
      </w:r>
      <w:r>
        <w:rPr>
          <w:rFonts w:hint="eastAsia" w:cs="仿宋_GB2312"/>
          <w:b/>
          <w:bCs/>
          <w:sz w:val="32"/>
          <w:szCs w:val="32"/>
        </w:rPr>
        <w:t>结论</w:t>
      </w:r>
      <w:bookmarkEnd w:id="47"/>
    </w:p>
    <w:p>
      <w:pPr>
        <w:rPr>
          <w:rFonts w:hint="eastAsia"/>
          <w:kern w:val="0"/>
          <w:szCs w:val="28"/>
        </w:rPr>
      </w:pPr>
      <w:r>
        <w:rPr>
          <w:rFonts w:hint="eastAsia"/>
          <w:kern w:val="0"/>
          <w:szCs w:val="28"/>
        </w:rPr>
        <w:t>本次成片开发位于德化县</w:t>
      </w:r>
      <w:r>
        <w:rPr>
          <w:rFonts w:hint="eastAsia"/>
          <w:kern w:val="0"/>
          <w:szCs w:val="28"/>
          <w:lang w:eastAsia="zh-CN"/>
        </w:rPr>
        <w:t>浔中镇浔中村。</w:t>
      </w:r>
      <w:r>
        <w:rPr>
          <w:rFonts w:hint="eastAsia"/>
          <w:kern w:val="0"/>
          <w:szCs w:val="28"/>
        </w:rPr>
        <w:t>成片开发位置、面积和范围准确，土地产权清晰，界址清楚，没有争议</w:t>
      </w:r>
      <w:r>
        <w:rPr>
          <w:rFonts w:hint="eastAsia"/>
          <w:kern w:val="0"/>
          <w:szCs w:val="28"/>
          <w:lang w:eastAsia="zh-CN"/>
        </w:rPr>
        <w:t>。</w:t>
      </w:r>
      <w:r>
        <w:rPr>
          <w:rFonts w:hint="eastAsia"/>
          <w:kern w:val="0"/>
          <w:szCs w:val="28"/>
          <w:lang w:val="en-US" w:eastAsia="zh-CN"/>
        </w:rPr>
        <w:t>本次土地征收成片开发方案符合国民经济和社会发展规划、国土空间规划、专项规划，已纳入国民经济和社会发展年度计划，符合部省规定的标准，做到了保护耕地、维护农民合法权益、节约集约用地、保护生态环境，能够促进经济社会可持续发展。</w:t>
      </w:r>
    </w:p>
    <w:p>
      <w:pPr>
        <w:spacing w:before="190" w:beforeLines="50" w:after="190" w:afterLines="50"/>
        <w:ind w:firstLine="0" w:firstLineChars="0"/>
        <w:outlineLvl w:val="0"/>
        <w:rPr>
          <w:rFonts w:hint="eastAsia"/>
          <w:color w:val="000000"/>
          <w:kern w:val="0"/>
          <w:szCs w:val="28"/>
        </w:rPr>
        <w:sectPr>
          <w:footerReference r:id="rId9" w:type="default"/>
          <w:pgSz w:w="11906" w:h="16838"/>
          <w:pgMar w:top="1440" w:right="1800" w:bottom="1157"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48" w:name="_Toc104054904"/>
      <w:bookmarkStart w:id="49" w:name="_Toc32599"/>
      <w:r>
        <w:rPr>
          <w:rFonts w:hint="eastAsia" w:ascii="Times New Roman" w:hAnsi="Times New Roman" w:cs="仿宋_GB2312"/>
          <w:b/>
          <w:bCs/>
          <w:sz w:val="32"/>
          <w:szCs w:val="32"/>
        </w:rPr>
        <w:t>十一、附图及</w:t>
      </w:r>
      <w:bookmarkEnd w:id="48"/>
      <w:r>
        <w:rPr>
          <w:rFonts w:hint="eastAsia" w:ascii="Times New Roman" w:hAnsi="Times New Roman" w:cs="仿宋_GB2312"/>
          <w:b/>
          <w:bCs/>
          <w:sz w:val="32"/>
          <w:szCs w:val="32"/>
        </w:rPr>
        <w:t>附表</w:t>
      </w:r>
      <w:bookmarkEnd w:id="49"/>
    </w:p>
    <w:p>
      <w:pPr>
        <w:pStyle w:val="14"/>
        <w:rPr>
          <w:rFonts w:hint="eastAsia"/>
          <w:lang w:val="en-US" w:eastAsia="zh-CN"/>
        </w:rPr>
      </w:pPr>
      <w:r>
        <w:rPr>
          <w:rFonts w:hint="default"/>
          <w:lang w:val="en-US" w:eastAsia="zh-CN"/>
        </w:rPr>
        <w:drawing>
          <wp:anchor distT="0" distB="0" distL="114300" distR="114300" simplePos="0" relativeHeight="251666432" behindDoc="0" locked="0" layoutInCell="1" allowOverlap="1">
            <wp:simplePos x="0" y="0"/>
            <wp:positionH relativeFrom="column">
              <wp:posOffset>-381635</wp:posOffset>
            </wp:positionH>
            <wp:positionV relativeFrom="paragraph">
              <wp:posOffset>149860</wp:posOffset>
            </wp:positionV>
            <wp:extent cx="6103620" cy="8759190"/>
            <wp:effectExtent l="0" t="0" r="11430" b="3810"/>
            <wp:wrapNone/>
            <wp:docPr id="6" name="图片 6" descr="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位置示意图"/>
                    <pic:cNvPicPr>
                      <a:picLocks noChangeAspect="1"/>
                    </pic:cNvPicPr>
                  </pic:nvPicPr>
                  <pic:blipFill>
                    <a:blip r:embed="rId13"/>
                    <a:srcRect l="1000" t="824" r="3218" b="1994"/>
                    <a:stretch>
                      <a:fillRect/>
                    </a:stretch>
                  </pic:blipFill>
                  <pic:spPr>
                    <a:xfrm>
                      <a:off x="0" y="0"/>
                      <a:ext cx="6103620" cy="8759190"/>
                    </a:xfrm>
                    <a:prstGeom prst="rect">
                      <a:avLst/>
                    </a:prstGeom>
                  </pic:spPr>
                </pic:pic>
              </a:graphicData>
            </a:graphic>
          </wp:anchor>
        </w:drawing>
      </w:r>
    </w:p>
    <w:p>
      <w:pPr>
        <w:pStyle w:val="14"/>
        <w:numPr>
          <w:ilvl w:val="0"/>
          <w:numId w:val="0"/>
        </w:numPr>
        <w:ind w:leftChars="0"/>
        <w:rPr>
          <w:rFonts w:hint="eastAsia"/>
          <w:lang w:val="en-US" w:eastAsia="zh-CN"/>
        </w:rPr>
      </w:pPr>
    </w:p>
    <w:p>
      <w:pPr>
        <w:spacing w:before="156" w:beforeLines="50" w:after="156" w:afterLines="50"/>
        <w:ind w:firstLine="0" w:firstLineChars="0"/>
        <w:outlineLvl w:val="0"/>
        <w:rPr>
          <w:rFonts w:hint="eastAsia" w:cs="仿宋_GB2312"/>
          <w:b/>
          <w:bCs/>
          <w:sz w:val="32"/>
          <w:szCs w:val="32"/>
          <w:lang w:val="en-US" w:eastAsia="zh-CN"/>
        </w:rPr>
      </w:pPr>
    </w:p>
    <w:p>
      <w:pPr>
        <w:pStyle w:val="2"/>
        <w:keepNext w:val="0"/>
        <w:keepLines w:val="0"/>
        <w:pageBreakBefore w:val="0"/>
        <w:widowControl/>
        <w:kinsoku/>
        <w:wordWrap/>
        <w:overflowPunct/>
        <w:topLinePunct w:val="0"/>
        <w:bidi w:val="0"/>
        <w:snapToGrid/>
        <w:textAlignment w:val="auto"/>
        <w:rPr>
          <w:rFonts w:hint="default"/>
          <w:lang w:val="en-US" w:eastAsia="zh-CN"/>
        </w:rPr>
      </w:pPr>
    </w:p>
    <w:p>
      <w:pPr>
        <w:keepNext w:val="0"/>
        <w:keepLines w:val="0"/>
        <w:pageBreakBefore w:val="0"/>
        <w:widowControl/>
        <w:kinsoku/>
        <w:wordWrap/>
        <w:overflowPunct/>
        <w:topLinePunct w:val="0"/>
        <w:bidi w:val="0"/>
        <w:snapToGrid/>
        <w:spacing w:beforeLines="50" w:afterLines="50"/>
        <w:ind w:firstLine="0" w:firstLineChars="0"/>
        <w:textAlignment w:val="auto"/>
        <w:outlineLvl w:val="0"/>
        <w:rPr>
          <w:rFonts w:hint="default"/>
          <w:lang w:val="en-US" w:eastAsia="zh-CN"/>
        </w:rPr>
      </w:pPr>
      <w:r>
        <w:rPr>
          <w:rFonts w:hint="default"/>
          <w:lang w:val="en-US" w:eastAsia="zh-CN"/>
        </w:rPr>
        <w:br w:type="page"/>
      </w:r>
    </w:p>
    <w:p>
      <w:pPr>
        <w:pStyle w:val="2"/>
        <w:keepNext w:val="0"/>
        <w:keepLines w:val="0"/>
        <w:pageBreakBefore w:val="0"/>
        <w:widowControl/>
        <w:kinsoku/>
        <w:wordWrap/>
        <w:overflowPunct/>
        <w:topLinePunct w:val="0"/>
        <w:bidi w:val="0"/>
        <w:snapToGrid/>
        <w:textAlignment w:val="auto"/>
        <w:rPr>
          <w:rFonts w:hint="default"/>
          <w:lang w:val="en-US" w:eastAsia="zh-CN"/>
        </w:rPr>
        <w:sectPr>
          <w:pgSz w:w="11906" w:h="16838"/>
          <w:pgMar w:top="1440" w:right="1800" w:bottom="1157"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val="0"/>
        <w:keepLines w:val="0"/>
        <w:pageBreakBefore w:val="0"/>
        <w:widowControl/>
        <w:kinsoku/>
        <w:wordWrap/>
        <w:overflowPunct/>
        <w:topLinePunct w:val="0"/>
        <w:bidi w:val="0"/>
        <w:snapToGrid/>
        <w:ind w:firstLine="0" w:firstLineChars="0"/>
        <w:jc w:val="center"/>
        <w:textAlignment w:val="auto"/>
        <w:rPr>
          <w:rFonts w:hint="eastAsia" w:cs="Times New Roman"/>
          <w:b/>
          <w:color w:val="000000"/>
          <w:kern w:val="0"/>
          <w:sz w:val="30"/>
          <w:szCs w:val="30"/>
        </w:rPr>
      </w:pPr>
      <w:r>
        <w:rPr>
          <w:rFonts w:hint="eastAsia" w:cs="Times New Roman"/>
          <w:b/>
          <w:color w:val="000000"/>
          <w:kern w:val="0"/>
          <w:sz w:val="30"/>
          <w:szCs w:val="30"/>
        </w:rPr>
        <w:drawing>
          <wp:anchor distT="0" distB="0" distL="114300" distR="114300" simplePos="0" relativeHeight="251665408" behindDoc="0" locked="0" layoutInCell="1" allowOverlap="1">
            <wp:simplePos x="0" y="0"/>
            <wp:positionH relativeFrom="column">
              <wp:posOffset>-921385</wp:posOffset>
            </wp:positionH>
            <wp:positionV relativeFrom="paragraph">
              <wp:posOffset>-378460</wp:posOffset>
            </wp:positionV>
            <wp:extent cx="10716895" cy="5443855"/>
            <wp:effectExtent l="0" t="0" r="8255" b="4445"/>
            <wp:wrapNone/>
            <wp:docPr id="5" name="图片 5" descr="2022112910571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21129105718_00001"/>
                    <pic:cNvPicPr>
                      <a:picLocks noChangeAspect="1"/>
                    </pic:cNvPicPr>
                  </pic:nvPicPr>
                  <pic:blipFill>
                    <a:blip r:embed="rId14"/>
                    <a:srcRect t="5166" b="58916"/>
                    <a:stretch>
                      <a:fillRect/>
                    </a:stretch>
                  </pic:blipFill>
                  <pic:spPr>
                    <a:xfrm>
                      <a:off x="0" y="0"/>
                      <a:ext cx="10716895" cy="5443855"/>
                    </a:xfrm>
                    <a:prstGeom prst="rect">
                      <a:avLst/>
                    </a:prstGeom>
                  </pic:spPr>
                </pic:pic>
              </a:graphicData>
            </a:graphic>
          </wp:anchor>
        </w:drawing>
      </w:r>
    </w:p>
    <w:p>
      <w:pPr>
        <w:pStyle w:val="2"/>
        <w:ind w:firstLine="0" w:firstLineChars="0"/>
        <w:jc w:val="center"/>
        <w:rPr>
          <w:rFonts w:hint="eastAsia" w:cs="Times New Roman"/>
          <w:b/>
          <w:color w:val="000000"/>
          <w:kern w:val="0"/>
          <w:sz w:val="30"/>
          <w:szCs w:val="30"/>
        </w:rPr>
      </w:pPr>
      <w:r>
        <w:rPr>
          <w:rFonts w:hint="eastAsia" w:cs="Times New Roman"/>
          <w:b/>
          <w:color w:val="000000"/>
          <w:kern w:val="0"/>
          <w:sz w:val="30"/>
          <w:szCs w:val="30"/>
        </w:rPr>
        <w:t>附表</w:t>
      </w:r>
      <w:r>
        <w:rPr>
          <w:rFonts w:cs="Times New Roman"/>
          <w:b/>
          <w:color w:val="000000"/>
          <w:kern w:val="0"/>
          <w:sz w:val="30"/>
          <w:szCs w:val="30"/>
        </w:rPr>
        <w:t xml:space="preserve">1 </w:t>
      </w:r>
      <w:r>
        <w:rPr>
          <w:rFonts w:hint="eastAsia" w:cs="Times New Roman"/>
          <w:b/>
          <w:color w:val="000000"/>
          <w:kern w:val="0"/>
          <w:sz w:val="30"/>
          <w:szCs w:val="30"/>
        </w:rPr>
        <w:t>土地利用现状及权属统计表</w:t>
      </w:r>
    </w:p>
    <w:p>
      <w:pPr>
        <w:pStyle w:val="2"/>
        <w:ind w:firstLine="0" w:firstLineChars="0"/>
        <w:jc w:val="center"/>
        <w:rPr>
          <w:rFonts w:hint="eastAsia" w:cs="Times New Roman"/>
          <w:b/>
          <w:color w:val="000000"/>
          <w:kern w:val="0"/>
          <w:sz w:val="30"/>
          <w:szCs w:val="30"/>
        </w:rPr>
      </w:pPr>
    </w:p>
    <w:tbl>
      <w:tblPr>
        <w:tblStyle w:val="15"/>
        <w:tblW w:w="5000" w:type="pct"/>
        <w:jc w:val="center"/>
        <w:tblLayout w:type="fixed"/>
        <w:tblCellMar>
          <w:top w:w="0" w:type="dxa"/>
          <w:left w:w="108" w:type="dxa"/>
          <w:bottom w:w="0" w:type="dxa"/>
          <w:right w:w="108" w:type="dxa"/>
        </w:tblCellMar>
      </w:tblPr>
      <w:tblGrid>
        <w:gridCol w:w="2086"/>
        <w:gridCol w:w="1882"/>
        <w:gridCol w:w="1950"/>
        <w:gridCol w:w="2000"/>
        <w:gridCol w:w="1550"/>
        <w:gridCol w:w="1868"/>
        <w:gridCol w:w="1415"/>
        <w:gridCol w:w="1423"/>
      </w:tblGrid>
      <w:tr>
        <w:tblPrEx>
          <w:tblCellMar>
            <w:top w:w="0" w:type="dxa"/>
            <w:left w:w="108" w:type="dxa"/>
            <w:bottom w:w="0" w:type="dxa"/>
            <w:right w:w="108" w:type="dxa"/>
          </w:tblCellMar>
        </w:tblPrEx>
        <w:trPr>
          <w:trHeight w:val="285" w:hRule="atLeast"/>
          <w:jc w:val="center"/>
        </w:trPr>
        <w:tc>
          <w:tcPr>
            <w:tcW w:w="5000" w:type="pct"/>
            <w:gridSpan w:val="8"/>
            <w:tcBorders>
              <w:top w:val="nil"/>
              <w:left w:val="nil"/>
              <w:bottom w:val="nil"/>
              <w:right w:val="nil"/>
            </w:tcBorders>
            <w:shd w:val="clear" w:color="000000" w:fill="auto"/>
            <w:vAlign w:val="center"/>
          </w:tcPr>
          <w:p>
            <w:pPr>
              <w:widowControl/>
              <w:spacing w:line="240" w:lineRule="auto"/>
              <w:ind w:firstLine="0" w:firstLineChars="0"/>
              <w:jc w:val="right"/>
              <w:rPr>
                <w:rFonts w:cs="宋体"/>
                <w:color w:val="000000"/>
                <w:kern w:val="0"/>
                <w:szCs w:val="28"/>
              </w:rPr>
            </w:pPr>
            <w:r>
              <w:rPr>
                <w:rFonts w:cs="宋体"/>
                <w:color w:val="000000"/>
                <w:kern w:val="0"/>
                <w:szCs w:val="28"/>
              </w:rPr>
              <w:drawing>
                <wp:anchor distT="0" distB="0" distL="114300" distR="114300" simplePos="0" relativeHeight="251661312" behindDoc="0" locked="0" layoutInCell="1" hidden="1" allowOverlap="1">
                  <wp:simplePos x="0" y="0"/>
                  <wp:positionH relativeFrom="column">
                    <wp:posOffset>0</wp:posOffset>
                  </wp:positionH>
                  <wp:positionV relativeFrom="paragraph">
                    <wp:posOffset>0</wp:posOffset>
                  </wp:positionV>
                  <wp:extent cx="914400" cy="228600"/>
                  <wp:effectExtent l="0" t="0" r="0" b="0"/>
                  <wp:wrapNone/>
                  <wp:docPr id="9" name="图片 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hidden="1"/>
                          <pic:cNvPicPr>
                            <a:picLocks noChangeAspect="1" noChangeArrowheads="1"/>
                          </pic:cNvPicPr>
                        </pic:nvPicPr>
                        <pic:blipFill>
                          <a:blip r:embed="rId15" cstate="print"/>
                          <a:srcRect/>
                          <a:stretch>
                            <a:fillRect/>
                          </a:stretch>
                        </pic:blipFill>
                        <pic:spPr>
                          <a:xfrm>
                            <a:off x="0" y="0"/>
                            <a:ext cx="1524000" cy="228600"/>
                          </a:xfrm>
                          <a:prstGeom prst="rect">
                            <a:avLst/>
                          </a:prstGeom>
                          <a:noFill/>
                        </pic:spPr>
                      </pic:pic>
                    </a:graphicData>
                  </a:graphic>
                </wp:anchor>
              </w:drawing>
            </w:r>
            <w:r>
              <w:rPr>
                <w:rFonts w:cs="宋体"/>
                <w:color w:val="000000"/>
                <w:kern w:val="0"/>
                <w:szCs w:val="28"/>
              </w:rPr>
              <w:drawing>
                <wp:anchor distT="0" distB="0" distL="114300" distR="114300" simplePos="0" relativeHeight="251662336" behindDoc="0" locked="0" layoutInCell="1" hidden="1" allowOverlap="1">
                  <wp:simplePos x="0" y="0"/>
                  <wp:positionH relativeFrom="column">
                    <wp:posOffset>647700</wp:posOffset>
                  </wp:positionH>
                  <wp:positionV relativeFrom="paragraph">
                    <wp:posOffset>0</wp:posOffset>
                  </wp:positionV>
                  <wp:extent cx="914400" cy="228600"/>
                  <wp:effectExtent l="0" t="0" r="0" b="0"/>
                  <wp:wrapNone/>
                  <wp:docPr id="10" name="图片 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hidden="1"/>
                          <pic:cNvPicPr>
                            <a:picLocks noChangeAspect="1" noChangeArrowheads="1"/>
                          </pic:cNvPicPr>
                        </pic:nvPicPr>
                        <pic:blipFill>
                          <a:blip r:embed="rId16" cstate="print"/>
                          <a:srcRect/>
                          <a:stretch>
                            <a:fillRect/>
                          </a:stretch>
                        </pic:blipFill>
                        <pic:spPr>
                          <a:xfrm>
                            <a:off x="0" y="0"/>
                            <a:ext cx="2428875" cy="228600"/>
                          </a:xfrm>
                          <a:prstGeom prst="rect">
                            <a:avLst/>
                          </a:prstGeom>
                          <a:noFill/>
                        </pic:spPr>
                      </pic:pic>
                    </a:graphicData>
                  </a:graphic>
                </wp:anchor>
              </w:drawing>
            </w:r>
            <w:r>
              <w:rPr>
                <w:rFonts w:hint="eastAsia" w:cs="宋体"/>
                <w:color w:val="000000"/>
                <w:kern w:val="0"/>
                <w:szCs w:val="28"/>
              </w:rPr>
              <w:t>单位：公顷</w:t>
            </w:r>
          </w:p>
        </w:tc>
      </w:tr>
      <w:tr>
        <w:tblPrEx>
          <w:tblCellMar>
            <w:top w:w="0" w:type="dxa"/>
            <w:left w:w="108" w:type="dxa"/>
            <w:bottom w:w="0" w:type="dxa"/>
            <w:right w:w="108" w:type="dxa"/>
          </w:tblCellMar>
        </w:tblPrEx>
        <w:trPr>
          <w:trHeight w:val="511" w:hRule="atLeast"/>
          <w:jc w:val="center"/>
        </w:trPr>
        <w:tc>
          <w:tcPr>
            <w:tcW w:w="735" w:type="pct"/>
            <w:vMerge w:val="restart"/>
            <w:tcBorders>
              <w:top w:val="single" w:color="auto" w:sz="4" w:space="0"/>
              <w:left w:val="single" w:color="auto" w:sz="4" w:space="0"/>
              <w:right w:val="single" w:color="auto" w:sz="4" w:space="0"/>
            </w:tcBorders>
            <w:shd w:val="clear" w:color="000000" w:fill="auto"/>
            <w:vAlign w:val="center"/>
          </w:tcPr>
          <w:p>
            <w:pPr>
              <w:widowControl/>
              <w:spacing w:line="240" w:lineRule="auto"/>
              <w:ind w:firstLine="0" w:firstLineChars="0"/>
              <w:jc w:val="center"/>
              <w:rPr>
                <w:rFonts w:cs="宋体"/>
                <w:color w:val="000000"/>
                <w:kern w:val="0"/>
                <w:szCs w:val="28"/>
              </w:rPr>
            </w:pPr>
            <w:r>
              <w:rPr>
                <w:rFonts w:hint="eastAsia" w:cs="宋体"/>
                <w:color w:val="000000"/>
                <w:kern w:val="0"/>
                <w:szCs w:val="28"/>
              </w:rPr>
              <w:t>用地方式</w:t>
            </w:r>
          </w:p>
        </w:tc>
        <w:tc>
          <w:tcPr>
            <w:tcW w:w="1351" w:type="pct"/>
            <w:gridSpan w:val="2"/>
            <w:tcBorders>
              <w:top w:val="single" w:color="auto" w:sz="4" w:space="0"/>
              <w:left w:val="nil"/>
              <w:bottom w:val="single" w:color="auto" w:sz="4" w:space="0"/>
              <w:right w:val="single" w:color="auto" w:sz="4" w:space="0"/>
            </w:tcBorders>
            <w:shd w:val="clear" w:color="000000" w:fill="auto"/>
            <w:vAlign w:val="center"/>
          </w:tcPr>
          <w:p>
            <w:pPr>
              <w:widowControl/>
              <w:spacing w:line="240" w:lineRule="auto"/>
              <w:ind w:firstLine="0" w:firstLineChars="0"/>
              <w:jc w:val="center"/>
              <w:rPr>
                <w:rFonts w:cs="宋体"/>
                <w:color w:val="000000"/>
                <w:kern w:val="0"/>
                <w:szCs w:val="28"/>
              </w:rPr>
            </w:pPr>
            <w:r>
              <w:rPr>
                <w:rFonts w:hint="eastAsia" w:cs="宋体"/>
                <w:color w:val="000000"/>
                <w:kern w:val="0"/>
                <w:szCs w:val="28"/>
              </w:rPr>
              <w:t>权属单位</w:t>
            </w:r>
          </w:p>
        </w:tc>
        <w:tc>
          <w:tcPr>
            <w:tcW w:w="705" w:type="pct"/>
            <w:vMerge w:val="restart"/>
            <w:tcBorders>
              <w:top w:val="single" w:color="auto" w:sz="4" w:space="0"/>
              <w:left w:val="single" w:color="auto" w:sz="4" w:space="0"/>
              <w:bottom w:val="single" w:color="auto" w:sz="4" w:space="0"/>
              <w:right w:val="single" w:color="auto" w:sz="4" w:space="0"/>
            </w:tcBorders>
            <w:shd w:val="clear" w:color="000000" w:fill="auto"/>
            <w:vAlign w:val="center"/>
          </w:tcPr>
          <w:p>
            <w:pPr>
              <w:widowControl/>
              <w:spacing w:line="240" w:lineRule="auto"/>
              <w:ind w:firstLine="0" w:firstLineChars="0"/>
              <w:jc w:val="center"/>
              <w:rPr>
                <w:rFonts w:cs="宋体"/>
                <w:color w:val="000000"/>
                <w:kern w:val="0"/>
                <w:szCs w:val="28"/>
              </w:rPr>
            </w:pPr>
            <w:r>
              <w:rPr>
                <w:rFonts w:hint="eastAsia" w:cs="宋体"/>
                <w:color w:val="000000"/>
                <w:kern w:val="0"/>
                <w:szCs w:val="28"/>
              </w:rPr>
              <w:t>面积总计</w:t>
            </w:r>
          </w:p>
        </w:tc>
        <w:tc>
          <w:tcPr>
            <w:tcW w:w="1205" w:type="pct"/>
            <w:gridSpan w:val="2"/>
            <w:tcBorders>
              <w:top w:val="single" w:color="auto" w:sz="4" w:space="0"/>
              <w:left w:val="nil"/>
              <w:bottom w:val="single" w:color="auto" w:sz="4" w:space="0"/>
              <w:right w:val="single" w:color="auto" w:sz="4" w:space="0"/>
            </w:tcBorders>
            <w:shd w:val="clear" w:color="000000" w:fill="auto"/>
            <w:vAlign w:val="center"/>
          </w:tcPr>
          <w:p>
            <w:pPr>
              <w:widowControl/>
              <w:spacing w:line="240" w:lineRule="auto"/>
              <w:ind w:firstLine="0" w:firstLineChars="0"/>
              <w:jc w:val="center"/>
              <w:rPr>
                <w:rFonts w:cs="宋体"/>
                <w:color w:val="000000"/>
                <w:kern w:val="0"/>
                <w:szCs w:val="28"/>
              </w:rPr>
            </w:pPr>
            <w:r>
              <w:rPr>
                <w:rFonts w:hint="eastAsia" w:cs="宋体"/>
                <w:color w:val="000000"/>
                <w:kern w:val="0"/>
                <w:szCs w:val="28"/>
              </w:rPr>
              <w:t>农用地</w:t>
            </w:r>
          </w:p>
        </w:tc>
        <w:tc>
          <w:tcPr>
            <w:tcW w:w="499" w:type="pct"/>
            <w:vMerge w:val="restart"/>
            <w:tcBorders>
              <w:top w:val="single" w:color="auto" w:sz="4" w:space="0"/>
              <w:left w:val="single" w:color="auto" w:sz="4" w:space="0"/>
              <w:bottom w:val="single" w:color="auto" w:sz="4" w:space="0"/>
              <w:right w:val="single" w:color="auto" w:sz="4" w:space="0"/>
            </w:tcBorders>
            <w:shd w:val="clear" w:color="000000" w:fill="auto"/>
            <w:vAlign w:val="center"/>
          </w:tcPr>
          <w:p>
            <w:pPr>
              <w:widowControl/>
              <w:spacing w:line="240" w:lineRule="auto"/>
              <w:ind w:firstLine="0" w:firstLineChars="0"/>
              <w:jc w:val="center"/>
              <w:rPr>
                <w:rFonts w:cs="宋体"/>
                <w:color w:val="000000"/>
                <w:kern w:val="0"/>
                <w:szCs w:val="28"/>
              </w:rPr>
            </w:pPr>
            <w:r>
              <w:rPr>
                <w:rFonts w:hint="eastAsia" w:cs="宋体"/>
                <w:color w:val="000000"/>
                <w:kern w:val="0"/>
                <w:szCs w:val="28"/>
              </w:rPr>
              <w:t>建设用地</w:t>
            </w:r>
          </w:p>
        </w:tc>
        <w:tc>
          <w:tcPr>
            <w:tcW w:w="501" w:type="pct"/>
            <w:vMerge w:val="restart"/>
            <w:tcBorders>
              <w:top w:val="single" w:color="auto" w:sz="4" w:space="0"/>
              <w:left w:val="single" w:color="auto" w:sz="4" w:space="0"/>
              <w:bottom w:val="single" w:color="auto" w:sz="4" w:space="0"/>
              <w:right w:val="single" w:color="auto" w:sz="4" w:space="0"/>
            </w:tcBorders>
            <w:shd w:val="clear" w:color="000000" w:fill="auto"/>
            <w:vAlign w:val="center"/>
          </w:tcPr>
          <w:p>
            <w:pPr>
              <w:widowControl/>
              <w:spacing w:line="240" w:lineRule="auto"/>
              <w:ind w:firstLine="0" w:firstLineChars="0"/>
              <w:jc w:val="center"/>
              <w:rPr>
                <w:rFonts w:cs="宋体"/>
                <w:color w:val="000000"/>
                <w:kern w:val="0"/>
                <w:szCs w:val="28"/>
              </w:rPr>
            </w:pPr>
            <w:r>
              <w:rPr>
                <w:rFonts w:hint="eastAsia" w:cs="宋体"/>
                <w:color w:val="000000"/>
                <w:kern w:val="0"/>
                <w:szCs w:val="28"/>
              </w:rPr>
              <w:t>未利用地</w:t>
            </w:r>
          </w:p>
        </w:tc>
      </w:tr>
      <w:tr>
        <w:tblPrEx>
          <w:tblCellMar>
            <w:top w:w="0" w:type="dxa"/>
            <w:left w:w="108" w:type="dxa"/>
            <w:bottom w:w="0" w:type="dxa"/>
            <w:right w:w="108" w:type="dxa"/>
          </w:tblCellMar>
        </w:tblPrEx>
        <w:trPr>
          <w:trHeight w:val="511" w:hRule="atLeast"/>
          <w:jc w:val="center"/>
        </w:trPr>
        <w:tc>
          <w:tcPr>
            <w:tcW w:w="735" w:type="pct"/>
            <w:vMerge w:val="continue"/>
            <w:tcBorders>
              <w:left w:val="single" w:color="auto" w:sz="4" w:space="0"/>
              <w:bottom w:val="single" w:color="auto" w:sz="4" w:space="0"/>
              <w:right w:val="single" w:color="auto" w:sz="4" w:space="0"/>
            </w:tcBorders>
            <w:shd w:val="clear" w:color="000000" w:fill="auto"/>
            <w:vAlign w:val="center"/>
          </w:tcPr>
          <w:p>
            <w:pPr>
              <w:widowControl/>
              <w:spacing w:line="240" w:lineRule="auto"/>
              <w:ind w:firstLine="0" w:firstLineChars="0"/>
              <w:jc w:val="center"/>
              <w:rPr>
                <w:rFonts w:cs="宋体"/>
                <w:color w:val="000000"/>
                <w:kern w:val="0"/>
                <w:szCs w:val="28"/>
              </w:rPr>
            </w:pPr>
          </w:p>
        </w:tc>
        <w:tc>
          <w:tcPr>
            <w:tcW w:w="663" w:type="pct"/>
            <w:tcBorders>
              <w:top w:val="nil"/>
              <w:left w:val="nil"/>
              <w:bottom w:val="single" w:color="auto" w:sz="4" w:space="0"/>
              <w:right w:val="single" w:color="auto" w:sz="4" w:space="0"/>
            </w:tcBorders>
            <w:shd w:val="clear" w:color="000000" w:fill="auto"/>
            <w:vAlign w:val="center"/>
          </w:tcPr>
          <w:p>
            <w:pPr>
              <w:widowControl/>
              <w:spacing w:line="240" w:lineRule="auto"/>
              <w:ind w:firstLine="0" w:firstLineChars="0"/>
              <w:jc w:val="center"/>
              <w:rPr>
                <w:rFonts w:cs="宋体"/>
                <w:color w:val="000000"/>
                <w:kern w:val="0"/>
                <w:szCs w:val="28"/>
              </w:rPr>
            </w:pPr>
            <w:r>
              <w:rPr>
                <w:rFonts w:hint="eastAsia" w:cs="宋体"/>
                <w:color w:val="000000"/>
                <w:kern w:val="0"/>
                <w:szCs w:val="28"/>
              </w:rPr>
              <w:t>乡（镇）</w:t>
            </w:r>
          </w:p>
        </w:tc>
        <w:tc>
          <w:tcPr>
            <w:tcW w:w="687" w:type="pct"/>
            <w:tcBorders>
              <w:top w:val="nil"/>
              <w:left w:val="nil"/>
              <w:bottom w:val="single" w:color="auto" w:sz="4" w:space="0"/>
              <w:right w:val="single" w:color="auto" w:sz="4" w:space="0"/>
            </w:tcBorders>
            <w:shd w:val="clear" w:color="000000" w:fill="auto"/>
            <w:vAlign w:val="center"/>
          </w:tcPr>
          <w:p>
            <w:pPr>
              <w:widowControl/>
              <w:spacing w:line="240" w:lineRule="auto"/>
              <w:ind w:firstLine="0" w:firstLineChars="0"/>
              <w:jc w:val="center"/>
              <w:rPr>
                <w:rFonts w:cs="宋体"/>
                <w:color w:val="000000"/>
                <w:kern w:val="0"/>
                <w:szCs w:val="28"/>
              </w:rPr>
            </w:pPr>
            <w:r>
              <w:rPr>
                <w:rFonts w:hint="eastAsia" w:cs="宋体"/>
                <w:color w:val="000000"/>
                <w:kern w:val="0"/>
                <w:szCs w:val="28"/>
              </w:rPr>
              <w:t>村（组）</w:t>
            </w:r>
          </w:p>
        </w:tc>
        <w:tc>
          <w:tcPr>
            <w:tcW w:w="705" w:type="pct"/>
            <w:vMerge w:val="continue"/>
            <w:tcBorders>
              <w:top w:val="single" w:color="auto" w:sz="4" w:space="0"/>
              <w:left w:val="single" w:color="auto" w:sz="4" w:space="0"/>
              <w:bottom w:val="single" w:color="auto" w:sz="4" w:space="0"/>
              <w:right w:val="single" w:color="auto" w:sz="4" w:space="0"/>
            </w:tcBorders>
            <w:shd w:val="clear" w:color="000000" w:fill="auto"/>
            <w:vAlign w:val="center"/>
          </w:tcPr>
          <w:p>
            <w:pPr>
              <w:widowControl/>
              <w:spacing w:line="240" w:lineRule="auto"/>
              <w:ind w:firstLine="0" w:firstLineChars="0"/>
              <w:jc w:val="center"/>
              <w:rPr>
                <w:rFonts w:cs="宋体"/>
                <w:color w:val="000000"/>
                <w:kern w:val="0"/>
                <w:szCs w:val="28"/>
              </w:rPr>
            </w:pPr>
          </w:p>
        </w:tc>
        <w:tc>
          <w:tcPr>
            <w:tcW w:w="546" w:type="pct"/>
            <w:tcBorders>
              <w:top w:val="nil"/>
              <w:left w:val="nil"/>
              <w:bottom w:val="single" w:color="auto" w:sz="4" w:space="0"/>
              <w:right w:val="single" w:color="auto" w:sz="4" w:space="0"/>
            </w:tcBorders>
            <w:shd w:val="clear" w:color="000000" w:fill="auto"/>
            <w:vAlign w:val="center"/>
          </w:tcPr>
          <w:p>
            <w:pPr>
              <w:widowControl/>
              <w:spacing w:line="240" w:lineRule="auto"/>
              <w:ind w:firstLine="0" w:firstLineChars="0"/>
              <w:jc w:val="center"/>
              <w:rPr>
                <w:rFonts w:cs="宋体"/>
                <w:color w:val="000000"/>
                <w:kern w:val="0"/>
                <w:szCs w:val="28"/>
              </w:rPr>
            </w:pPr>
            <w:r>
              <w:rPr>
                <w:rFonts w:hint="eastAsia" w:cs="宋体"/>
                <w:color w:val="000000"/>
                <w:kern w:val="0"/>
                <w:szCs w:val="28"/>
              </w:rPr>
              <w:t>合计</w:t>
            </w:r>
          </w:p>
        </w:tc>
        <w:tc>
          <w:tcPr>
            <w:tcW w:w="658" w:type="pct"/>
            <w:tcBorders>
              <w:top w:val="nil"/>
              <w:left w:val="nil"/>
              <w:bottom w:val="single" w:color="auto" w:sz="4" w:space="0"/>
              <w:right w:val="single" w:color="auto" w:sz="4" w:space="0"/>
            </w:tcBorders>
            <w:shd w:val="clear" w:color="000000" w:fill="auto"/>
            <w:vAlign w:val="center"/>
          </w:tcPr>
          <w:p>
            <w:pPr>
              <w:widowControl/>
              <w:spacing w:line="240" w:lineRule="auto"/>
              <w:ind w:firstLine="0" w:firstLineChars="0"/>
              <w:jc w:val="center"/>
              <w:rPr>
                <w:rFonts w:cs="宋体"/>
                <w:color w:val="000000"/>
                <w:kern w:val="0"/>
                <w:szCs w:val="28"/>
              </w:rPr>
            </w:pPr>
            <w:r>
              <w:rPr>
                <w:rFonts w:hint="eastAsia" w:cs="宋体"/>
                <w:color w:val="000000"/>
                <w:kern w:val="0"/>
                <w:szCs w:val="28"/>
                <w:lang w:val="en-US" w:eastAsia="zh-CN"/>
              </w:rPr>
              <w:t>其中：</w:t>
            </w:r>
            <w:r>
              <w:rPr>
                <w:rFonts w:hint="eastAsia" w:cs="宋体"/>
                <w:color w:val="000000"/>
                <w:kern w:val="0"/>
                <w:szCs w:val="28"/>
              </w:rPr>
              <w:t>耕地</w:t>
            </w:r>
          </w:p>
        </w:tc>
        <w:tc>
          <w:tcPr>
            <w:tcW w:w="499" w:type="pct"/>
            <w:vMerge w:val="continue"/>
            <w:tcBorders>
              <w:top w:val="single" w:color="auto" w:sz="4" w:space="0"/>
              <w:left w:val="single" w:color="auto" w:sz="4" w:space="0"/>
              <w:bottom w:val="single" w:color="auto" w:sz="4" w:space="0"/>
              <w:right w:val="single" w:color="auto" w:sz="4" w:space="0"/>
            </w:tcBorders>
            <w:shd w:val="clear" w:color="000000" w:fill="auto"/>
            <w:vAlign w:val="center"/>
          </w:tcPr>
          <w:p>
            <w:pPr>
              <w:widowControl/>
              <w:spacing w:line="240" w:lineRule="auto"/>
              <w:ind w:firstLine="0" w:firstLineChars="0"/>
              <w:jc w:val="center"/>
              <w:rPr>
                <w:rFonts w:cs="宋体"/>
                <w:color w:val="000000"/>
                <w:kern w:val="0"/>
                <w:szCs w:val="28"/>
              </w:rPr>
            </w:pPr>
          </w:p>
        </w:tc>
        <w:tc>
          <w:tcPr>
            <w:tcW w:w="501" w:type="pct"/>
            <w:vMerge w:val="continue"/>
            <w:tcBorders>
              <w:top w:val="single" w:color="auto" w:sz="4" w:space="0"/>
              <w:left w:val="single" w:color="auto" w:sz="4" w:space="0"/>
              <w:bottom w:val="single" w:color="auto" w:sz="4" w:space="0"/>
              <w:right w:val="single" w:color="auto" w:sz="4" w:space="0"/>
            </w:tcBorders>
            <w:shd w:val="clear" w:color="000000" w:fill="auto"/>
            <w:vAlign w:val="center"/>
          </w:tcPr>
          <w:p>
            <w:pPr>
              <w:widowControl/>
              <w:spacing w:line="240" w:lineRule="auto"/>
              <w:ind w:firstLine="0" w:firstLineChars="0"/>
              <w:jc w:val="center"/>
              <w:rPr>
                <w:rFonts w:cs="宋体"/>
                <w:color w:val="000000"/>
                <w:kern w:val="0"/>
                <w:szCs w:val="28"/>
              </w:rPr>
            </w:pPr>
          </w:p>
        </w:tc>
      </w:tr>
      <w:tr>
        <w:tblPrEx>
          <w:tblCellMar>
            <w:top w:w="0" w:type="dxa"/>
            <w:left w:w="108" w:type="dxa"/>
            <w:bottom w:w="0" w:type="dxa"/>
            <w:right w:w="108" w:type="dxa"/>
          </w:tblCellMar>
        </w:tblPrEx>
        <w:trPr>
          <w:trHeight w:val="511" w:hRule="atLeast"/>
          <w:jc w:val="center"/>
        </w:trPr>
        <w:tc>
          <w:tcPr>
            <w:tcW w:w="735" w:type="pct"/>
            <w:tcBorders>
              <w:top w:val="nil"/>
              <w:left w:val="single" w:color="auto" w:sz="4" w:space="0"/>
              <w:right w:val="single" w:color="auto" w:sz="4" w:space="0"/>
            </w:tcBorders>
            <w:shd w:val="clear" w:color="000000" w:fill="auto"/>
            <w:vAlign w:val="center"/>
          </w:tcPr>
          <w:p>
            <w:pPr>
              <w:widowControl/>
              <w:spacing w:line="240" w:lineRule="auto"/>
              <w:ind w:firstLine="0" w:firstLineChars="0"/>
              <w:jc w:val="center"/>
              <w:rPr>
                <w:rFonts w:cs="宋体"/>
                <w:color w:val="000000"/>
                <w:kern w:val="0"/>
                <w:szCs w:val="28"/>
              </w:rPr>
            </w:pPr>
            <w:r>
              <w:rPr>
                <w:rFonts w:hint="eastAsia" w:cs="宋体"/>
                <w:color w:val="000000"/>
                <w:kern w:val="0"/>
                <w:szCs w:val="28"/>
              </w:rPr>
              <w:t>集体土地</w:t>
            </w:r>
          </w:p>
        </w:tc>
        <w:tc>
          <w:tcPr>
            <w:tcW w:w="1882" w:type="dxa"/>
            <w:tcBorders>
              <w:top w:val="nil"/>
              <w:left w:val="single" w:color="auto" w:sz="4" w:space="0"/>
              <w:right w:val="single" w:color="auto" w:sz="4" w:space="0"/>
            </w:tcBorders>
            <w:shd w:val="clear" w:color="000000" w:fill="auto"/>
            <w:vAlign w:val="center"/>
          </w:tcPr>
          <w:p>
            <w:pPr>
              <w:widowControl/>
              <w:spacing w:line="240" w:lineRule="auto"/>
              <w:ind w:firstLine="0" w:firstLineChars="0"/>
              <w:jc w:val="center"/>
              <w:rPr>
                <w:rFonts w:hint="eastAsia" w:cs="宋体"/>
                <w:color w:val="000000"/>
                <w:kern w:val="0"/>
                <w:szCs w:val="28"/>
              </w:rPr>
            </w:pPr>
            <w:r>
              <w:rPr>
                <w:rFonts w:hint="eastAsia" w:cs="宋体"/>
                <w:color w:val="000000"/>
                <w:kern w:val="0"/>
                <w:szCs w:val="28"/>
                <w:lang w:val="en-US" w:eastAsia="zh-CN"/>
              </w:rPr>
              <w:t>浔中镇</w:t>
            </w:r>
          </w:p>
        </w:tc>
        <w:tc>
          <w:tcPr>
            <w:tcW w:w="1950" w:type="dxa"/>
            <w:tcBorders>
              <w:top w:val="nil"/>
              <w:left w:val="nil"/>
              <w:bottom w:val="single" w:color="auto" w:sz="4" w:space="0"/>
              <w:right w:val="single" w:color="auto" w:sz="4" w:space="0"/>
            </w:tcBorders>
            <w:shd w:val="clear" w:color="000000" w:fill="auto"/>
            <w:noWrap/>
            <w:vAlign w:val="center"/>
          </w:tcPr>
          <w:p>
            <w:pPr>
              <w:widowControl/>
              <w:spacing w:line="240" w:lineRule="auto"/>
              <w:ind w:firstLine="0" w:firstLineChars="0"/>
              <w:jc w:val="center"/>
              <w:rPr>
                <w:rFonts w:hint="eastAsia" w:cs="宋体"/>
                <w:color w:val="000000"/>
                <w:kern w:val="0"/>
                <w:szCs w:val="28"/>
              </w:rPr>
            </w:pPr>
            <w:r>
              <w:rPr>
                <w:rFonts w:hint="eastAsia" w:cs="宋体"/>
                <w:color w:val="000000"/>
                <w:kern w:val="0"/>
                <w:szCs w:val="28"/>
                <w:lang w:val="en-US" w:eastAsia="zh-CN"/>
              </w:rPr>
              <w:t>浔中村</w:t>
            </w:r>
          </w:p>
        </w:tc>
        <w:tc>
          <w:tcPr>
            <w:tcW w:w="2000" w:type="dxa"/>
            <w:tcBorders>
              <w:top w:val="nil"/>
              <w:left w:val="nil"/>
              <w:bottom w:val="single" w:color="auto" w:sz="4" w:space="0"/>
              <w:right w:val="single" w:color="auto" w:sz="4" w:space="0"/>
            </w:tcBorders>
            <w:shd w:val="clear" w:color="000000"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12.899</w:t>
            </w:r>
            <w:r>
              <w:rPr>
                <w:rFonts w:hint="eastAsia" w:eastAsia="宋体" w:cs="Times New Roman"/>
                <w:i w:val="0"/>
                <w:iCs w:val="0"/>
                <w:color w:val="000000"/>
                <w:kern w:val="0"/>
                <w:sz w:val="28"/>
                <w:szCs w:val="28"/>
                <w:u w:val="none"/>
                <w:lang w:val="en-US" w:eastAsia="zh-CN" w:bidi="ar"/>
              </w:rPr>
              <w:t>7</w:t>
            </w:r>
          </w:p>
        </w:tc>
        <w:tc>
          <w:tcPr>
            <w:tcW w:w="1550" w:type="dxa"/>
            <w:tcBorders>
              <w:top w:val="nil"/>
              <w:left w:val="nil"/>
              <w:bottom w:val="single" w:color="auto" w:sz="4" w:space="0"/>
              <w:right w:val="single" w:color="auto" w:sz="4" w:space="0"/>
            </w:tcBorders>
            <w:shd w:val="clear" w:color="000000"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9.7094</w:t>
            </w:r>
          </w:p>
        </w:tc>
        <w:tc>
          <w:tcPr>
            <w:tcW w:w="1868" w:type="dxa"/>
            <w:tcBorders>
              <w:top w:val="nil"/>
              <w:left w:val="nil"/>
              <w:bottom w:val="single" w:color="auto" w:sz="4" w:space="0"/>
              <w:right w:val="single" w:color="auto" w:sz="4" w:space="0"/>
            </w:tcBorders>
            <w:shd w:val="clear" w:color="000000"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8"/>
                <w:szCs w:val="28"/>
                <w:u w:val="none"/>
                <w:lang w:val="en-US" w:eastAsia="zh-CN" w:bidi="ar"/>
              </w:rPr>
            </w:pPr>
            <w:r>
              <w:rPr>
                <w:rFonts w:hint="eastAsia" w:eastAsia="宋体" w:cs="Times New Roman"/>
                <w:i w:val="0"/>
                <w:iCs w:val="0"/>
                <w:color w:val="000000"/>
                <w:kern w:val="0"/>
                <w:sz w:val="28"/>
                <w:szCs w:val="28"/>
                <w:u w:val="none"/>
                <w:lang w:val="en-US" w:eastAsia="zh-CN" w:bidi="ar"/>
              </w:rPr>
              <w:t>3.2307</w:t>
            </w:r>
          </w:p>
        </w:tc>
        <w:tc>
          <w:tcPr>
            <w:tcW w:w="1415" w:type="dxa"/>
            <w:tcBorders>
              <w:top w:val="nil"/>
              <w:left w:val="nil"/>
              <w:bottom w:val="single" w:color="auto" w:sz="4" w:space="0"/>
              <w:right w:val="single" w:color="auto" w:sz="4" w:space="0"/>
            </w:tcBorders>
            <w:shd w:val="clear" w:color="000000"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3.190</w:t>
            </w:r>
            <w:r>
              <w:rPr>
                <w:rFonts w:hint="eastAsia" w:eastAsia="宋体" w:cs="Times New Roman"/>
                <w:i w:val="0"/>
                <w:iCs w:val="0"/>
                <w:color w:val="000000"/>
                <w:kern w:val="0"/>
                <w:sz w:val="28"/>
                <w:szCs w:val="28"/>
                <w:u w:val="none"/>
                <w:lang w:val="en-US" w:eastAsia="zh-CN" w:bidi="ar"/>
              </w:rPr>
              <w:t>3</w:t>
            </w:r>
          </w:p>
        </w:tc>
        <w:tc>
          <w:tcPr>
            <w:tcW w:w="1423" w:type="dxa"/>
            <w:tcBorders>
              <w:top w:val="nil"/>
              <w:left w:val="nil"/>
              <w:bottom w:val="single" w:color="auto" w:sz="4" w:space="0"/>
              <w:right w:val="single" w:color="auto" w:sz="4" w:space="0"/>
            </w:tcBorders>
            <w:shd w:val="clear" w:color="000000"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0</w:t>
            </w:r>
          </w:p>
        </w:tc>
      </w:tr>
      <w:tr>
        <w:tblPrEx>
          <w:tblCellMar>
            <w:top w:w="0" w:type="dxa"/>
            <w:left w:w="108" w:type="dxa"/>
            <w:bottom w:w="0" w:type="dxa"/>
            <w:right w:w="108" w:type="dxa"/>
          </w:tblCellMar>
        </w:tblPrEx>
        <w:trPr>
          <w:trHeight w:val="511" w:hRule="atLeast"/>
          <w:jc w:val="center"/>
        </w:trPr>
        <w:tc>
          <w:tcPr>
            <w:tcW w:w="2087" w:type="pct"/>
            <w:gridSpan w:val="3"/>
            <w:tcBorders>
              <w:top w:val="single" w:color="auto" w:sz="4" w:space="0"/>
              <w:left w:val="single" w:color="auto" w:sz="4" w:space="0"/>
              <w:bottom w:val="single" w:color="auto" w:sz="4" w:space="0"/>
              <w:right w:val="single" w:color="auto" w:sz="4" w:space="0"/>
            </w:tcBorders>
            <w:shd w:val="clear" w:color="000000" w:fill="auto"/>
            <w:vAlign w:val="center"/>
          </w:tcPr>
          <w:p>
            <w:pPr>
              <w:widowControl/>
              <w:spacing w:line="240" w:lineRule="auto"/>
              <w:ind w:firstLine="0" w:firstLineChars="0"/>
              <w:jc w:val="center"/>
              <w:rPr>
                <w:rFonts w:cs="宋体"/>
                <w:color w:val="000000"/>
                <w:kern w:val="0"/>
                <w:szCs w:val="28"/>
              </w:rPr>
            </w:pPr>
            <w:r>
              <w:rPr>
                <w:rFonts w:hint="eastAsia" w:cs="宋体"/>
                <w:color w:val="000000"/>
                <w:kern w:val="0"/>
                <w:szCs w:val="28"/>
              </w:rPr>
              <w:t>集体土地小计</w:t>
            </w:r>
          </w:p>
        </w:tc>
        <w:tc>
          <w:tcPr>
            <w:tcW w:w="2000" w:type="dxa"/>
            <w:tcBorders>
              <w:top w:val="nil"/>
              <w:left w:val="nil"/>
              <w:bottom w:val="single" w:color="auto" w:sz="4" w:space="0"/>
              <w:right w:val="single" w:color="auto" w:sz="4" w:space="0"/>
            </w:tcBorders>
            <w:shd w:val="clear" w:color="000000"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12.899</w:t>
            </w:r>
            <w:r>
              <w:rPr>
                <w:rFonts w:hint="eastAsia" w:eastAsia="宋体" w:cs="Times New Roman"/>
                <w:i w:val="0"/>
                <w:iCs w:val="0"/>
                <w:color w:val="000000"/>
                <w:kern w:val="0"/>
                <w:sz w:val="28"/>
                <w:szCs w:val="28"/>
                <w:u w:val="none"/>
                <w:lang w:val="en-US" w:eastAsia="zh-CN" w:bidi="ar"/>
              </w:rPr>
              <w:t>7</w:t>
            </w:r>
          </w:p>
        </w:tc>
        <w:tc>
          <w:tcPr>
            <w:tcW w:w="1550" w:type="dxa"/>
            <w:tcBorders>
              <w:top w:val="nil"/>
              <w:left w:val="nil"/>
              <w:bottom w:val="single" w:color="auto" w:sz="4" w:space="0"/>
              <w:right w:val="single" w:color="auto" w:sz="4" w:space="0"/>
            </w:tcBorders>
            <w:shd w:val="clear" w:color="000000"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9.7094</w:t>
            </w:r>
          </w:p>
        </w:tc>
        <w:tc>
          <w:tcPr>
            <w:tcW w:w="1868" w:type="dxa"/>
            <w:tcBorders>
              <w:top w:val="nil"/>
              <w:left w:val="nil"/>
              <w:bottom w:val="single" w:color="auto" w:sz="4" w:space="0"/>
              <w:right w:val="single" w:color="auto" w:sz="4" w:space="0"/>
            </w:tcBorders>
            <w:shd w:val="clear" w:color="000000"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8"/>
                <w:szCs w:val="28"/>
                <w:u w:val="none"/>
                <w:lang w:val="en-US" w:eastAsia="zh-CN" w:bidi="ar"/>
              </w:rPr>
            </w:pPr>
            <w:r>
              <w:rPr>
                <w:rFonts w:hint="eastAsia" w:eastAsia="宋体" w:cs="Times New Roman"/>
                <w:i w:val="0"/>
                <w:iCs w:val="0"/>
                <w:color w:val="000000"/>
                <w:kern w:val="0"/>
                <w:sz w:val="28"/>
                <w:szCs w:val="28"/>
                <w:u w:val="none"/>
                <w:lang w:val="en-US" w:eastAsia="zh-CN" w:bidi="ar"/>
              </w:rPr>
              <w:t>3.2307</w:t>
            </w:r>
          </w:p>
        </w:tc>
        <w:tc>
          <w:tcPr>
            <w:tcW w:w="1415" w:type="dxa"/>
            <w:tcBorders>
              <w:top w:val="nil"/>
              <w:left w:val="nil"/>
              <w:bottom w:val="single" w:color="auto" w:sz="4" w:space="0"/>
              <w:right w:val="single" w:color="auto" w:sz="4" w:space="0"/>
            </w:tcBorders>
            <w:shd w:val="clear" w:color="000000"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3.190</w:t>
            </w:r>
            <w:r>
              <w:rPr>
                <w:rFonts w:hint="eastAsia" w:eastAsia="宋体" w:cs="Times New Roman"/>
                <w:i w:val="0"/>
                <w:iCs w:val="0"/>
                <w:color w:val="000000"/>
                <w:kern w:val="0"/>
                <w:sz w:val="28"/>
                <w:szCs w:val="28"/>
                <w:u w:val="none"/>
                <w:lang w:val="en-US" w:eastAsia="zh-CN" w:bidi="ar"/>
              </w:rPr>
              <w:t>3</w:t>
            </w:r>
          </w:p>
        </w:tc>
        <w:tc>
          <w:tcPr>
            <w:tcW w:w="1423" w:type="dxa"/>
            <w:tcBorders>
              <w:top w:val="nil"/>
              <w:left w:val="nil"/>
              <w:bottom w:val="single" w:color="auto" w:sz="4" w:space="0"/>
              <w:right w:val="single" w:color="auto" w:sz="4" w:space="0"/>
            </w:tcBorders>
            <w:shd w:val="clear" w:color="000000"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0</w:t>
            </w:r>
          </w:p>
        </w:tc>
      </w:tr>
      <w:tr>
        <w:tblPrEx>
          <w:tblCellMar>
            <w:top w:w="0" w:type="dxa"/>
            <w:left w:w="108" w:type="dxa"/>
            <w:bottom w:w="0" w:type="dxa"/>
            <w:right w:w="108" w:type="dxa"/>
          </w:tblCellMar>
        </w:tblPrEx>
        <w:trPr>
          <w:trHeight w:val="511" w:hRule="atLeast"/>
          <w:jc w:val="center"/>
        </w:trPr>
        <w:tc>
          <w:tcPr>
            <w:tcW w:w="2087" w:type="pct"/>
            <w:gridSpan w:val="3"/>
            <w:tcBorders>
              <w:top w:val="single" w:color="auto" w:sz="4" w:space="0"/>
              <w:left w:val="single" w:color="auto" w:sz="4" w:space="0"/>
              <w:bottom w:val="single" w:color="auto" w:sz="4" w:space="0"/>
              <w:right w:val="single" w:color="auto" w:sz="4" w:space="0"/>
            </w:tcBorders>
            <w:shd w:val="clear" w:color="000000" w:fill="auto"/>
            <w:vAlign w:val="center"/>
          </w:tcPr>
          <w:p>
            <w:pPr>
              <w:widowControl/>
              <w:spacing w:line="240" w:lineRule="auto"/>
              <w:ind w:firstLine="0" w:firstLineChars="0"/>
              <w:jc w:val="center"/>
              <w:rPr>
                <w:rFonts w:cs="宋体"/>
                <w:color w:val="000000"/>
                <w:kern w:val="0"/>
                <w:szCs w:val="28"/>
              </w:rPr>
            </w:pPr>
            <w:r>
              <w:rPr>
                <w:rFonts w:hint="eastAsia" w:cs="宋体"/>
                <w:color w:val="000000"/>
                <w:kern w:val="0"/>
                <w:szCs w:val="28"/>
              </w:rPr>
              <w:t>国有土地小计</w:t>
            </w:r>
          </w:p>
        </w:tc>
        <w:tc>
          <w:tcPr>
            <w:tcW w:w="2000" w:type="dxa"/>
            <w:tcBorders>
              <w:top w:val="nil"/>
              <w:left w:val="nil"/>
              <w:bottom w:val="single" w:color="auto" w:sz="4" w:space="0"/>
              <w:right w:val="single" w:color="auto" w:sz="4" w:space="0"/>
            </w:tcBorders>
            <w:shd w:val="clear" w:color="000000"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2.0329</w:t>
            </w:r>
          </w:p>
        </w:tc>
        <w:tc>
          <w:tcPr>
            <w:tcW w:w="1550" w:type="dxa"/>
            <w:tcBorders>
              <w:top w:val="nil"/>
              <w:left w:val="nil"/>
              <w:bottom w:val="single" w:color="auto" w:sz="4" w:space="0"/>
              <w:right w:val="single" w:color="auto" w:sz="4" w:space="0"/>
            </w:tcBorders>
            <w:shd w:val="clear" w:color="000000"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0</w:t>
            </w:r>
          </w:p>
        </w:tc>
        <w:tc>
          <w:tcPr>
            <w:tcW w:w="1868" w:type="dxa"/>
            <w:tcBorders>
              <w:top w:val="nil"/>
              <w:left w:val="nil"/>
              <w:bottom w:val="single" w:color="auto" w:sz="4" w:space="0"/>
              <w:right w:val="single" w:color="auto" w:sz="4" w:space="0"/>
            </w:tcBorders>
            <w:shd w:val="clear" w:color="000000"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0</w:t>
            </w:r>
          </w:p>
        </w:tc>
        <w:tc>
          <w:tcPr>
            <w:tcW w:w="1415" w:type="dxa"/>
            <w:tcBorders>
              <w:top w:val="nil"/>
              <w:left w:val="nil"/>
              <w:bottom w:val="single" w:color="auto" w:sz="4" w:space="0"/>
              <w:right w:val="single" w:color="auto" w:sz="4" w:space="0"/>
            </w:tcBorders>
            <w:shd w:val="clear" w:color="000000"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2.0329</w:t>
            </w:r>
          </w:p>
        </w:tc>
        <w:tc>
          <w:tcPr>
            <w:tcW w:w="1423" w:type="dxa"/>
            <w:tcBorders>
              <w:top w:val="nil"/>
              <w:left w:val="nil"/>
              <w:bottom w:val="single" w:color="auto" w:sz="4" w:space="0"/>
              <w:right w:val="single" w:color="auto" w:sz="4" w:space="0"/>
            </w:tcBorders>
            <w:shd w:val="clear" w:color="000000"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0</w:t>
            </w:r>
          </w:p>
        </w:tc>
      </w:tr>
      <w:tr>
        <w:tblPrEx>
          <w:tblCellMar>
            <w:top w:w="0" w:type="dxa"/>
            <w:left w:w="108" w:type="dxa"/>
            <w:bottom w:w="0" w:type="dxa"/>
            <w:right w:w="108" w:type="dxa"/>
          </w:tblCellMar>
        </w:tblPrEx>
        <w:trPr>
          <w:trHeight w:val="511" w:hRule="atLeast"/>
          <w:jc w:val="center"/>
        </w:trPr>
        <w:tc>
          <w:tcPr>
            <w:tcW w:w="2087" w:type="pct"/>
            <w:gridSpan w:val="3"/>
            <w:tcBorders>
              <w:top w:val="single" w:color="auto" w:sz="4" w:space="0"/>
              <w:left w:val="single" w:color="auto" w:sz="4" w:space="0"/>
              <w:bottom w:val="single" w:color="auto" w:sz="4" w:space="0"/>
              <w:right w:val="single" w:color="auto" w:sz="4" w:space="0"/>
            </w:tcBorders>
            <w:shd w:val="clear" w:color="000000" w:fill="auto"/>
            <w:vAlign w:val="center"/>
          </w:tcPr>
          <w:p>
            <w:pPr>
              <w:widowControl/>
              <w:spacing w:line="240" w:lineRule="auto"/>
              <w:ind w:firstLine="0" w:firstLineChars="0"/>
              <w:jc w:val="center"/>
              <w:rPr>
                <w:rFonts w:cs="宋体"/>
                <w:color w:val="000000"/>
                <w:kern w:val="0"/>
                <w:szCs w:val="28"/>
              </w:rPr>
            </w:pPr>
            <w:r>
              <w:rPr>
                <w:rFonts w:hint="eastAsia" w:cs="宋体"/>
                <w:color w:val="000000"/>
                <w:kern w:val="0"/>
                <w:szCs w:val="28"/>
              </w:rPr>
              <w:t>总计</w:t>
            </w:r>
          </w:p>
        </w:tc>
        <w:tc>
          <w:tcPr>
            <w:tcW w:w="2000" w:type="dxa"/>
            <w:tcBorders>
              <w:top w:val="nil"/>
              <w:left w:val="nil"/>
              <w:bottom w:val="single" w:color="auto" w:sz="4" w:space="0"/>
              <w:right w:val="single" w:color="auto" w:sz="4" w:space="0"/>
            </w:tcBorders>
            <w:shd w:val="clear" w:color="000000"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14.932</w:t>
            </w:r>
            <w:r>
              <w:rPr>
                <w:rFonts w:hint="eastAsia" w:eastAsia="宋体" w:cs="Times New Roman"/>
                <w:i w:val="0"/>
                <w:iCs w:val="0"/>
                <w:color w:val="000000"/>
                <w:kern w:val="0"/>
                <w:sz w:val="28"/>
                <w:szCs w:val="28"/>
                <w:u w:val="none"/>
                <w:lang w:val="en-US" w:eastAsia="zh-CN" w:bidi="ar"/>
              </w:rPr>
              <w:t>6</w:t>
            </w:r>
          </w:p>
        </w:tc>
        <w:tc>
          <w:tcPr>
            <w:tcW w:w="1550" w:type="dxa"/>
            <w:tcBorders>
              <w:top w:val="nil"/>
              <w:left w:val="nil"/>
              <w:bottom w:val="single" w:color="auto" w:sz="4" w:space="0"/>
              <w:right w:val="single" w:color="auto" w:sz="4" w:space="0"/>
            </w:tcBorders>
            <w:shd w:val="clear" w:color="000000"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9.7094</w:t>
            </w:r>
          </w:p>
        </w:tc>
        <w:tc>
          <w:tcPr>
            <w:tcW w:w="1868" w:type="dxa"/>
            <w:tcBorders>
              <w:top w:val="nil"/>
              <w:left w:val="nil"/>
              <w:bottom w:val="single" w:color="auto" w:sz="4" w:space="0"/>
              <w:right w:val="single" w:color="auto" w:sz="4" w:space="0"/>
            </w:tcBorders>
            <w:shd w:val="clear" w:color="000000"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8"/>
                <w:szCs w:val="28"/>
                <w:u w:val="none"/>
                <w:lang w:val="en-US" w:eastAsia="zh-CN" w:bidi="ar"/>
              </w:rPr>
            </w:pPr>
            <w:r>
              <w:rPr>
                <w:rFonts w:hint="eastAsia" w:eastAsia="宋体" w:cs="Times New Roman"/>
                <w:i w:val="0"/>
                <w:iCs w:val="0"/>
                <w:color w:val="000000"/>
                <w:kern w:val="0"/>
                <w:sz w:val="28"/>
                <w:szCs w:val="28"/>
                <w:u w:val="none"/>
                <w:lang w:val="en-US" w:eastAsia="zh-CN" w:bidi="ar"/>
              </w:rPr>
              <w:t>3.2307</w:t>
            </w:r>
          </w:p>
        </w:tc>
        <w:tc>
          <w:tcPr>
            <w:tcW w:w="1415" w:type="dxa"/>
            <w:tcBorders>
              <w:top w:val="nil"/>
              <w:left w:val="nil"/>
              <w:bottom w:val="single" w:color="auto" w:sz="4" w:space="0"/>
              <w:right w:val="single" w:color="auto" w:sz="4" w:space="0"/>
            </w:tcBorders>
            <w:shd w:val="clear" w:color="000000"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5.223</w:t>
            </w:r>
            <w:r>
              <w:rPr>
                <w:rFonts w:hint="eastAsia" w:eastAsia="宋体" w:cs="Times New Roman"/>
                <w:i w:val="0"/>
                <w:iCs w:val="0"/>
                <w:color w:val="000000"/>
                <w:kern w:val="0"/>
                <w:sz w:val="28"/>
                <w:szCs w:val="28"/>
                <w:u w:val="none"/>
                <w:lang w:val="en-US" w:eastAsia="zh-CN" w:bidi="ar"/>
              </w:rPr>
              <w:t>2</w:t>
            </w:r>
          </w:p>
        </w:tc>
        <w:tc>
          <w:tcPr>
            <w:tcW w:w="1423" w:type="dxa"/>
            <w:tcBorders>
              <w:top w:val="nil"/>
              <w:left w:val="nil"/>
              <w:bottom w:val="single" w:color="auto" w:sz="4" w:space="0"/>
              <w:right w:val="single" w:color="auto" w:sz="4" w:space="0"/>
            </w:tcBorders>
            <w:shd w:val="clear" w:color="000000"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0</w:t>
            </w:r>
          </w:p>
        </w:tc>
      </w:tr>
    </w:tbl>
    <w:p>
      <w:pPr>
        <w:pStyle w:val="2"/>
        <w:keepNext w:val="0"/>
        <w:keepLines w:val="0"/>
        <w:pageBreakBefore w:val="0"/>
        <w:widowControl/>
        <w:kinsoku/>
        <w:wordWrap/>
        <w:overflowPunct/>
        <w:topLinePunct w:val="0"/>
        <w:bidi w:val="0"/>
        <w:snapToGrid/>
        <w:ind w:firstLine="0" w:firstLineChars="0"/>
        <w:jc w:val="center"/>
        <w:textAlignment w:val="auto"/>
        <w:rPr>
          <w:rFonts w:hint="eastAsia" w:cs="Times New Roman"/>
          <w:b w:val="0"/>
          <w:bCs/>
          <w:color w:val="FF0000"/>
          <w:kern w:val="0"/>
          <w:sz w:val="24"/>
          <w:szCs w:val="24"/>
          <w:lang w:val="en-US" w:eastAsia="zh-CN"/>
        </w:rPr>
      </w:pPr>
    </w:p>
    <w:p>
      <w:pPr>
        <w:pStyle w:val="2"/>
        <w:keepNext w:val="0"/>
        <w:keepLines w:val="0"/>
        <w:pageBreakBefore w:val="0"/>
        <w:widowControl/>
        <w:kinsoku/>
        <w:wordWrap/>
        <w:overflowPunct/>
        <w:topLinePunct w:val="0"/>
        <w:bidi w:val="0"/>
        <w:snapToGrid/>
        <w:ind w:firstLine="0" w:firstLineChars="0"/>
        <w:jc w:val="center"/>
        <w:textAlignment w:val="auto"/>
        <w:rPr>
          <w:rFonts w:hint="eastAsia" w:cs="Times New Roman"/>
          <w:b/>
          <w:color w:val="000000"/>
          <w:kern w:val="0"/>
          <w:sz w:val="30"/>
          <w:szCs w:val="30"/>
        </w:rPr>
      </w:pPr>
    </w:p>
    <w:p>
      <w:pPr>
        <w:pStyle w:val="2"/>
        <w:keepNext w:val="0"/>
        <w:keepLines w:val="0"/>
        <w:pageBreakBefore w:val="0"/>
        <w:widowControl/>
        <w:kinsoku/>
        <w:wordWrap/>
        <w:overflowPunct/>
        <w:topLinePunct w:val="0"/>
        <w:bidi w:val="0"/>
        <w:snapToGrid/>
        <w:ind w:firstLine="0" w:firstLineChars="0"/>
        <w:jc w:val="center"/>
        <w:textAlignment w:val="auto"/>
        <w:rPr>
          <w:rFonts w:hint="eastAsia" w:cs="Times New Roman"/>
          <w:b/>
          <w:color w:val="000000"/>
          <w:kern w:val="0"/>
          <w:sz w:val="30"/>
          <w:szCs w:val="30"/>
        </w:rPr>
      </w:pPr>
    </w:p>
    <w:p>
      <w:pPr>
        <w:pStyle w:val="2"/>
        <w:keepNext w:val="0"/>
        <w:keepLines w:val="0"/>
        <w:pageBreakBefore w:val="0"/>
        <w:widowControl/>
        <w:kinsoku/>
        <w:wordWrap/>
        <w:overflowPunct/>
        <w:topLinePunct w:val="0"/>
        <w:bidi w:val="0"/>
        <w:snapToGrid/>
        <w:ind w:firstLine="0" w:firstLineChars="0"/>
        <w:jc w:val="center"/>
        <w:textAlignment w:val="auto"/>
        <w:rPr>
          <w:rFonts w:hint="eastAsia" w:cs="Times New Roman"/>
          <w:b/>
          <w:color w:val="000000"/>
          <w:kern w:val="0"/>
          <w:sz w:val="30"/>
          <w:szCs w:val="30"/>
        </w:rPr>
      </w:pPr>
    </w:p>
    <w:p>
      <w:pPr>
        <w:pStyle w:val="2"/>
        <w:keepNext w:val="0"/>
        <w:keepLines w:val="0"/>
        <w:pageBreakBefore w:val="0"/>
        <w:widowControl/>
        <w:kinsoku/>
        <w:wordWrap/>
        <w:overflowPunct/>
        <w:topLinePunct w:val="0"/>
        <w:bidi w:val="0"/>
        <w:snapToGrid/>
        <w:ind w:firstLine="0" w:firstLineChars="0"/>
        <w:jc w:val="center"/>
        <w:textAlignment w:val="auto"/>
        <w:rPr>
          <w:kern w:val="0"/>
          <w:sz w:val="30"/>
          <w:szCs w:val="30"/>
        </w:rPr>
      </w:pPr>
      <w:r>
        <w:rPr>
          <w:rFonts w:hint="eastAsia" w:cs="Times New Roman"/>
          <w:b/>
          <w:color w:val="000000"/>
          <w:kern w:val="0"/>
          <w:sz w:val="30"/>
          <w:szCs w:val="30"/>
        </w:rPr>
        <w:t>附表</w:t>
      </w:r>
      <w:r>
        <w:rPr>
          <w:rFonts w:cs="Times New Roman"/>
          <w:b/>
          <w:color w:val="000000"/>
          <w:kern w:val="0"/>
          <w:sz w:val="30"/>
          <w:szCs w:val="30"/>
        </w:rPr>
        <w:t>2</w:t>
      </w:r>
      <w:r>
        <w:rPr>
          <w:rFonts w:hint="eastAsia" w:cs="Times New Roman"/>
          <w:b/>
          <w:color w:val="000000"/>
          <w:kern w:val="0"/>
          <w:sz w:val="30"/>
          <w:szCs w:val="30"/>
        </w:rPr>
        <w:t xml:space="preserve"> 地块用途、面积及实现功能统计表</w:t>
      </w:r>
    </w:p>
    <w:p>
      <w:pPr>
        <w:pStyle w:val="2"/>
        <w:keepNext w:val="0"/>
        <w:keepLines w:val="0"/>
        <w:pageBreakBefore w:val="0"/>
        <w:widowControl/>
        <w:kinsoku/>
        <w:wordWrap/>
        <w:overflowPunct/>
        <w:topLinePunct w:val="0"/>
        <w:bidi w:val="0"/>
        <w:snapToGrid/>
        <w:ind w:firstLine="0" w:firstLineChars="0"/>
        <w:jc w:val="right"/>
        <w:textAlignment w:val="auto"/>
        <w:rPr>
          <w:rFonts w:cs="宋体"/>
          <w:color w:val="000000"/>
          <w:kern w:val="0"/>
          <w:szCs w:val="28"/>
        </w:rPr>
      </w:pPr>
      <w:r>
        <w:rPr>
          <w:rFonts w:hint="eastAsia" w:cs="宋体"/>
          <w:color w:val="000000"/>
          <w:kern w:val="0"/>
          <w:szCs w:val="28"/>
        </w:rPr>
        <w:t>单位：公顷、%</w:t>
      </w:r>
    </w:p>
    <w:tbl>
      <w:tblPr>
        <w:tblStyle w:val="1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2361"/>
        <w:gridCol w:w="2100"/>
        <w:gridCol w:w="1444"/>
        <w:gridCol w:w="1331"/>
        <w:gridCol w:w="4567"/>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blHeader/>
        </w:trPr>
        <w:tc>
          <w:tcPr>
            <w:tcW w:w="318" w:type="pct"/>
            <w:vMerge w:val="restart"/>
            <w:shd w:val="clear" w:color="auto" w:fill="auto"/>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cs="宋体"/>
                <w:color w:val="auto"/>
                <w:kern w:val="0"/>
                <w:szCs w:val="28"/>
                <w:highlight w:val="none"/>
              </w:rPr>
            </w:pPr>
            <w:r>
              <w:rPr>
                <w:rFonts w:hint="eastAsia" w:cs="宋体"/>
                <w:color w:val="auto"/>
                <w:kern w:val="0"/>
                <w:szCs w:val="28"/>
                <w:highlight w:val="none"/>
              </w:rPr>
              <w:t>序号</w:t>
            </w:r>
          </w:p>
        </w:tc>
        <w:tc>
          <w:tcPr>
            <w:tcW w:w="1573" w:type="pct"/>
            <w:gridSpan w:val="2"/>
            <w:shd w:val="clear" w:color="auto" w:fill="auto"/>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cs="宋体"/>
                <w:color w:val="auto"/>
                <w:kern w:val="0"/>
                <w:szCs w:val="28"/>
                <w:highlight w:val="none"/>
              </w:rPr>
            </w:pPr>
            <w:r>
              <w:rPr>
                <w:rFonts w:hint="eastAsia" w:cs="宋体"/>
                <w:color w:val="auto"/>
                <w:kern w:val="0"/>
                <w:szCs w:val="28"/>
                <w:highlight w:val="none"/>
              </w:rPr>
              <w:t>土地用途</w:t>
            </w:r>
          </w:p>
        </w:tc>
        <w:tc>
          <w:tcPr>
            <w:tcW w:w="509" w:type="pct"/>
            <w:vMerge w:val="restart"/>
            <w:shd w:val="clear" w:color="auto" w:fill="auto"/>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cs="宋体"/>
                <w:color w:val="auto"/>
                <w:kern w:val="0"/>
                <w:szCs w:val="28"/>
                <w:highlight w:val="none"/>
              </w:rPr>
            </w:pPr>
            <w:r>
              <w:rPr>
                <w:rFonts w:hint="eastAsia" w:cs="宋体"/>
                <w:color w:val="auto"/>
                <w:kern w:val="0"/>
                <w:szCs w:val="28"/>
                <w:highlight w:val="none"/>
              </w:rPr>
              <w:t>拟用地</w:t>
            </w:r>
          </w:p>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cs="宋体"/>
                <w:color w:val="auto"/>
                <w:kern w:val="0"/>
                <w:szCs w:val="28"/>
                <w:highlight w:val="none"/>
              </w:rPr>
            </w:pPr>
            <w:r>
              <w:rPr>
                <w:rFonts w:hint="eastAsia" w:cs="宋体"/>
                <w:color w:val="auto"/>
                <w:kern w:val="0"/>
                <w:szCs w:val="28"/>
                <w:highlight w:val="none"/>
              </w:rPr>
              <w:t>面积</w:t>
            </w:r>
          </w:p>
        </w:tc>
        <w:tc>
          <w:tcPr>
            <w:tcW w:w="469" w:type="pct"/>
            <w:vMerge w:val="restart"/>
            <w:shd w:val="clear" w:color="auto" w:fill="auto"/>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cs="宋体"/>
                <w:color w:val="auto"/>
                <w:kern w:val="0"/>
                <w:szCs w:val="28"/>
                <w:highlight w:val="none"/>
              </w:rPr>
            </w:pPr>
            <w:r>
              <w:rPr>
                <w:rFonts w:hint="eastAsia" w:cs="宋体"/>
                <w:color w:val="auto"/>
                <w:kern w:val="0"/>
                <w:szCs w:val="28"/>
                <w:highlight w:val="none"/>
              </w:rPr>
              <w:t>占比</w:t>
            </w:r>
          </w:p>
        </w:tc>
        <w:tc>
          <w:tcPr>
            <w:tcW w:w="1611" w:type="pct"/>
            <w:vMerge w:val="restart"/>
            <w:shd w:val="clear" w:color="auto" w:fill="auto"/>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cs="宋体"/>
                <w:color w:val="auto"/>
                <w:kern w:val="0"/>
                <w:szCs w:val="28"/>
                <w:highlight w:val="none"/>
              </w:rPr>
            </w:pPr>
            <w:r>
              <w:rPr>
                <w:rFonts w:hint="eastAsia" w:cs="宋体"/>
                <w:color w:val="auto"/>
                <w:kern w:val="0"/>
                <w:szCs w:val="28"/>
                <w:highlight w:val="none"/>
              </w:rPr>
              <w:t>实现功能</w:t>
            </w:r>
          </w:p>
        </w:tc>
        <w:tc>
          <w:tcPr>
            <w:tcW w:w="517" w:type="pct"/>
            <w:vMerge w:val="restart"/>
            <w:shd w:val="clear" w:color="auto" w:fill="auto"/>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cs="宋体"/>
                <w:color w:val="auto"/>
                <w:kern w:val="0"/>
                <w:szCs w:val="28"/>
                <w:highlight w:val="none"/>
              </w:rPr>
            </w:pPr>
            <w:r>
              <w:rPr>
                <w:rFonts w:hint="eastAsia" w:cs="宋体"/>
                <w:color w:val="auto"/>
                <w:kern w:val="0"/>
                <w:szCs w:val="28"/>
                <w:highlight w:val="none"/>
              </w:rPr>
              <w:t>是否公益性用地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blHeader/>
        </w:trPr>
        <w:tc>
          <w:tcPr>
            <w:tcW w:w="318" w:type="pct"/>
            <w:vMerge w:val="continue"/>
            <w:shd w:val="clear" w:color="auto" w:fill="auto"/>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cs="宋体"/>
                <w:color w:val="auto"/>
                <w:kern w:val="0"/>
                <w:szCs w:val="28"/>
                <w:highlight w:val="none"/>
              </w:rPr>
            </w:pPr>
          </w:p>
        </w:tc>
        <w:tc>
          <w:tcPr>
            <w:tcW w:w="832" w:type="pct"/>
            <w:shd w:val="clear" w:color="auto" w:fill="auto"/>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cs="宋体"/>
                <w:color w:val="auto"/>
                <w:kern w:val="0"/>
                <w:szCs w:val="28"/>
                <w:highlight w:val="none"/>
              </w:rPr>
            </w:pPr>
            <w:r>
              <w:rPr>
                <w:rFonts w:hint="eastAsia" w:cs="宋体"/>
                <w:color w:val="auto"/>
                <w:kern w:val="0"/>
                <w:szCs w:val="28"/>
                <w:highlight w:val="none"/>
              </w:rPr>
              <w:t>一级类</w:t>
            </w:r>
          </w:p>
        </w:tc>
        <w:tc>
          <w:tcPr>
            <w:tcW w:w="740" w:type="pct"/>
            <w:shd w:val="clear" w:color="auto" w:fill="auto"/>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cs="宋体"/>
                <w:color w:val="auto"/>
                <w:kern w:val="0"/>
                <w:szCs w:val="28"/>
                <w:highlight w:val="none"/>
              </w:rPr>
            </w:pPr>
            <w:r>
              <w:rPr>
                <w:rFonts w:hint="eastAsia" w:cs="宋体"/>
                <w:color w:val="auto"/>
                <w:kern w:val="0"/>
                <w:szCs w:val="28"/>
                <w:highlight w:val="none"/>
              </w:rPr>
              <w:t>二级类</w:t>
            </w:r>
          </w:p>
        </w:tc>
        <w:tc>
          <w:tcPr>
            <w:tcW w:w="509" w:type="pct"/>
            <w:vMerge w:val="continue"/>
            <w:shd w:val="clear" w:color="auto" w:fill="auto"/>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cs="宋体"/>
                <w:color w:val="auto"/>
                <w:kern w:val="0"/>
                <w:szCs w:val="28"/>
                <w:highlight w:val="none"/>
              </w:rPr>
            </w:pPr>
          </w:p>
        </w:tc>
        <w:tc>
          <w:tcPr>
            <w:tcW w:w="469" w:type="pct"/>
            <w:vMerge w:val="continue"/>
            <w:shd w:val="clear" w:color="auto" w:fill="auto"/>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cs="宋体"/>
                <w:color w:val="auto"/>
                <w:kern w:val="0"/>
                <w:szCs w:val="28"/>
                <w:highlight w:val="none"/>
              </w:rPr>
            </w:pPr>
          </w:p>
        </w:tc>
        <w:tc>
          <w:tcPr>
            <w:tcW w:w="1611" w:type="pct"/>
            <w:vMerge w:val="continue"/>
            <w:shd w:val="clear" w:color="auto" w:fill="auto"/>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cs="宋体"/>
                <w:color w:val="auto"/>
                <w:kern w:val="0"/>
                <w:szCs w:val="28"/>
                <w:highlight w:val="none"/>
              </w:rPr>
            </w:pPr>
          </w:p>
        </w:tc>
        <w:tc>
          <w:tcPr>
            <w:tcW w:w="517" w:type="pct"/>
            <w:vMerge w:val="continue"/>
            <w:shd w:val="clear" w:color="auto" w:fill="auto"/>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cs="宋体"/>
                <w:color w:val="auto"/>
                <w:kern w:val="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318"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cs="宋体"/>
                <w:color w:val="auto"/>
                <w:kern w:val="0"/>
                <w:szCs w:val="28"/>
                <w:highlight w:val="none"/>
              </w:rPr>
            </w:pPr>
            <w:r>
              <w:rPr>
                <w:rFonts w:hint="eastAsia" w:cs="宋体"/>
                <w:color w:val="auto"/>
                <w:kern w:val="0"/>
                <w:szCs w:val="28"/>
                <w:highlight w:val="none"/>
              </w:rPr>
              <w:t>1</w:t>
            </w:r>
          </w:p>
        </w:tc>
        <w:tc>
          <w:tcPr>
            <w:tcW w:w="832"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居住用地</w:t>
            </w:r>
          </w:p>
        </w:tc>
        <w:tc>
          <w:tcPr>
            <w:tcW w:w="740"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城镇住宅用地</w:t>
            </w:r>
          </w:p>
        </w:tc>
        <w:tc>
          <w:tcPr>
            <w:tcW w:w="509"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8.</w:t>
            </w:r>
            <w:r>
              <w:rPr>
                <w:rFonts w:hint="eastAsia" w:cs="宋体"/>
                <w:color w:val="auto"/>
                <w:kern w:val="0"/>
                <w:szCs w:val="28"/>
                <w:highlight w:val="none"/>
                <w:lang w:val="en-US" w:eastAsia="zh-CN"/>
              </w:rPr>
              <w:t>8684</w:t>
            </w:r>
          </w:p>
        </w:tc>
        <w:tc>
          <w:tcPr>
            <w:tcW w:w="469"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5</w:t>
            </w:r>
            <w:r>
              <w:rPr>
                <w:rFonts w:hint="eastAsia" w:cs="宋体"/>
                <w:color w:val="auto"/>
                <w:kern w:val="0"/>
                <w:szCs w:val="28"/>
                <w:highlight w:val="none"/>
                <w:lang w:val="en-US" w:eastAsia="zh-CN"/>
              </w:rPr>
              <w:t>9.39</w:t>
            </w:r>
          </w:p>
        </w:tc>
        <w:tc>
          <w:tcPr>
            <w:tcW w:w="1611"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成片开发区域城镇居民居住建筑开发建设</w:t>
            </w:r>
          </w:p>
        </w:tc>
        <w:tc>
          <w:tcPr>
            <w:tcW w:w="517"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318"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cs="宋体"/>
                <w:color w:val="auto"/>
                <w:kern w:val="0"/>
                <w:szCs w:val="28"/>
                <w:highlight w:val="none"/>
                <w:lang w:val="en-US" w:eastAsia="zh-CN"/>
              </w:rPr>
            </w:pPr>
            <w:r>
              <w:rPr>
                <w:rFonts w:hint="eastAsia" w:cs="宋体"/>
                <w:color w:val="auto"/>
                <w:kern w:val="0"/>
                <w:szCs w:val="28"/>
                <w:highlight w:val="none"/>
                <w:lang w:val="en-US" w:eastAsia="zh-CN"/>
              </w:rPr>
              <w:t>2</w:t>
            </w:r>
          </w:p>
        </w:tc>
        <w:tc>
          <w:tcPr>
            <w:tcW w:w="832"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公共管理与公共服务用地</w:t>
            </w:r>
          </w:p>
        </w:tc>
        <w:tc>
          <w:tcPr>
            <w:tcW w:w="740"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教育用地</w:t>
            </w:r>
          </w:p>
        </w:tc>
        <w:tc>
          <w:tcPr>
            <w:tcW w:w="509"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4.</w:t>
            </w:r>
            <w:r>
              <w:rPr>
                <w:rFonts w:hint="eastAsia" w:cs="宋体"/>
                <w:color w:val="auto"/>
                <w:kern w:val="0"/>
                <w:szCs w:val="28"/>
                <w:highlight w:val="none"/>
                <w:lang w:val="en-US" w:eastAsia="zh-CN"/>
              </w:rPr>
              <w:t>5056</w:t>
            </w:r>
          </w:p>
        </w:tc>
        <w:tc>
          <w:tcPr>
            <w:tcW w:w="469"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cs="宋体"/>
                <w:color w:val="auto"/>
                <w:kern w:val="0"/>
                <w:szCs w:val="28"/>
                <w:highlight w:val="none"/>
                <w:lang w:val="en-US" w:eastAsia="zh-CN"/>
              </w:rPr>
            </w:pPr>
            <w:r>
              <w:rPr>
                <w:rFonts w:hint="eastAsia" w:cs="宋体"/>
                <w:color w:val="auto"/>
                <w:kern w:val="0"/>
                <w:szCs w:val="28"/>
                <w:highlight w:val="none"/>
                <w:lang w:val="en-US" w:eastAsia="zh-CN"/>
              </w:rPr>
              <w:t>30.17</w:t>
            </w:r>
          </w:p>
        </w:tc>
        <w:tc>
          <w:tcPr>
            <w:tcW w:w="1611"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cs="宋体"/>
                <w:color w:val="auto"/>
                <w:kern w:val="0"/>
                <w:szCs w:val="28"/>
                <w:highlight w:val="none"/>
                <w:lang w:val="en-US" w:eastAsia="zh-CN"/>
              </w:rPr>
            </w:pPr>
            <w:r>
              <w:rPr>
                <w:rFonts w:hint="eastAsia" w:cstheme="minorBidi"/>
                <w:color w:val="auto"/>
                <w:kern w:val="0"/>
                <w:sz w:val="28"/>
                <w:szCs w:val="28"/>
                <w:lang w:val="en-US" w:eastAsia="zh-CN" w:bidi="ar-SA"/>
              </w:rPr>
              <w:t>服务片区</w:t>
            </w:r>
            <w:r>
              <w:rPr>
                <w:rFonts w:hint="eastAsia" w:ascii="Times New Roman" w:hAnsi="Times New Roman" w:eastAsia="仿宋_GB2312" w:cstheme="minorBidi"/>
                <w:color w:val="auto"/>
                <w:kern w:val="0"/>
                <w:sz w:val="28"/>
                <w:szCs w:val="28"/>
                <w:lang w:val="en-US" w:eastAsia="zh-CN" w:bidi="ar-SA"/>
              </w:rPr>
              <w:t>中学教育用地</w:t>
            </w:r>
            <w:r>
              <w:rPr>
                <w:rFonts w:hint="eastAsia" w:cstheme="minorBidi"/>
                <w:color w:val="auto"/>
                <w:kern w:val="0"/>
                <w:sz w:val="28"/>
                <w:szCs w:val="28"/>
                <w:lang w:val="en-US" w:eastAsia="zh-CN" w:bidi="ar-SA"/>
              </w:rPr>
              <w:t>，具体为德化五中新校区</w:t>
            </w:r>
          </w:p>
        </w:tc>
        <w:tc>
          <w:tcPr>
            <w:tcW w:w="517"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318"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eastAsia="仿宋_GB2312" w:cs="宋体"/>
                <w:color w:val="auto"/>
                <w:kern w:val="0"/>
                <w:szCs w:val="28"/>
                <w:highlight w:val="none"/>
                <w:lang w:eastAsia="zh-CN"/>
              </w:rPr>
            </w:pPr>
            <w:r>
              <w:rPr>
                <w:rFonts w:hint="eastAsia" w:cs="宋体"/>
                <w:color w:val="auto"/>
                <w:kern w:val="0"/>
                <w:szCs w:val="28"/>
                <w:highlight w:val="none"/>
                <w:lang w:val="en-US" w:eastAsia="zh-CN"/>
              </w:rPr>
              <w:t>3</w:t>
            </w:r>
          </w:p>
        </w:tc>
        <w:tc>
          <w:tcPr>
            <w:tcW w:w="832"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交通运输用地</w:t>
            </w:r>
          </w:p>
        </w:tc>
        <w:tc>
          <w:tcPr>
            <w:tcW w:w="740"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城镇道路用地</w:t>
            </w:r>
          </w:p>
        </w:tc>
        <w:tc>
          <w:tcPr>
            <w:tcW w:w="509"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1.558</w:t>
            </w:r>
            <w:r>
              <w:rPr>
                <w:rFonts w:hint="eastAsia" w:cs="宋体"/>
                <w:color w:val="auto"/>
                <w:kern w:val="0"/>
                <w:szCs w:val="28"/>
                <w:highlight w:val="none"/>
                <w:lang w:val="en-US" w:eastAsia="zh-CN"/>
              </w:rPr>
              <w:t>6</w:t>
            </w:r>
          </w:p>
        </w:tc>
        <w:tc>
          <w:tcPr>
            <w:tcW w:w="469"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10.</w:t>
            </w:r>
            <w:r>
              <w:rPr>
                <w:rFonts w:hint="eastAsia" w:cs="宋体"/>
                <w:color w:val="auto"/>
                <w:kern w:val="0"/>
                <w:szCs w:val="28"/>
                <w:highlight w:val="none"/>
                <w:lang w:val="en-US" w:eastAsia="zh-CN"/>
              </w:rPr>
              <w:t>44</w:t>
            </w:r>
          </w:p>
        </w:tc>
        <w:tc>
          <w:tcPr>
            <w:tcW w:w="1611"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服务成片开发区域的城市道路</w:t>
            </w:r>
          </w:p>
        </w:tc>
        <w:tc>
          <w:tcPr>
            <w:tcW w:w="517"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1892" w:type="pct"/>
            <w:gridSpan w:val="3"/>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合计</w:t>
            </w:r>
          </w:p>
        </w:tc>
        <w:tc>
          <w:tcPr>
            <w:tcW w:w="509"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cs="宋体"/>
                <w:color w:val="auto"/>
                <w:kern w:val="0"/>
                <w:szCs w:val="28"/>
                <w:highlight w:val="none"/>
                <w:lang w:val="en-US" w:eastAsia="zh-CN"/>
              </w:rPr>
            </w:pPr>
            <w:r>
              <w:rPr>
                <w:rFonts w:hint="eastAsia" w:cs="宋体"/>
                <w:color w:val="auto"/>
                <w:kern w:val="0"/>
                <w:szCs w:val="28"/>
                <w:highlight w:val="none"/>
                <w:lang w:val="en-US" w:eastAsia="zh-CN"/>
              </w:rPr>
              <w:t>14.9326</w:t>
            </w:r>
          </w:p>
        </w:tc>
        <w:tc>
          <w:tcPr>
            <w:tcW w:w="469"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100</w:t>
            </w:r>
          </w:p>
        </w:tc>
        <w:tc>
          <w:tcPr>
            <w:tcW w:w="1611"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公益性用地合计占比</w:t>
            </w:r>
          </w:p>
        </w:tc>
        <w:tc>
          <w:tcPr>
            <w:tcW w:w="517" w:type="pct"/>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40.61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jc w:val="center"/>
        </w:trPr>
        <w:tc>
          <w:tcPr>
            <w:tcW w:w="5000" w:type="pct"/>
            <w:gridSpan w:val="7"/>
            <w:tcBorders>
              <w:top w:val="nil"/>
              <w:left w:val="nil"/>
              <w:bottom w:val="nil"/>
              <w:right w:val="nil"/>
            </w:tcBorders>
            <w:vAlign w:val="center"/>
          </w:tcPr>
          <w:p>
            <w:pPr>
              <w:keepNext w:val="0"/>
              <w:keepLines w:val="0"/>
              <w:pageBreakBefore w:val="0"/>
              <w:widowControl/>
              <w:kinsoku/>
              <w:wordWrap/>
              <w:overflowPunct/>
              <w:topLinePunct w:val="0"/>
              <w:bidi w:val="0"/>
              <w:snapToGrid/>
              <w:spacing w:line="240" w:lineRule="auto"/>
              <w:ind w:firstLine="0" w:firstLineChars="0"/>
              <w:jc w:val="left"/>
              <w:textAlignment w:val="auto"/>
              <w:rPr>
                <w:rFonts w:hint="eastAsia" w:ascii="Times New Roman" w:hAnsi="Times New Roman" w:eastAsia="仿宋_GB2312" w:cstheme="minorBidi"/>
                <w:kern w:val="2"/>
                <w:sz w:val="24"/>
                <w:szCs w:val="24"/>
                <w:lang w:val="en-US" w:eastAsia="zh-CN" w:bidi="ar-SA"/>
              </w:rPr>
            </w:pPr>
            <w:r>
              <w:rPr>
                <w:rFonts w:hint="eastAsia"/>
                <w:sz w:val="24"/>
                <w:szCs w:val="24"/>
              </w:rPr>
              <w:t>注</w:t>
            </w:r>
            <w:r>
              <w:rPr>
                <w:sz w:val="24"/>
                <w:szCs w:val="24"/>
              </w:rPr>
              <w:t xml:space="preserve">:  </w:t>
            </w:r>
            <w:r>
              <w:rPr>
                <w:rFonts w:hint="eastAsia" w:ascii="Times New Roman" w:hAnsi="Times New Roman" w:eastAsia="仿宋_GB2312" w:cstheme="minorBidi"/>
                <w:kern w:val="2"/>
                <w:sz w:val="24"/>
                <w:szCs w:val="24"/>
                <w:lang w:val="en-US" w:eastAsia="zh-CN" w:bidi="ar-SA"/>
              </w:rPr>
              <w:t>1.</w:t>
            </w:r>
            <w:r>
              <w:rPr>
                <w:rFonts w:hint="eastAsia" w:cstheme="minorBidi"/>
                <w:kern w:val="2"/>
                <w:sz w:val="24"/>
                <w:szCs w:val="24"/>
                <w:lang w:val="en-US" w:eastAsia="zh-CN" w:bidi="ar-SA"/>
              </w:rPr>
              <w:t xml:space="preserve"> </w:t>
            </w:r>
            <w:r>
              <w:rPr>
                <w:rFonts w:hint="eastAsia" w:ascii="Times New Roman" w:hAnsi="Times New Roman" w:eastAsia="仿宋_GB2312" w:cstheme="minorBidi"/>
                <w:kern w:val="2"/>
                <w:sz w:val="24"/>
                <w:szCs w:val="24"/>
                <w:lang w:val="en-US" w:eastAsia="zh-CN" w:bidi="ar-SA"/>
              </w:rPr>
              <w:t>土地用途：按照《国土空间调查、规划、用途管制用地用海分类指南（试行）》进行划分，应与国土空间规划成果相衔接；</w:t>
            </w:r>
          </w:p>
          <w:p>
            <w:pPr>
              <w:pStyle w:val="2"/>
              <w:keepNext w:val="0"/>
              <w:keepLines w:val="0"/>
              <w:pageBreakBefore w:val="0"/>
              <w:widowControl/>
              <w:numPr>
                <w:ilvl w:val="0"/>
                <w:numId w:val="3"/>
              </w:numPr>
              <w:kinsoku/>
              <w:wordWrap/>
              <w:overflowPunct/>
              <w:topLinePunct w:val="0"/>
              <w:bidi w:val="0"/>
              <w:snapToGrid/>
              <w:ind w:left="-323" w:leftChars="0" w:firstLineChars="0"/>
              <w:textAlignment w:val="auto"/>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 xml:space="preserve">实现功能：简要说明拟进行的生产经营活动； </w:t>
            </w:r>
          </w:p>
          <w:p>
            <w:pPr>
              <w:pStyle w:val="2"/>
              <w:keepNext w:val="0"/>
              <w:keepLines w:val="0"/>
              <w:pageBreakBefore w:val="0"/>
              <w:widowControl/>
              <w:numPr>
                <w:ilvl w:val="0"/>
                <w:numId w:val="3"/>
              </w:numPr>
              <w:kinsoku/>
              <w:wordWrap/>
              <w:overflowPunct/>
              <w:topLinePunct w:val="0"/>
              <w:bidi w:val="0"/>
              <w:snapToGrid/>
              <w:ind w:left="-323" w:leftChars="0" w:firstLineChars="0"/>
              <w:textAlignment w:val="auto"/>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占比：为拟用地面积占土地征收成片开发范围面积的比例；</w:t>
            </w:r>
          </w:p>
          <w:p>
            <w:pPr>
              <w:keepNext w:val="0"/>
              <w:keepLines w:val="0"/>
              <w:pageBreakBefore w:val="0"/>
              <w:widowControl/>
              <w:numPr>
                <w:ilvl w:val="0"/>
                <w:numId w:val="3"/>
              </w:numPr>
              <w:kinsoku/>
              <w:wordWrap/>
              <w:overflowPunct/>
              <w:topLinePunct w:val="0"/>
              <w:bidi w:val="0"/>
              <w:snapToGrid/>
              <w:ind w:left="-323" w:leftChars="0" w:firstLine="883" w:firstLineChars="0"/>
              <w:jc w:val="left"/>
              <w:textAlignment w:val="auto"/>
              <w:rPr>
                <w:rFonts w:eastAsia="等线" w:cs="Times New Roman"/>
                <w:color w:val="000000"/>
                <w:kern w:val="0"/>
                <w:sz w:val="24"/>
                <w:szCs w:val="24"/>
              </w:rPr>
            </w:pPr>
            <w:r>
              <w:rPr>
                <w:rFonts w:hint="eastAsia" w:ascii="Times New Roman" w:hAnsi="Times New Roman" w:eastAsia="仿宋_GB2312" w:cstheme="minorBidi"/>
                <w:kern w:val="2"/>
                <w:sz w:val="24"/>
                <w:szCs w:val="24"/>
                <w:lang w:val="en-US" w:eastAsia="zh-CN" w:bidi="ar-SA"/>
              </w:rPr>
              <w:t>是否公益性用地：公益性用地填“</w:t>
            </w:r>
            <w:r>
              <w:rPr>
                <w:rFonts w:ascii="Times New Roman" w:hAnsi="Times New Roman" w:eastAsia="仿宋_GB2312" w:cstheme="minorBidi"/>
                <w:kern w:val="2"/>
                <w:sz w:val="24"/>
                <w:szCs w:val="24"/>
                <w:lang w:val="en-US" w:eastAsia="zh-CN" w:bidi="ar-SA"/>
              </w:rPr>
              <w:t>1</w:t>
            </w:r>
            <w:r>
              <w:rPr>
                <w:rFonts w:hint="eastAsia" w:ascii="Times New Roman" w:hAnsi="Times New Roman" w:eastAsia="仿宋_GB2312" w:cstheme="minorBidi"/>
                <w:kern w:val="2"/>
                <w:sz w:val="24"/>
                <w:szCs w:val="24"/>
                <w:lang w:val="en-US" w:eastAsia="zh-CN" w:bidi="ar-SA"/>
              </w:rPr>
              <w:t>”、非公益性用地填“</w:t>
            </w:r>
            <w:r>
              <w:rPr>
                <w:rFonts w:ascii="Times New Roman" w:hAnsi="Times New Roman" w:eastAsia="仿宋_GB2312" w:cstheme="minorBidi"/>
                <w:kern w:val="2"/>
                <w:sz w:val="24"/>
                <w:szCs w:val="24"/>
                <w:lang w:val="en-US" w:eastAsia="zh-CN" w:bidi="ar-SA"/>
              </w:rPr>
              <w:t>2</w:t>
            </w:r>
            <w:r>
              <w:rPr>
                <w:rFonts w:hint="eastAsia" w:ascii="Times New Roman" w:hAnsi="Times New Roman" w:eastAsia="仿宋_GB2312" w:cstheme="minorBidi"/>
                <w:kern w:val="2"/>
                <w:sz w:val="24"/>
                <w:szCs w:val="24"/>
                <w:lang w:val="en-US" w:eastAsia="zh-CN" w:bidi="ar-SA"/>
              </w:rPr>
              <w:t>”，并在本列合计行填写公益性用地合计占比。</w:t>
            </w:r>
          </w:p>
        </w:tc>
      </w:tr>
    </w:tbl>
    <w:p>
      <w:pPr>
        <w:pStyle w:val="2"/>
        <w:keepNext w:val="0"/>
        <w:keepLines w:val="0"/>
        <w:pageBreakBefore w:val="0"/>
        <w:widowControl/>
        <w:kinsoku/>
        <w:wordWrap/>
        <w:overflowPunct/>
        <w:topLinePunct w:val="0"/>
        <w:bidi w:val="0"/>
        <w:snapToGrid/>
        <w:ind w:firstLine="0" w:firstLineChars="0"/>
        <w:jc w:val="right"/>
        <w:textAlignment w:val="auto"/>
        <w:rPr>
          <w:kern w:val="0"/>
          <w:szCs w:val="28"/>
        </w:rPr>
        <w:sectPr>
          <w:footerReference r:id="rId10" w:type="default"/>
          <w:pgSz w:w="16838" w:h="11906" w:orient="landscape"/>
          <w:pgMar w:top="1800" w:right="1440" w:bottom="1800" w:left="1440" w:header="851" w:footer="992" w:gutter="0"/>
          <w:pgNumType w:fmt="decimal"/>
          <w:cols w:space="425" w:num="1"/>
          <w:docGrid w:type="lines" w:linePitch="381" w:charSpace="0"/>
        </w:sectPr>
      </w:pPr>
    </w:p>
    <w:p>
      <w:pPr>
        <w:pStyle w:val="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b/>
          <w:color w:val="000000"/>
          <w:kern w:val="0"/>
          <w:sz w:val="30"/>
          <w:szCs w:val="30"/>
        </w:rPr>
      </w:pPr>
    </w:p>
    <w:p>
      <w:pPr>
        <w:pStyle w:val="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b/>
          <w:color w:val="000000"/>
          <w:kern w:val="0"/>
          <w:sz w:val="30"/>
          <w:szCs w:val="30"/>
        </w:rPr>
      </w:pPr>
      <w:r>
        <w:rPr>
          <w:rFonts w:hint="eastAsia" w:cs="Times New Roman"/>
          <w:b/>
          <w:color w:val="000000"/>
          <w:kern w:val="0"/>
          <w:sz w:val="30"/>
          <w:szCs w:val="30"/>
        </w:rPr>
        <w:t>附表3 拟建设项目统计表</w:t>
      </w:r>
    </w:p>
    <w:p>
      <w:pPr>
        <w:pStyle w:val="2"/>
        <w:keepNext w:val="0"/>
        <w:keepLines w:val="0"/>
        <w:pageBreakBefore w:val="0"/>
        <w:widowControl/>
        <w:shd w:val="clear"/>
        <w:kinsoku/>
        <w:wordWrap/>
        <w:overflowPunct/>
        <w:topLinePunct w:val="0"/>
        <w:bidi w:val="0"/>
        <w:snapToGrid/>
        <w:ind w:firstLine="0" w:firstLineChars="0"/>
        <w:jc w:val="right"/>
        <w:textAlignment w:val="auto"/>
        <w:rPr>
          <w:rFonts w:hint="eastAsia" w:cs="宋体"/>
          <w:color w:val="000000"/>
          <w:kern w:val="0"/>
          <w:szCs w:val="28"/>
          <w:highlight w:val="none"/>
        </w:rPr>
      </w:pPr>
      <w:r>
        <w:rPr>
          <w:rFonts w:hint="eastAsia" w:cs="宋体"/>
          <w:color w:val="000000"/>
          <w:kern w:val="0"/>
          <w:szCs w:val="28"/>
          <w:highlight w:val="none"/>
        </w:rPr>
        <w:t>单位：公顷</w:t>
      </w:r>
    </w:p>
    <w:tbl>
      <w:tblPr>
        <w:tblStyle w:val="15"/>
        <w:tblW w:w="4956" w:type="pct"/>
        <w:tblInd w:w="0" w:type="dxa"/>
        <w:tblLayout w:type="fixed"/>
        <w:tblCellMar>
          <w:top w:w="0" w:type="dxa"/>
          <w:left w:w="108" w:type="dxa"/>
          <w:bottom w:w="0" w:type="dxa"/>
          <w:right w:w="108" w:type="dxa"/>
        </w:tblCellMar>
      </w:tblPr>
      <w:tblGrid>
        <w:gridCol w:w="1292"/>
        <w:gridCol w:w="4273"/>
        <w:gridCol w:w="4367"/>
        <w:gridCol w:w="4116"/>
      </w:tblGrid>
      <w:tr>
        <w:tblPrEx>
          <w:tblCellMar>
            <w:top w:w="0" w:type="dxa"/>
            <w:left w:w="108" w:type="dxa"/>
            <w:bottom w:w="0" w:type="dxa"/>
            <w:right w:w="108" w:type="dxa"/>
          </w:tblCellMar>
        </w:tblPrEx>
        <w:trPr>
          <w:trHeight w:val="488" w:hRule="atLeast"/>
        </w:trPr>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序号</w:t>
            </w:r>
          </w:p>
        </w:tc>
        <w:tc>
          <w:tcPr>
            <w:tcW w:w="152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项目名称</w:t>
            </w:r>
          </w:p>
        </w:tc>
        <w:tc>
          <w:tcPr>
            <w:tcW w:w="1554"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土地用途</w:t>
            </w:r>
          </w:p>
        </w:tc>
        <w:tc>
          <w:tcPr>
            <w:tcW w:w="1465"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用地面积</w:t>
            </w:r>
          </w:p>
        </w:tc>
      </w:tr>
      <w:tr>
        <w:tblPrEx>
          <w:tblCellMar>
            <w:top w:w="0" w:type="dxa"/>
            <w:left w:w="108" w:type="dxa"/>
            <w:bottom w:w="0" w:type="dxa"/>
            <w:right w:w="108" w:type="dxa"/>
          </w:tblCellMar>
        </w:tblPrEx>
        <w:trPr>
          <w:trHeight w:val="488" w:hRule="atLeast"/>
        </w:trPr>
        <w:tc>
          <w:tcPr>
            <w:tcW w:w="459"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1</w:t>
            </w:r>
          </w:p>
        </w:tc>
        <w:tc>
          <w:tcPr>
            <w:tcW w:w="1520"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居住用地01</w:t>
            </w:r>
            <w:r>
              <w:rPr>
                <w:rFonts w:hint="eastAsia" w:cs="宋体"/>
                <w:color w:val="auto"/>
                <w:kern w:val="0"/>
                <w:szCs w:val="28"/>
                <w:highlight w:val="none"/>
                <w:lang w:val="en-US" w:eastAsia="zh-CN"/>
              </w:rPr>
              <w:t>（北）</w:t>
            </w:r>
          </w:p>
        </w:tc>
        <w:tc>
          <w:tcPr>
            <w:tcW w:w="155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城镇住宅用地</w:t>
            </w:r>
          </w:p>
        </w:tc>
        <w:tc>
          <w:tcPr>
            <w:tcW w:w="146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cs="宋体"/>
                <w:color w:val="auto"/>
                <w:kern w:val="0"/>
                <w:szCs w:val="28"/>
                <w:highlight w:val="none"/>
                <w:lang w:val="en-US" w:eastAsia="zh-CN"/>
              </w:rPr>
            </w:pPr>
            <w:r>
              <w:rPr>
                <w:rFonts w:hint="default" w:cs="宋体"/>
                <w:color w:val="auto"/>
                <w:kern w:val="0"/>
                <w:szCs w:val="28"/>
                <w:highlight w:val="none"/>
                <w:lang w:val="en-US" w:eastAsia="zh-CN"/>
              </w:rPr>
              <w:t>3.82</w:t>
            </w:r>
            <w:r>
              <w:rPr>
                <w:rFonts w:hint="eastAsia" w:cs="宋体"/>
                <w:color w:val="auto"/>
                <w:kern w:val="0"/>
                <w:szCs w:val="28"/>
                <w:highlight w:val="none"/>
                <w:lang w:val="en-US" w:eastAsia="zh-CN"/>
              </w:rPr>
              <w:t>49</w:t>
            </w:r>
          </w:p>
        </w:tc>
      </w:tr>
      <w:tr>
        <w:tblPrEx>
          <w:tblCellMar>
            <w:top w:w="0" w:type="dxa"/>
            <w:left w:w="108" w:type="dxa"/>
            <w:bottom w:w="0" w:type="dxa"/>
            <w:right w:w="108" w:type="dxa"/>
          </w:tblCellMar>
        </w:tblPrEx>
        <w:trPr>
          <w:trHeight w:val="488" w:hRule="atLeast"/>
        </w:trPr>
        <w:tc>
          <w:tcPr>
            <w:tcW w:w="459"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2</w:t>
            </w:r>
          </w:p>
        </w:tc>
        <w:tc>
          <w:tcPr>
            <w:tcW w:w="1520"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居住用地02</w:t>
            </w:r>
            <w:r>
              <w:rPr>
                <w:rFonts w:hint="eastAsia" w:cs="宋体"/>
                <w:color w:val="auto"/>
                <w:kern w:val="0"/>
                <w:szCs w:val="28"/>
                <w:highlight w:val="none"/>
                <w:lang w:val="en-US" w:eastAsia="zh-CN"/>
              </w:rPr>
              <w:t>（南）</w:t>
            </w:r>
          </w:p>
        </w:tc>
        <w:tc>
          <w:tcPr>
            <w:tcW w:w="155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城镇住宅用地</w:t>
            </w:r>
          </w:p>
        </w:tc>
        <w:tc>
          <w:tcPr>
            <w:tcW w:w="146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cs="宋体"/>
                <w:color w:val="auto"/>
                <w:kern w:val="0"/>
                <w:szCs w:val="28"/>
                <w:highlight w:val="none"/>
                <w:lang w:val="en-US" w:eastAsia="zh-CN"/>
              </w:rPr>
            </w:pPr>
            <w:r>
              <w:rPr>
                <w:rFonts w:hint="default" w:cs="宋体"/>
                <w:color w:val="auto"/>
                <w:kern w:val="0"/>
                <w:szCs w:val="28"/>
                <w:highlight w:val="none"/>
                <w:lang w:val="en-US" w:eastAsia="zh-CN"/>
              </w:rPr>
              <w:t>5.0415</w:t>
            </w:r>
          </w:p>
        </w:tc>
      </w:tr>
      <w:tr>
        <w:tblPrEx>
          <w:tblCellMar>
            <w:top w:w="0" w:type="dxa"/>
            <w:left w:w="108" w:type="dxa"/>
            <w:bottom w:w="0" w:type="dxa"/>
            <w:right w:w="108" w:type="dxa"/>
          </w:tblCellMar>
        </w:tblPrEx>
        <w:trPr>
          <w:trHeight w:val="488" w:hRule="atLeast"/>
        </w:trPr>
        <w:tc>
          <w:tcPr>
            <w:tcW w:w="45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3</w:t>
            </w:r>
          </w:p>
        </w:tc>
        <w:tc>
          <w:tcPr>
            <w:tcW w:w="1520"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道路</w:t>
            </w:r>
          </w:p>
        </w:tc>
        <w:tc>
          <w:tcPr>
            <w:tcW w:w="1554"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城镇道路用地</w:t>
            </w:r>
          </w:p>
        </w:tc>
        <w:tc>
          <w:tcPr>
            <w:tcW w:w="1465"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cs="宋体"/>
                <w:color w:val="auto"/>
                <w:kern w:val="0"/>
                <w:szCs w:val="28"/>
                <w:highlight w:val="none"/>
                <w:lang w:val="en-US" w:eastAsia="zh-CN"/>
              </w:rPr>
            </w:pPr>
            <w:r>
              <w:rPr>
                <w:rFonts w:hint="default" w:cs="宋体"/>
                <w:color w:val="auto"/>
                <w:kern w:val="0"/>
                <w:szCs w:val="28"/>
                <w:highlight w:val="none"/>
                <w:lang w:val="en-US" w:eastAsia="zh-CN"/>
              </w:rPr>
              <w:t>1.351</w:t>
            </w:r>
            <w:r>
              <w:rPr>
                <w:rFonts w:hint="eastAsia" w:cs="宋体"/>
                <w:color w:val="auto"/>
                <w:kern w:val="0"/>
                <w:szCs w:val="28"/>
                <w:highlight w:val="none"/>
                <w:lang w:val="en-US" w:eastAsia="zh-CN"/>
              </w:rPr>
              <w:t>2</w:t>
            </w:r>
          </w:p>
        </w:tc>
      </w:tr>
      <w:tr>
        <w:tblPrEx>
          <w:tblCellMar>
            <w:top w:w="0" w:type="dxa"/>
            <w:left w:w="108" w:type="dxa"/>
            <w:bottom w:w="0" w:type="dxa"/>
            <w:right w:w="108" w:type="dxa"/>
          </w:tblCellMar>
        </w:tblPrEx>
        <w:trPr>
          <w:trHeight w:val="488" w:hRule="atLeast"/>
        </w:trPr>
        <w:tc>
          <w:tcPr>
            <w:tcW w:w="45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4</w:t>
            </w:r>
          </w:p>
        </w:tc>
        <w:tc>
          <w:tcPr>
            <w:tcW w:w="1520"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cs="宋体"/>
                <w:color w:val="auto"/>
                <w:kern w:val="0"/>
                <w:szCs w:val="28"/>
                <w:highlight w:val="none"/>
                <w:lang w:val="en-US" w:eastAsia="zh-CN"/>
              </w:rPr>
            </w:pPr>
            <w:r>
              <w:rPr>
                <w:rFonts w:hint="eastAsia" w:cs="宋体"/>
                <w:color w:val="auto"/>
                <w:kern w:val="0"/>
                <w:szCs w:val="28"/>
                <w:highlight w:val="none"/>
                <w:lang w:val="en-US" w:eastAsia="zh-CN"/>
              </w:rPr>
              <w:t>德化第五中学</w:t>
            </w:r>
          </w:p>
        </w:tc>
        <w:tc>
          <w:tcPr>
            <w:tcW w:w="1554"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教育用地</w:t>
            </w:r>
          </w:p>
        </w:tc>
        <w:tc>
          <w:tcPr>
            <w:tcW w:w="1465"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cs="宋体"/>
                <w:color w:val="auto"/>
                <w:kern w:val="0"/>
                <w:szCs w:val="28"/>
                <w:highlight w:val="none"/>
                <w:lang w:val="en-US" w:eastAsia="zh-CN"/>
              </w:rPr>
            </w:pPr>
            <w:r>
              <w:rPr>
                <w:rFonts w:hint="eastAsia" w:cs="宋体"/>
                <w:color w:val="auto"/>
                <w:kern w:val="0"/>
                <w:szCs w:val="28"/>
                <w:highlight w:val="none"/>
                <w:lang w:val="en-US" w:eastAsia="zh-CN"/>
              </w:rPr>
              <w:t>0.000</w:t>
            </w:r>
            <w:r>
              <w:rPr>
                <w:rFonts w:hint="default" w:cs="宋体"/>
                <w:color w:val="auto"/>
                <w:kern w:val="0"/>
                <w:szCs w:val="28"/>
                <w:highlight w:val="none"/>
                <w:lang w:val="en-US" w:eastAsia="zh-CN"/>
              </w:rPr>
              <w:t>7</w:t>
            </w:r>
          </w:p>
        </w:tc>
      </w:tr>
      <w:tr>
        <w:tblPrEx>
          <w:tblCellMar>
            <w:top w:w="0" w:type="dxa"/>
            <w:left w:w="108" w:type="dxa"/>
            <w:bottom w:w="0" w:type="dxa"/>
            <w:right w:w="108" w:type="dxa"/>
          </w:tblCellMar>
        </w:tblPrEx>
        <w:trPr>
          <w:trHeight w:val="488" w:hRule="atLeast"/>
        </w:trPr>
        <w:tc>
          <w:tcPr>
            <w:tcW w:w="3534" w:type="pct"/>
            <w:gridSpan w:val="3"/>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eastAsia" w:ascii="Times New Roman" w:hAnsi="Times New Roman" w:cs="宋体"/>
                <w:color w:val="auto"/>
                <w:kern w:val="0"/>
                <w:szCs w:val="28"/>
                <w:highlight w:val="none"/>
                <w:lang w:val="en-US" w:eastAsia="zh-CN"/>
              </w:rPr>
            </w:pPr>
            <w:r>
              <w:rPr>
                <w:rFonts w:hint="eastAsia" w:ascii="Times New Roman" w:hAnsi="Times New Roman" w:cs="宋体"/>
                <w:color w:val="auto"/>
                <w:kern w:val="0"/>
                <w:szCs w:val="28"/>
                <w:highlight w:val="none"/>
                <w:lang w:val="en-US" w:eastAsia="zh-CN"/>
              </w:rPr>
              <w:t>合计</w:t>
            </w:r>
          </w:p>
        </w:tc>
        <w:tc>
          <w:tcPr>
            <w:tcW w:w="146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auto"/>
                <w:kern w:val="2"/>
                <w:sz w:val="28"/>
                <w:szCs w:val="28"/>
                <w:u w:val="none"/>
                <w:lang w:val="en-US" w:eastAsia="zh-CN" w:bidi="ar-SA"/>
              </w:rPr>
            </w:pPr>
            <w:r>
              <w:rPr>
                <w:rFonts w:hint="eastAsia" w:cs="宋体"/>
                <w:color w:val="auto"/>
                <w:kern w:val="0"/>
                <w:szCs w:val="28"/>
                <w:highlight w:val="none"/>
                <w:lang w:val="en-US" w:eastAsia="zh-CN"/>
              </w:rPr>
              <w:t>10.2183</w:t>
            </w:r>
          </w:p>
        </w:tc>
      </w:tr>
    </w:tbl>
    <w:p>
      <w:pPr>
        <w:keepNext w:val="0"/>
        <w:keepLines w:val="0"/>
        <w:pageBreakBefore w:val="0"/>
        <w:widowControl/>
        <w:kinsoku/>
        <w:wordWrap/>
        <w:overflowPunct/>
        <w:topLinePunct w:val="0"/>
        <w:autoSpaceDE/>
        <w:autoSpaceDN/>
        <w:bidi w:val="0"/>
        <w:snapToGrid/>
        <w:spacing w:line="240" w:lineRule="auto"/>
        <w:ind w:firstLine="0" w:firstLineChars="0"/>
        <w:jc w:val="left"/>
        <w:textAlignment w:val="auto"/>
        <w:rPr>
          <w:rFonts w:hint="eastAsia" w:ascii="Times New Roman" w:hAnsi="Times New Roman" w:eastAsia="仿宋_GB2312" w:cs="宋体"/>
          <w:color w:val="auto"/>
          <w:kern w:val="0"/>
          <w:sz w:val="24"/>
          <w:szCs w:val="24"/>
          <w:lang w:val="en-US" w:eastAsia="zh-CN"/>
        </w:rPr>
      </w:pPr>
      <w:r>
        <w:rPr>
          <w:rFonts w:hint="eastAsia" w:ascii="Times New Roman" w:hAnsi="Times New Roman" w:eastAsia="仿宋_GB2312" w:cs="宋体"/>
          <w:color w:val="auto"/>
          <w:kern w:val="0"/>
          <w:sz w:val="24"/>
          <w:szCs w:val="24"/>
          <w:lang w:val="en-US" w:eastAsia="zh-CN"/>
        </w:rPr>
        <w:t>注：按拟建设项目统计；用途统计应与附表 2 二级类一致。</w:t>
      </w:r>
    </w:p>
    <w:p>
      <w:pPr>
        <w:pStyle w:val="2"/>
        <w:keepNext w:val="0"/>
        <w:keepLines w:val="0"/>
        <w:pageBreakBefore w:val="0"/>
        <w:widowControl/>
        <w:kinsoku/>
        <w:wordWrap/>
        <w:overflowPunct/>
        <w:topLinePunct w:val="0"/>
        <w:bidi w:val="0"/>
        <w:snapToGrid/>
        <w:ind w:firstLine="0" w:firstLineChars="0"/>
        <w:jc w:val="center"/>
        <w:textAlignment w:val="auto"/>
        <w:rPr>
          <w:rFonts w:hint="eastAsia" w:cs="Times New Roman"/>
          <w:b w:val="0"/>
          <w:bCs/>
          <w:color w:val="FF0000"/>
          <w:kern w:val="0"/>
          <w:sz w:val="24"/>
          <w:szCs w:val="24"/>
          <w:lang w:val="en-US" w:eastAsia="zh-CN"/>
        </w:rPr>
      </w:pPr>
    </w:p>
    <w:p>
      <w:pPr>
        <w:rPr>
          <w:rFonts w:hint="eastAsia" w:cs="Times New Roman"/>
          <w:b/>
          <w:color w:val="000000"/>
          <w:kern w:val="0"/>
          <w:sz w:val="30"/>
          <w:szCs w:val="30"/>
          <w:highlight w:val="none"/>
        </w:rPr>
      </w:pPr>
    </w:p>
    <w:p>
      <w:pPr>
        <w:pStyle w:val="2"/>
        <w:rPr>
          <w:rFonts w:hint="eastAsia" w:cs="Times New Roman"/>
          <w:b/>
          <w:color w:val="000000"/>
          <w:kern w:val="0"/>
          <w:sz w:val="30"/>
          <w:szCs w:val="30"/>
          <w:highlight w:val="none"/>
        </w:rPr>
      </w:pPr>
    </w:p>
    <w:p>
      <w:pPr>
        <w:pStyle w:val="2"/>
        <w:rPr>
          <w:rFonts w:hint="eastAsia" w:cs="Times New Roman"/>
          <w:b/>
          <w:color w:val="000000"/>
          <w:kern w:val="0"/>
          <w:sz w:val="30"/>
          <w:szCs w:val="30"/>
          <w:highlight w:val="none"/>
        </w:rPr>
      </w:pPr>
    </w:p>
    <w:p>
      <w:pPr>
        <w:pStyle w:val="2"/>
        <w:keepNext w:val="0"/>
        <w:keepLines w:val="0"/>
        <w:pageBreakBefore w:val="0"/>
        <w:widowControl/>
        <w:shd w:val="clear"/>
        <w:kinsoku/>
        <w:wordWrap/>
        <w:overflowPunct/>
        <w:topLinePunct w:val="0"/>
        <w:bidi w:val="0"/>
        <w:snapToGrid/>
        <w:ind w:firstLine="0" w:firstLineChars="0"/>
        <w:jc w:val="center"/>
        <w:textAlignment w:val="auto"/>
        <w:rPr>
          <w:rFonts w:hint="eastAsia" w:cs="Times New Roman"/>
          <w:b/>
          <w:color w:val="000000"/>
          <w:kern w:val="0"/>
          <w:sz w:val="30"/>
          <w:szCs w:val="30"/>
          <w:highlight w:val="none"/>
        </w:rPr>
      </w:pPr>
    </w:p>
    <w:p>
      <w:pPr>
        <w:pStyle w:val="2"/>
        <w:keepNext w:val="0"/>
        <w:keepLines w:val="0"/>
        <w:pageBreakBefore w:val="0"/>
        <w:widowControl/>
        <w:shd w:val="clear"/>
        <w:kinsoku/>
        <w:wordWrap/>
        <w:overflowPunct/>
        <w:topLinePunct w:val="0"/>
        <w:bidi w:val="0"/>
        <w:snapToGrid/>
        <w:ind w:firstLine="0" w:firstLineChars="0"/>
        <w:jc w:val="center"/>
        <w:textAlignment w:val="auto"/>
        <w:rPr>
          <w:kern w:val="0"/>
          <w:sz w:val="30"/>
          <w:szCs w:val="30"/>
          <w:highlight w:val="none"/>
        </w:rPr>
      </w:pPr>
      <w:r>
        <w:rPr>
          <w:rFonts w:hint="eastAsia" w:cs="Times New Roman"/>
          <w:b/>
          <w:color w:val="000000"/>
          <w:kern w:val="0"/>
          <w:sz w:val="30"/>
          <w:szCs w:val="30"/>
          <w:highlight w:val="none"/>
        </w:rPr>
        <w:t>附表</w:t>
      </w:r>
      <w:r>
        <w:rPr>
          <w:rFonts w:cs="Times New Roman"/>
          <w:b/>
          <w:color w:val="000000"/>
          <w:kern w:val="0"/>
          <w:sz w:val="30"/>
          <w:szCs w:val="30"/>
          <w:highlight w:val="none"/>
        </w:rPr>
        <w:t>4</w:t>
      </w:r>
      <w:r>
        <w:rPr>
          <w:rFonts w:hint="eastAsia" w:cs="Times New Roman"/>
          <w:b/>
          <w:color w:val="000000"/>
          <w:kern w:val="0"/>
          <w:sz w:val="30"/>
          <w:szCs w:val="30"/>
          <w:highlight w:val="none"/>
        </w:rPr>
        <w:t xml:space="preserve"> 开发时序和年度实施计划</w:t>
      </w:r>
      <w:r>
        <w:rPr>
          <w:rFonts w:hint="eastAsia" w:cs="Times New Roman"/>
          <w:b/>
          <w:color w:val="000000"/>
          <w:kern w:val="0"/>
          <w:sz w:val="30"/>
          <w:szCs w:val="30"/>
          <w:highlight w:val="none"/>
          <w:lang w:val="en-US" w:eastAsia="zh-CN"/>
        </w:rPr>
        <w:t>汇总</w:t>
      </w:r>
      <w:r>
        <w:rPr>
          <w:rFonts w:hint="eastAsia" w:cs="Times New Roman"/>
          <w:b/>
          <w:color w:val="000000"/>
          <w:kern w:val="0"/>
          <w:sz w:val="30"/>
          <w:szCs w:val="30"/>
          <w:highlight w:val="none"/>
        </w:rPr>
        <w:t>表</w:t>
      </w:r>
    </w:p>
    <w:p>
      <w:pPr>
        <w:pStyle w:val="2"/>
        <w:keepNext w:val="0"/>
        <w:keepLines w:val="0"/>
        <w:pageBreakBefore w:val="0"/>
        <w:widowControl/>
        <w:shd w:val="clear"/>
        <w:kinsoku/>
        <w:wordWrap/>
        <w:overflowPunct/>
        <w:topLinePunct w:val="0"/>
        <w:bidi w:val="0"/>
        <w:snapToGrid/>
        <w:ind w:firstLine="0" w:firstLineChars="0"/>
        <w:jc w:val="right"/>
        <w:textAlignment w:val="auto"/>
        <w:rPr>
          <w:rFonts w:cs="宋体"/>
          <w:color w:val="000000"/>
          <w:kern w:val="0"/>
          <w:szCs w:val="28"/>
          <w:highlight w:val="none"/>
        </w:rPr>
      </w:pPr>
      <w:r>
        <w:rPr>
          <w:rFonts w:hint="eastAsia" w:cs="宋体"/>
          <w:color w:val="000000"/>
          <w:kern w:val="0"/>
          <w:szCs w:val="28"/>
          <w:highlight w:val="none"/>
        </w:rPr>
        <w:t>单位：公顷、%</w:t>
      </w:r>
    </w:p>
    <w:tbl>
      <w:tblPr>
        <w:tblStyle w:val="15"/>
        <w:tblW w:w="4996" w:type="pct"/>
        <w:tblInd w:w="0" w:type="dxa"/>
        <w:tblLayout w:type="autofit"/>
        <w:tblCellMar>
          <w:top w:w="0" w:type="dxa"/>
          <w:left w:w="108" w:type="dxa"/>
          <w:bottom w:w="0" w:type="dxa"/>
          <w:right w:w="108" w:type="dxa"/>
        </w:tblCellMar>
      </w:tblPr>
      <w:tblGrid>
        <w:gridCol w:w="2018"/>
        <w:gridCol w:w="2023"/>
        <w:gridCol w:w="2020"/>
        <w:gridCol w:w="2023"/>
        <w:gridCol w:w="2026"/>
        <w:gridCol w:w="2023"/>
        <w:gridCol w:w="2030"/>
      </w:tblGrid>
      <w:tr>
        <w:tblPrEx>
          <w:tblCellMar>
            <w:top w:w="0" w:type="dxa"/>
            <w:left w:w="108" w:type="dxa"/>
            <w:bottom w:w="0" w:type="dxa"/>
            <w:right w:w="108" w:type="dxa"/>
          </w:tblCellMar>
        </w:tblPrEx>
        <w:trPr>
          <w:trHeight w:val="510" w:hRule="atLeast"/>
        </w:trPr>
        <w:tc>
          <w:tcPr>
            <w:tcW w:w="71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bidi w:val="0"/>
              <w:snapToGrid/>
              <w:spacing w:line="240" w:lineRule="auto"/>
              <w:ind w:firstLine="0" w:firstLineChars="0"/>
              <w:jc w:val="center"/>
              <w:textAlignment w:val="auto"/>
              <w:rPr>
                <w:rFonts w:cs="宋体"/>
                <w:color w:val="auto"/>
                <w:kern w:val="0"/>
                <w:szCs w:val="28"/>
                <w:highlight w:val="none"/>
              </w:rPr>
            </w:pPr>
            <w:r>
              <w:rPr>
                <w:rFonts w:hint="eastAsia" w:cs="宋体"/>
                <w:color w:val="auto"/>
                <w:kern w:val="0"/>
                <w:szCs w:val="28"/>
                <w:highlight w:val="none"/>
              </w:rPr>
              <w:t>实施总面积</w:t>
            </w:r>
          </w:p>
        </w:tc>
        <w:tc>
          <w:tcPr>
            <w:tcW w:w="1427"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bidi w:val="0"/>
              <w:snapToGrid/>
              <w:spacing w:line="240" w:lineRule="auto"/>
              <w:ind w:firstLine="0" w:firstLineChars="0"/>
              <w:jc w:val="center"/>
              <w:textAlignment w:val="auto"/>
              <w:rPr>
                <w:rFonts w:hint="default" w:eastAsia="仿宋_GB2312" w:cs="Times New Roman"/>
                <w:color w:val="auto"/>
                <w:kern w:val="0"/>
                <w:szCs w:val="28"/>
                <w:highlight w:val="none"/>
                <w:lang w:val="en-US" w:eastAsia="zh-CN"/>
              </w:rPr>
            </w:pPr>
            <w:r>
              <w:rPr>
                <w:rFonts w:hint="eastAsia" w:cs="Times New Roman"/>
                <w:color w:val="auto"/>
                <w:kern w:val="0"/>
                <w:szCs w:val="28"/>
                <w:highlight w:val="none"/>
                <w:lang w:val="en-US" w:eastAsia="zh-CN"/>
              </w:rPr>
              <w:t>批复后第一年</w:t>
            </w:r>
          </w:p>
        </w:tc>
        <w:tc>
          <w:tcPr>
            <w:tcW w:w="1429"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bidi w:val="0"/>
              <w:snapToGrid/>
              <w:spacing w:line="240" w:lineRule="auto"/>
              <w:ind w:firstLine="0" w:firstLineChars="0"/>
              <w:jc w:val="center"/>
              <w:textAlignment w:val="auto"/>
              <w:rPr>
                <w:rFonts w:cs="Times New Roman"/>
                <w:color w:val="auto"/>
                <w:kern w:val="0"/>
                <w:szCs w:val="28"/>
                <w:highlight w:val="none"/>
              </w:rPr>
            </w:pPr>
            <w:r>
              <w:rPr>
                <w:rFonts w:hint="eastAsia" w:cs="Times New Roman"/>
                <w:color w:val="auto"/>
                <w:kern w:val="0"/>
                <w:szCs w:val="28"/>
                <w:highlight w:val="none"/>
                <w:lang w:val="en-US" w:eastAsia="zh-CN"/>
              </w:rPr>
              <w:t>批复后第二年</w:t>
            </w:r>
          </w:p>
        </w:tc>
        <w:tc>
          <w:tcPr>
            <w:tcW w:w="1430"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bidi w:val="0"/>
              <w:snapToGrid/>
              <w:spacing w:line="240" w:lineRule="auto"/>
              <w:ind w:firstLine="0" w:firstLineChars="0"/>
              <w:jc w:val="center"/>
              <w:textAlignment w:val="auto"/>
              <w:rPr>
                <w:rFonts w:cs="Times New Roman"/>
                <w:color w:val="auto"/>
                <w:kern w:val="0"/>
                <w:szCs w:val="28"/>
                <w:highlight w:val="none"/>
              </w:rPr>
            </w:pPr>
            <w:r>
              <w:rPr>
                <w:rFonts w:hint="eastAsia" w:cs="Times New Roman"/>
                <w:color w:val="auto"/>
                <w:kern w:val="0"/>
                <w:szCs w:val="28"/>
                <w:highlight w:val="none"/>
                <w:lang w:val="en-US" w:eastAsia="zh-CN"/>
              </w:rPr>
              <w:t>批复后第三年</w:t>
            </w:r>
          </w:p>
        </w:tc>
      </w:tr>
      <w:tr>
        <w:tblPrEx>
          <w:tblCellMar>
            <w:top w:w="0" w:type="dxa"/>
            <w:left w:w="108" w:type="dxa"/>
            <w:bottom w:w="0" w:type="dxa"/>
            <w:right w:w="108" w:type="dxa"/>
          </w:tblCellMar>
        </w:tblPrEx>
        <w:trPr>
          <w:trHeight w:val="510" w:hRule="atLeast"/>
        </w:trPr>
        <w:tc>
          <w:tcPr>
            <w:tcW w:w="71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hd w:val="clear"/>
              <w:kinsoku/>
              <w:wordWrap/>
              <w:overflowPunct/>
              <w:topLinePunct w:val="0"/>
              <w:bidi w:val="0"/>
              <w:snapToGrid/>
              <w:spacing w:line="240" w:lineRule="auto"/>
              <w:ind w:firstLine="0" w:firstLineChars="0"/>
              <w:jc w:val="center"/>
              <w:textAlignment w:val="auto"/>
              <w:rPr>
                <w:rFonts w:cs="宋体"/>
                <w:color w:val="auto"/>
                <w:kern w:val="0"/>
                <w:szCs w:val="28"/>
                <w:highlight w:val="none"/>
              </w:rPr>
            </w:pPr>
          </w:p>
        </w:tc>
        <w:tc>
          <w:tcPr>
            <w:tcW w:w="7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bidi w:val="0"/>
              <w:snapToGrid/>
              <w:spacing w:line="240" w:lineRule="auto"/>
              <w:ind w:firstLine="0" w:firstLineChars="0"/>
              <w:jc w:val="center"/>
              <w:textAlignment w:val="auto"/>
              <w:rPr>
                <w:rFonts w:cs="宋体"/>
                <w:color w:val="auto"/>
                <w:kern w:val="0"/>
                <w:szCs w:val="28"/>
                <w:highlight w:val="none"/>
              </w:rPr>
            </w:pPr>
            <w:r>
              <w:rPr>
                <w:rFonts w:hint="eastAsia" w:cs="宋体"/>
                <w:color w:val="auto"/>
                <w:kern w:val="0"/>
                <w:szCs w:val="28"/>
                <w:highlight w:val="none"/>
              </w:rPr>
              <w:t>完成面积</w:t>
            </w:r>
          </w:p>
        </w:tc>
        <w:tc>
          <w:tcPr>
            <w:tcW w:w="713"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bidi w:val="0"/>
              <w:snapToGrid/>
              <w:spacing w:line="240" w:lineRule="auto"/>
              <w:ind w:firstLine="0" w:firstLineChars="0"/>
              <w:jc w:val="center"/>
              <w:textAlignment w:val="auto"/>
              <w:rPr>
                <w:rFonts w:cs="宋体"/>
                <w:color w:val="auto"/>
                <w:kern w:val="0"/>
                <w:szCs w:val="28"/>
                <w:highlight w:val="none"/>
              </w:rPr>
            </w:pPr>
            <w:r>
              <w:rPr>
                <w:rFonts w:hint="eastAsia" w:cs="宋体"/>
                <w:color w:val="auto"/>
                <w:kern w:val="0"/>
                <w:szCs w:val="28"/>
                <w:highlight w:val="none"/>
              </w:rPr>
              <w:t>比例</w:t>
            </w:r>
          </w:p>
        </w:tc>
        <w:tc>
          <w:tcPr>
            <w:tcW w:w="7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bidi w:val="0"/>
              <w:snapToGrid/>
              <w:spacing w:line="240" w:lineRule="auto"/>
              <w:ind w:firstLine="0" w:firstLineChars="0"/>
              <w:jc w:val="center"/>
              <w:textAlignment w:val="auto"/>
              <w:rPr>
                <w:rFonts w:hint="eastAsia" w:cs="宋体"/>
                <w:color w:val="auto"/>
                <w:kern w:val="0"/>
                <w:szCs w:val="28"/>
                <w:highlight w:val="none"/>
              </w:rPr>
            </w:pPr>
            <w:r>
              <w:rPr>
                <w:rFonts w:hint="eastAsia" w:cs="宋体"/>
                <w:color w:val="auto"/>
                <w:kern w:val="0"/>
                <w:szCs w:val="28"/>
                <w:highlight w:val="none"/>
              </w:rPr>
              <w:t>完成面积</w:t>
            </w:r>
          </w:p>
        </w:tc>
        <w:tc>
          <w:tcPr>
            <w:tcW w:w="715"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bidi w:val="0"/>
              <w:snapToGrid/>
              <w:spacing w:line="240" w:lineRule="auto"/>
              <w:ind w:firstLine="0" w:firstLineChars="0"/>
              <w:jc w:val="center"/>
              <w:textAlignment w:val="auto"/>
              <w:rPr>
                <w:rFonts w:hint="eastAsia" w:cs="宋体"/>
                <w:color w:val="auto"/>
                <w:kern w:val="0"/>
                <w:szCs w:val="28"/>
                <w:highlight w:val="none"/>
              </w:rPr>
            </w:pPr>
            <w:r>
              <w:rPr>
                <w:rFonts w:hint="eastAsia" w:cs="宋体"/>
                <w:color w:val="auto"/>
                <w:kern w:val="0"/>
                <w:szCs w:val="28"/>
                <w:highlight w:val="none"/>
              </w:rPr>
              <w:t>比例</w:t>
            </w:r>
          </w:p>
        </w:tc>
        <w:tc>
          <w:tcPr>
            <w:tcW w:w="71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bidi w:val="0"/>
              <w:snapToGrid/>
              <w:spacing w:line="240" w:lineRule="auto"/>
              <w:ind w:firstLine="0" w:firstLineChars="0"/>
              <w:jc w:val="center"/>
              <w:textAlignment w:val="auto"/>
              <w:rPr>
                <w:rFonts w:cs="宋体"/>
                <w:color w:val="auto"/>
                <w:kern w:val="0"/>
                <w:szCs w:val="28"/>
                <w:highlight w:val="none"/>
              </w:rPr>
            </w:pPr>
            <w:r>
              <w:rPr>
                <w:rFonts w:hint="eastAsia" w:cs="宋体"/>
                <w:color w:val="auto"/>
                <w:kern w:val="0"/>
                <w:szCs w:val="28"/>
                <w:highlight w:val="none"/>
              </w:rPr>
              <w:t>完成面积</w:t>
            </w:r>
          </w:p>
        </w:tc>
        <w:tc>
          <w:tcPr>
            <w:tcW w:w="71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bidi w:val="0"/>
              <w:snapToGrid/>
              <w:spacing w:line="240" w:lineRule="auto"/>
              <w:ind w:firstLine="0" w:firstLineChars="0"/>
              <w:jc w:val="center"/>
              <w:textAlignment w:val="auto"/>
              <w:rPr>
                <w:rFonts w:cs="宋体"/>
                <w:color w:val="auto"/>
                <w:kern w:val="0"/>
                <w:szCs w:val="28"/>
                <w:highlight w:val="none"/>
              </w:rPr>
            </w:pPr>
            <w:r>
              <w:rPr>
                <w:rFonts w:hint="eastAsia" w:cs="宋体"/>
                <w:color w:val="auto"/>
                <w:kern w:val="0"/>
                <w:szCs w:val="28"/>
                <w:highlight w:val="none"/>
              </w:rPr>
              <w:t>比例</w:t>
            </w:r>
          </w:p>
        </w:tc>
      </w:tr>
      <w:tr>
        <w:tblPrEx>
          <w:tblCellMar>
            <w:top w:w="0" w:type="dxa"/>
            <w:left w:w="108" w:type="dxa"/>
            <w:bottom w:w="0" w:type="dxa"/>
            <w:right w:w="108" w:type="dxa"/>
          </w:tblCellMar>
        </w:tblPrEx>
        <w:trPr>
          <w:trHeight w:val="510" w:hRule="atLeast"/>
        </w:trPr>
        <w:tc>
          <w:tcPr>
            <w:tcW w:w="712"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cs="宋体"/>
                <w:color w:val="FF0000"/>
                <w:kern w:val="0"/>
                <w:szCs w:val="28"/>
                <w:highlight w:val="yellow"/>
                <w:lang w:val="en-US"/>
              </w:rPr>
            </w:pPr>
            <w:r>
              <w:rPr>
                <w:rFonts w:hint="eastAsia" w:cs="宋体"/>
                <w:color w:val="auto"/>
                <w:kern w:val="0"/>
                <w:szCs w:val="28"/>
                <w:highlight w:val="none"/>
                <w:lang w:val="en-US" w:eastAsia="zh-CN"/>
              </w:rPr>
              <w:t>10.2183</w:t>
            </w:r>
          </w:p>
        </w:tc>
        <w:tc>
          <w:tcPr>
            <w:tcW w:w="71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cs="宋体"/>
                <w:color w:val="auto"/>
                <w:kern w:val="0"/>
                <w:szCs w:val="28"/>
                <w:highlight w:val="none"/>
                <w:lang w:val="en-US" w:eastAsia="zh-CN"/>
              </w:rPr>
            </w:pPr>
            <w:r>
              <w:rPr>
                <w:rFonts w:hint="eastAsia" w:cs="宋体"/>
                <w:color w:val="auto"/>
                <w:kern w:val="0"/>
                <w:szCs w:val="28"/>
                <w:highlight w:val="none"/>
                <w:lang w:val="en-US" w:eastAsia="zh-CN"/>
              </w:rPr>
              <w:t>1.3519</w:t>
            </w:r>
          </w:p>
        </w:tc>
        <w:tc>
          <w:tcPr>
            <w:tcW w:w="71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cs="宋体"/>
                <w:color w:val="auto"/>
                <w:kern w:val="0"/>
                <w:szCs w:val="28"/>
                <w:highlight w:val="none"/>
                <w:lang w:val="en-US" w:eastAsia="zh-CN"/>
              </w:rPr>
            </w:pPr>
            <w:r>
              <w:rPr>
                <w:rFonts w:hint="eastAsia" w:cs="宋体"/>
                <w:color w:val="auto"/>
                <w:kern w:val="0"/>
                <w:szCs w:val="28"/>
                <w:highlight w:val="none"/>
                <w:lang w:val="en-US" w:eastAsia="zh-CN"/>
              </w:rPr>
              <w:t>13.23</w:t>
            </w:r>
          </w:p>
        </w:tc>
        <w:tc>
          <w:tcPr>
            <w:tcW w:w="71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cs="宋体"/>
                <w:color w:val="auto"/>
                <w:kern w:val="0"/>
                <w:szCs w:val="28"/>
                <w:highlight w:val="none"/>
                <w:lang w:val="en-US" w:eastAsia="zh-CN"/>
              </w:rPr>
            </w:pPr>
            <w:r>
              <w:rPr>
                <w:rFonts w:hint="eastAsia" w:cs="宋体"/>
                <w:color w:val="auto"/>
                <w:kern w:val="0"/>
                <w:szCs w:val="28"/>
                <w:highlight w:val="none"/>
                <w:lang w:val="en-US" w:eastAsia="zh-CN"/>
              </w:rPr>
              <w:t>5.0415</w:t>
            </w:r>
          </w:p>
        </w:tc>
        <w:tc>
          <w:tcPr>
            <w:tcW w:w="715"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cs="宋体"/>
                <w:color w:val="auto"/>
                <w:kern w:val="0"/>
                <w:szCs w:val="28"/>
                <w:highlight w:val="none"/>
                <w:lang w:val="en-US" w:eastAsia="zh-CN"/>
              </w:rPr>
            </w:pPr>
            <w:r>
              <w:rPr>
                <w:rFonts w:hint="eastAsia" w:cs="宋体"/>
                <w:color w:val="auto"/>
                <w:kern w:val="0"/>
                <w:szCs w:val="28"/>
                <w:highlight w:val="none"/>
                <w:lang w:val="en-US" w:eastAsia="zh-CN"/>
              </w:rPr>
              <w:t>49.34</w:t>
            </w:r>
          </w:p>
        </w:tc>
        <w:tc>
          <w:tcPr>
            <w:tcW w:w="71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cs="宋体"/>
                <w:color w:val="auto"/>
                <w:kern w:val="0"/>
                <w:szCs w:val="28"/>
                <w:highlight w:val="none"/>
                <w:lang w:val="en-US" w:eastAsia="zh-CN"/>
              </w:rPr>
            </w:pPr>
            <w:r>
              <w:rPr>
                <w:rFonts w:hint="eastAsia" w:cs="宋体"/>
                <w:color w:val="auto"/>
                <w:kern w:val="0"/>
                <w:szCs w:val="28"/>
                <w:highlight w:val="none"/>
                <w:lang w:val="en-US" w:eastAsia="zh-CN"/>
              </w:rPr>
              <w:t>3.8249</w:t>
            </w:r>
          </w:p>
        </w:tc>
        <w:tc>
          <w:tcPr>
            <w:tcW w:w="716"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cs="宋体"/>
                <w:color w:val="auto"/>
                <w:kern w:val="0"/>
                <w:szCs w:val="28"/>
                <w:highlight w:val="none"/>
                <w:lang w:val="en-US" w:eastAsia="zh-CN"/>
              </w:rPr>
            </w:pPr>
            <w:r>
              <w:rPr>
                <w:rFonts w:hint="eastAsia" w:cs="宋体"/>
                <w:color w:val="auto"/>
                <w:kern w:val="0"/>
                <w:szCs w:val="28"/>
                <w:highlight w:val="none"/>
                <w:lang w:val="en-US" w:eastAsia="zh-CN"/>
              </w:rPr>
              <w:t>37.43</w:t>
            </w:r>
          </w:p>
        </w:tc>
      </w:tr>
    </w:tbl>
    <w:p>
      <w:pPr>
        <w:keepNext w:val="0"/>
        <w:keepLines w:val="0"/>
        <w:pageBreakBefore w:val="0"/>
        <w:widowControl/>
        <w:kinsoku/>
        <w:wordWrap/>
        <w:overflowPunct/>
        <w:topLinePunct w:val="0"/>
        <w:autoSpaceDE/>
        <w:autoSpaceDN/>
        <w:bidi w:val="0"/>
        <w:snapToGrid/>
        <w:spacing w:line="240" w:lineRule="auto"/>
        <w:ind w:firstLine="0" w:firstLineChars="0"/>
        <w:jc w:val="left"/>
        <w:textAlignment w:val="auto"/>
        <w:rPr>
          <w:rFonts w:hint="eastAsia" w:ascii="Times New Roman" w:hAnsi="Times New Roman" w:eastAsia="仿宋_GB2312" w:cs="宋体"/>
          <w:color w:val="000000"/>
          <w:kern w:val="0"/>
          <w:sz w:val="24"/>
          <w:szCs w:val="24"/>
        </w:rPr>
      </w:pPr>
      <w:r>
        <w:rPr>
          <w:rFonts w:hint="eastAsia" w:ascii="Times New Roman" w:hAnsi="Times New Roman" w:eastAsia="仿宋_GB2312" w:cs="宋体"/>
          <w:color w:val="000000"/>
          <w:kern w:val="0"/>
          <w:sz w:val="24"/>
          <w:szCs w:val="24"/>
        </w:rPr>
        <w:t>注：</w:t>
      </w:r>
      <w:r>
        <w:rPr>
          <w:rFonts w:hint="eastAsia" w:ascii="Times New Roman" w:hAnsi="Times New Roman" w:eastAsia="仿宋_GB2312" w:cs="宋体"/>
          <w:color w:val="000000"/>
          <w:kern w:val="0"/>
          <w:sz w:val="24"/>
          <w:szCs w:val="24"/>
          <w:lang w:val="en-US" w:eastAsia="zh-CN"/>
        </w:rPr>
        <w:t>实施总面积与附表3合计面积</w:t>
      </w:r>
      <w:r>
        <w:rPr>
          <w:rFonts w:hint="eastAsia" w:ascii="Times New Roman" w:hAnsi="Times New Roman" w:eastAsia="仿宋_GB2312" w:cs="宋体"/>
          <w:color w:val="000000"/>
          <w:kern w:val="0"/>
          <w:sz w:val="24"/>
          <w:szCs w:val="24"/>
        </w:rPr>
        <w:t>一致。</w:t>
      </w:r>
    </w:p>
    <w:p>
      <w:pPr>
        <w:pStyle w:val="2"/>
        <w:keepNext w:val="0"/>
        <w:keepLines w:val="0"/>
        <w:pageBreakBefore w:val="0"/>
        <w:widowControl/>
        <w:kinsoku/>
        <w:wordWrap/>
        <w:overflowPunct/>
        <w:topLinePunct w:val="0"/>
        <w:bidi w:val="0"/>
        <w:snapToGrid/>
        <w:textAlignment w:val="auto"/>
        <w:rPr>
          <w:rFonts w:hint="eastAsia" w:ascii="Times New Roman" w:hAnsi="Times New Roman" w:eastAsia="仿宋_GB2312" w:cs="宋体"/>
          <w:color w:val="000000"/>
          <w:kern w:val="0"/>
          <w:sz w:val="24"/>
          <w:szCs w:val="24"/>
        </w:rPr>
      </w:pPr>
    </w:p>
    <w:p>
      <w:pPr>
        <w:pStyle w:val="2"/>
        <w:keepNext w:val="0"/>
        <w:keepLines w:val="0"/>
        <w:pageBreakBefore w:val="0"/>
        <w:widowControl/>
        <w:kinsoku/>
        <w:wordWrap/>
        <w:overflowPunct/>
        <w:topLinePunct w:val="0"/>
        <w:bidi w:val="0"/>
        <w:snapToGrid/>
        <w:textAlignment w:val="auto"/>
        <w:rPr>
          <w:rFonts w:hint="eastAsia" w:ascii="Times New Roman" w:hAnsi="Times New Roman" w:eastAsia="仿宋_GB2312" w:cs="宋体"/>
          <w:color w:val="000000"/>
          <w:kern w:val="0"/>
          <w:sz w:val="24"/>
          <w:szCs w:val="24"/>
        </w:rPr>
      </w:pPr>
    </w:p>
    <w:p>
      <w:pPr>
        <w:pStyle w:val="2"/>
        <w:keepNext w:val="0"/>
        <w:keepLines w:val="0"/>
        <w:pageBreakBefore w:val="0"/>
        <w:widowControl/>
        <w:kinsoku/>
        <w:wordWrap/>
        <w:overflowPunct/>
        <w:topLinePunct w:val="0"/>
        <w:bidi w:val="0"/>
        <w:snapToGrid/>
        <w:textAlignment w:val="auto"/>
        <w:rPr>
          <w:rFonts w:hint="eastAsia" w:ascii="Times New Roman" w:hAnsi="Times New Roman" w:eastAsia="仿宋_GB2312" w:cs="宋体"/>
          <w:color w:val="000000"/>
          <w:kern w:val="0"/>
          <w:sz w:val="24"/>
          <w:szCs w:val="24"/>
        </w:rPr>
      </w:pPr>
      <w:bookmarkStart w:id="50" w:name="_GoBack"/>
      <w:bookmarkEnd w:id="50"/>
    </w:p>
    <w:p>
      <w:pPr>
        <w:pStyle w:val="2"/>
        <w:keepNext w:val="0"/>
        <w:keepLines w:val="0"/>
        <w:pageBreakBefore w:val="0"/>
        <w:widowControl/>
        <w:kinsoku/>
        <w:wordWrap/>
        <w:overflowPunct/>
        <w:topLinePunct w:val="0"/>
        <w:bidi w:val="0"/>
        <w:snapToGrid/>
        <w:ind w:left="0" w:leftChars="0" w:firstLine="0" w:firstLineChars="0"/>
        <w:textAlignment w:val="auto"/>
        <w:rPr>
          <w:rFonts w:hint="eastAsia" w:ascii="Times New Roman" w:hAnsi="Times New Roman" w:eastAsia="仿宋_GB2312" w:cs="宋体"/>
          <w:color w:val="000000"/>
          <w:kern w:val="0"/>
          <w:sz w:val="24"/>
          <w:szCs w:val="24"/>
          <w:lang w:eastAsia="zh-CN"/>
        </w:rPr>
      </w:pPr>
    </w:p>
    <w:sectPr>
      <w:pgSz w:w="16838" w:h="11906" w:orient="landscape"/>
      <w:pgMar w:top="1800" w:right="1440" w:bottom="1800" w:left="1440" w:header="851" w:footer="992" w:gutter="0"/>
      <w:pgNumType w:fmt="decimal"/>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p>
  <w:p>
    <w:pPr>
      <w:pStyle w:val="9"/>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II</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82736221"/>
                            <w:docPartObj>
                              <w:docPartGallery w:val="autotext"/>
                            </w:docPartObj>
                          </w:sdtPr>
                          <w:sdtContent>
                            <w:p>
                              <w:pPr>
                                <w:pStyle w:val="9"/>
                                <w:ind w:firstLine="360"/>
                                <w:jc w:val="center"/>
                              </w:pP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482736221"/>
                      <w:docPartObj>
                        <w:docPartGallery w:val="autotext"/>
                      </w:docPartObj>
                    </w:sdtPr>
                    <w:sdtContent>
                      <w:p>
                        <w:pPr>
                          <w:pStyle w:val="9"/>
                          <w:ind w:firstLine="360"/>
                          <w:jc w:val="center"/>
                        </w:pPr>
                      </w:p>
                    </w:sdtContent>
                  </w:sdt>
                  <w:p>
                    <w:pPr>
                      <w:pStyle w:val="2"/>
                    </w:pPr>
                  </w:p>
                </w:txbxContent>
              </v:textbox>
            </v:shape>
          </w:pict>
        </mc:Fallback>
      </mc:AlternateContent>
    </w:r>
  </w:p>
  <w:p>
    <w:pPr>
      <w:pStyle w:val="9"/>
      <w:ind w:firstLine="0" w:firstLineChars="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29895"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42989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ind w:left="0" w:leftChars="0" w:firstLine="0" w:firstLineChars="0"/>
                            <w:jc w:val="center"/>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33.85pt;mso-position-horizontal:center;mso-position-horizontal-relative:margin;z-index:251659264;mso-width-relative:page;mso-height-relative:page;" filled="f" stroked="f" coordsize="21600,21600" o:gfxdata="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bK4itMAAAAEAQAADwAAAAAAAAABACAAAAAiAAAAZHJzL2Rvd25yZXYu&#10;eG1sUEsBAhQAFAAAAAgAh07iQPbgKEQ5AgAAZAQAAA4AAAAAAAAAAQAgAAAAIgEAAGRycy9lMm9E&#10;b2MueG1sUEsFBgAAAAAGAAYAWQEAAM0FAAAAAA==&#10;">
              <v:fill on="f" focussize="0,0"/>
              <v:stroke on="f" weight="0.5pt"/>
              <v:imagedata o:title=""/>
              <o:lock v:ext="edit" aspectratio="f"/>
              <v:textbox inset="0mm,0mm,0mm,0mm" style="mso-fit-shape-to-text:t;">
                <w:txbxContent>
                  <w:p>
                    <w:pPr>
                      <w:pStyle w:val="9"/>
                      <w:ind w:left="0" w:leftChars="0" w:firstLine="0" w:firstLineChars="0"/>
                      <w:jc w:val="center"/>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29895"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42989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ind w:left="0" w:leftChars="0" w:firstLine="0" w:firstLineChars="0"/>
                            <w:jc w:val="center"/>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33.85pt;mso-position-horizontal:center;mso-position-horizontal-relative:margin;z-index:251660288;mso-width-relative:page;mso-height-relative:page;" filled="f" stroked="f" coordsize="21600,21600" o:gfxdata="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bK4itMAAAAEAQAADwAAAAAAAAABACAAAAAiAAAAZHJzL2Rvd25yZXYu&#10;eG1sUEsBAhQAFAAAAAgAh07iQDwpN6Q5AgAAYgQAAA4AAAAAAAAAAQAgAAAAIgEAAGRycy9lMm9E&#10;b2MueG1sUEsFBgAAAAAGAAYAWQEAAM0FAAAAAA==&#10;">
              <v:fill on="f" focussize="0,0"/>
              <v:stroke on="f" weight="0.5pt"/>
              <v:imagedata o:title=""/>
              <o:lock v:ext="edit" aspectratio="f"/>
              <v:textbox inset="0mm,0mm,0mm,0mm" style="mso-fit-shape-to-text:t;">
                <w:txbxContent>
                  <w:p>
                    <w:pPr>
                      <w:pStyle w:val="9"/>
                      <w:ind w:left="0" w:leftChars="0" w:firstLine="0" w:firstLineChars="0"/>
                      <w:jc w:val="center"/>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none" w:color="auto" w:sz="0" w:space="0"/>
        <w:left w:val="none" w:color="auto" w:sz="0" w:space="0"/>
        <w:bottom w:val="single" w:color="auto" w:sz="6" w:space="1"/>
        <w:right w:val="none" w:color="auto" w:sz="0" w:space="0"/>
      </w:pBdr>
      <w:ind w:firstLine="0" w:firstLineChars="0"/>
      <w:jc w:val="center"/>
      <w:rPr>
        <w:rFonts w:hint="default" w:ascii="Times New Roman" w:hAnsi="Times New Roman" w:eastAsia="仿宋_GB2312"/>
        <w:color w:val="auto"/>
        <w:szCs w:val="18"/>
        <w:lang w:val="en-US" w:eastAsia="zh-CN"/>
      </w:rPr>
    </w:pPr>
    <w:r>
      <w:rPr>
        <w:rFonts w:hint="eastAsia"/>
        <w:color w:val="auto"/>
        <w:szCs w:val="18"/>
        <w:lang w:val="en-US" w:eastAsia="zh-CN"/>
      </w:rPr>
      <w:t>德化县2022年度第六批次土地征收成片开发方案（01方案）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CA6144"/>
    <w:multiLevelType w:val="singleLevel"/>
    <w:tmpl w:val="F1CA6144"/>
    <w:lvl w:ilvl="0" w:tentative="0">
      <w:start w:val="2"/>
      <w:numFmt w:val="decimal"/>
      <w:lvlText w:val="%1."/>
      <w:lvlJc w:val="left"/>
      <w:pPr>
        <w:tabs>
          <w:tab w:val="left" w:pos="312"/>
        </w:tabs>
        <w:ind w:left="-323"/>
      </w:pPr>
    </w:lvl>
  </w:abstractNum>
  <w:abstractNum w:abstractNumId="1">
    <w:nsid w:val="F20B94CE"/>
    <w:multiLevelType w:val="singleLevel"/>
    <w:tmpl w:val="F20B94CE"/>
    <w:lvl w:ilvl="0" w:tentative="0">
      <w:start w:val="1"/>
      <w:numFmt w:val="chineseCounting"/>
      <w:pStyle w:val="4"/>
      <w:suff w:val="nothing"/>
      <w:lvlText w:val="（%1）"/>
      <w:lvlJc w:val="left"/>
      <w:pPr>
        <w:ind w:left="0" w:firstLine="420"/>
      </w:pPr>
      <w:rPr>
        <w:rFonts w:hint="eastAsia"/>
      </w:rPr>
    </w:lvl>
  </w:abstractNum>
  <w:abstractNum w:abstractNumId="2">
    <w:nsid w:val="0264C4D1"/>
    <w:multiLevelType w:val="singleLevel"/>
    <w:tmpl w:val="0264C4D1"/>
    <w:lvl w:ilvl="0" w:tentative="0">
      <w:start w:val="2"/>
      <w:numFmt w:val="decimal"/>
      <w:suff w:val="nothing"/>
      <w:lvlText w:val="%1、"/>
      <w:lvlJc w:val="left"/>
      <w:pPr>
        <w:ind w:left="-323"/>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ZhYjczZDZkNjg0MDhjZjk2MWUyODljNWUyMWM0OTEifQ=="/>
  </w:docVars>
  <w:rsids>
    <w:rsidRoot w:val="00172A27"/>
    <w:rsid w:val="0003385C"/>
    <w:rsid w:val="00065697"/>
    <w:rsid w:val="00066351"/>
    <w:rsid w:val="00071305"/>
    <w:rsid w:val="0008569C"/>
    <w:rsid w:val="000868C6"/>
    <w:rsid w:val="000A15F6"/>
    <w:rsid w:val="000A5FC9"/>
    <w:rsid w:val="000A779F"/>
    <w:rsid w:val="000B21FF"/>
    <w:rsid w:val="000C385C"/>
    <w:rsid w:val="000D7900"/>
    <w:rsid w:val="000E34E8"/>
    <w:rsid w:val="000F2E76"/>
    <w:rsid w:val="00102839"/>
    <w:rsid w:val="001041A4"/>
    <w:rsid w:val="001152D1"/>
    <w:rsid w:val="00126D98"/>
    <w:rsid w:val="0013027A"/>
    <w:rsid w:val="001324FB"/>
    <w:rsid w:val="001405A0"/>
    <w:rsid w:val="00144B81"/>
    <w:rsid w:val="00157B84"/>
    <w:rsid w:val="001839A1"/>
    <w:rsid w:val="00193509"/>
    <w:rsid w:val="001A6D9D"/>
    <w:rsid w:val="001B3F48"/>
    <w:rsid w:val="001C0B09"/>
    <w:rsid w:val="001E36E0"/>
    <w:rsid w:val="001F1F4A"/>
    <w:rsid w:val="0020129F"/>
    <w:rsid w:val="002035B7"/>
    <w:rsid w:val="002057F0"/>
    <w:rsid w:val="002075B0"/>
    <w:rsid w:val="00217EB2"/>
    <w:rsid w:val="0023554F"/>
    <w:rsid w:val="00243886"/>
    <w:rsid w:val="0025739A"/>
    <w:rsid w:val="00273D28"/>
    <w:rsid w:val="00275CF0"/>
    <w:rsid w:val="002867B9"/>
    <w:rsid w:val="002A572A"/>
    <w:rsid w:val="002B2578"/>
    <w:rsid w:val="002E7054"/>
    <w:rsid w:val="00302AC1"/>
    <w:rsid w:val="003052B0"/>
    <w:rsid w:val="003207F7"/>
    <w:rsid w:val="0032243C"/>
    <w:rsid w:val="00347568"/>
    <w:rsid w:val="00364495"/>
    <w:rsid w:val="00367711"/>
    <w:rsid w:val="00373D16"/>
    <w:rsid w:val="00382C2D"/>
    <w:rsid w:val="003C03B2"/>
    <w:rsid w:val="003C276E"/>
    <w:rsid w:val="003F5371"/>
    <w:rsid w:val="00402E46"/>
    <w:rsid w:val="00414168"/>
    <w:rsid w:val="00421FBF"/>
    <w:rsid w:val="0044764B"/>
    <w:rsid w:val="00452223"/>
    <w:rsid w:val="004524A8"/>
    <w:rsid w:val="00461EFE"/>
    <w:rsid w:val="00485C37"/>
    <w:rsid w:val="004A32F1"/>
    <w:rsid w:val="004A744C"/>
    <w:rsid w:val="004B2887"/>
    <w:rsid w:val="004D6367"/>
    <w:rsid w:val="004E01FE"/>
    <w:rsid w:val="004F5D05"/>
    <w:rsid w:val="004F7629"/>
    <w:rsid w:val="005065F5"/>
    <w:rsid w:val="00516B48"/>
    <w:rsid w:val="00520CFF"/>
    <w:rsid w:val="00527C76"/>
    <w:rsid w:val="005302C3"/>
    <w:rsid w:val="00535318"/>
    <w:rsid w:val="005533CA"/>
    <w:rsid w:val="005A4D2A"/>
    <w:rsid w:val="005B4828"/>
    <w:rsid w:val="005D088A"/>
    <w:rsid w:val="005E0B83"/>
    <w:rsid w:val="00643087"/>
    <w:rsid w:val="00674FAE"/>
    <w:rsid w:val="0067579C"/>
    <w:rsid w:val="006860C7"/>
    <w:rsid w:val="006A0CD6"/>
    <w:rsid w:val="006B1E63"/>
    <w:rsid w:val="006B2C86"/>
    <w:rsid w:val="006D62B9"/>
    <w:rsid w:val="006D777C"/>
    <w:rsid w:val="00722B25"/>
    <w:rsid w:val="007250B0"/>
    <w:rsid w:val="00750672"/>
    <w:rsid w:val="00767245"/>
    <w:rsid w:val="007940C1"/>
    <w:rsid w:val="00794D63"/>
    <w:rsid w:val="007A6279"/>
    <w:rsid w:val="007B477B"/>
    <w:rsid w:val="007B4AD9"/>
    <w:rsid w:val="007C6BFF"/>
    <w:rsid w:val="007D3FD4"/>
    <w:rsid w:val="007D5E71"/>
    <w:rsid w:val="00802EB8"/>
    <w:rsid w:val="008047A6"/>
    <w:rsid w:val="0082425A"/>
    <w:rsid w:val="00824872"/>
    <w:rsid w:val="00865094"/>
    <w:rsid w:val="00891702"/>
    <w:rsid w:val="00896E73"/>
    <w:rsid w:val="008A3F64"/>
    <w:rsid w:val="008D7FDD"/>
    <w:rsid w:val="00927C37"/>
    <w:rsid w:val="00936CFC"/>
    <w:rsid w:val="00952619"/>
    <w:rsid w:val="0096002F"/>
    <w:rsid w:val="00971200"/>
    <w:rsid w:val="0097127D"/>
    <w:rsid w:val="009827F7"/>
    <w:rsid w:val="009839E3"/>
    <w:rsid w:val="00991F38"/>
    <w:rsid w:val="009938B0"/>
    <w:rsid w:val="00996E4A"/>
    <w:rsid w:val="0099792F"/>
    <w:rsid w:val="009A6B98"/>
    <w:rsid w:val="009A7E71"/>
    <w:rsid w:val="009C5A7A"/>
    <w:rsid w:val="009C630F"/>
    <w:rsid w:val="009E0136"/>
    <w:rsid w:val="009E7228"/>
    <w:rsid w:val="009F3733"/>
    <w:rsid w:val="00A30A1A"/>
    <w:rsid w:val="00A51866"/>
    <w:rsid w:val="00A57F42"/>
    <w:rsid w:val="00A81BA4"/>
    <w:rsid w:val="00A86669"/>
    <w:rsid w:val="00AA2DD4"/>
    <w:rsid w:val="00AA6AE8"/>
    <w:rsid w:val="00AC33FE"/>
    <w:rsid w:val="00AD556B"/>
    <w:rsid w:val="00AD5DCD"/>
    <w:rsid w:val="00AE350A"/>
    <w:rsid w:val="00AF5F1E"/>
    <w:rsid w:val="00AF641E"/>
    <w:rsid w:val="00B221EB"/>
    <w:rsid w:val="00B248D5"/>
    <w:rsid w:val="00B56F11"/>
    <w:rsid w:val="00B57AA5"/>
    <w:rsid w:val="00B6402B"/>
    <w:rsid w:val="00B72DD8"/>
    <w:rsid w:val="00B73A79"/>
    <w:rsid w:val="00B73D97"/>
    <w:rsid w:val="00BA4E45"/>
    <w:rsid w:val="00BE199C"/>
    <w:rsid w:val="00BF4C46"/>
    <w:rsid w:val="00C06A7D"/>
    <w:rsid w:val="00C13473"/>
    <w:rsid w:val="00C1366E"/>
    <w:rsid w:val="00C43E47"/>
    <w:rsid w:val="00C45368"/>
    <w:rsid w:val="00C50C67"/>
    <w:rsid w:val="00C5680C"/>
    <w:rsid w:val="00C56B78"/>
    <w:rsid w:val="00C8109F"/>
    <w:rsid w:val="00C81DBF"/>
    <w:rsid w:val="00C831D5"/>
    <w:rsid w:val="00C92B7A"/>
    <w:rsid w:val="00C95062"/>
    <w:rsid w:val="00CA230E"/>
    <w:rsid w:val="00CC2DB3"/>
    <w:rsid w:val="00CC39E7"/>
    <w:rsid w:val="00D3087E"/>
    <w:rsid w:val="00D3702E"/>
    <w:rsid w:val="00D474C6"/>
    <w:rsid w:val="00D55C0F"/>
    <w:rsid w:val="00D64798"/>
    <w:rsid w:val="00D87BA0"/>
    <w:rsid w:val="00DB1763"/>
    <w:rsid w:val="00DB608E"/>
    <w:rsid w:val="00DC04CB"/>
    <w:rsid w:val="00DC0EA5"/>
    <w:rsid w:val="00DD6BC8"/>
    <w:rsid w:val="00E11A14"/>
    <w:rsid w:val="00E37487"/>
    <w:rsid w:val="00E37B72"/>
    <w:rsid w:val="00E46CB1"/>
    <w:rsid w:val="00E678B6"/>
    <w:rsid w:val="00E7220E"/>
    <w:rsid w:val="00E754E0"/>
    <w:rsid w:val="00E96497"/>
    <w:rsid w:val="00E965FA"/>
    <w:rsid w:val="00EA273E"/>
    <w:rsid w:val="00EB3A19"/>
    <w:rsid w:val="00EB3FB1"/>
    <w:rsid w:val="00EB57BD"/>
    <w:rsid w:val="00EC70A9"/>
    <w:rsid w:val="00ED4D91"/>
    <w:rsid w:val="00EE40E3"/>
    <w:rsid w:val="00EF73D3"/>
    <w:rsid w:val="00F13F1E"/>
    <w:rsid w:val="00F2144E"/>
    <w:rsid w:val="00F22FE9"/>
    <w:rsid w:val="00F250D4"/>
    <w:rsid w:val="00F354E5"/>
    <w:rsid w:val="00F36602"/>
    <w:rsid w:val="00F5738A"/>
    <w:rsid w:val="00F6046F"/>
    <w:rsid w:val="00F634BA"/>
    <w:rsid w:val="00F73EA2"/>
    <w:rsid w:val="00F9437C"/>
    <w:rsid w:val="00FA4C44"/>
    <w:rsid w:val="00FE4235"/>
    <w:rsid w:val="0103393F"/>
    <w:rsid w:val="01C00BB9"/>
    <w:rsid w:val="01EA2413"/>
    <w:rsid w:val="020838AA"/>
    <w:rsid w:val="021B1C2D"/>
    <w:rsid w:val="0237332D"/>
    <w:rsid w:val="024E532B"/>
    <w:rsid w:val="02A85B8E"/>
    <w:rsid w:val="030C269E"/>
    <w:rsid w:val="03131215"/>
    <w:rsid w:val="031E7D40"/>
    <w:rsid w:val="035B2C30"/>
    <w:rsid w:val="038F3246"/>
    <w:rsid w:val="03A2177F"/>
    <w:rsid w:val="03AE1011"/>
    <w:rsid w:val="03B60CC7"/>
    <w:rsid w:val="042E7647"/>
    <w:rsid w:val="04A370C3"/>
    <w:rsid w:val="056B4BD9"/>
    <w:rsid w:val="066466EB"/>
    <w:rsid w:val="0707323A"/>
    <w:rsid w:val="07266E93"/>
    <w:rsid w:val="0784327E"/>
    <w:rsid w:val="07BC34EA"/>
    <w:rsid w:val="07ED25AB"/>
    <w:rsid w:val="08115214"/>
    <w:rsid w:val="088B5611"/>
    <w:rsid w:val="08A3429B"/>
    <w:rsid w:val="08AD38BB"/>
    <w:rsid w:val="08B14399"/>
    <w:rsid w:val="08DC7964"/>
    <w:rsid w:val="09073B29"/>
    <w:rsid w:val="0919432D"/>
    <w:rsid w:val="095252F1"/>
    <w:rsid w:val="09722CF3"/>
    <w:rsid w:val="097B66A0"/>
    <w:rsid w:val="099E320E"/>
    <w:rsid w:val="0A6A460C"/>
    <w:rsid w:val="0AEB0CC0"/>
    <w:rsid w:val="0B090C65"/>
    <w:rsid w:val="0C477A1B"/>
    <w:rsid w:val="0D3C7E10"/>
    <w:rsid w:val="0D3F666B"/>
    <w:rsid w:val="0D867FD2"/>
    <w:rsid w:val="0DF34121"/>
    <w:rsid w:val="0E0D14E3"/>
    <w:rsid w:val="0E9F7B05"/>
    <w:rsid w:val="0EC86F2E"/>
    <w:rsid w:val="0ECF556E"/>
    <w:rsid w:val="0EEE279D"/>
    <w:rsid w:val="0EFB013E"/>
    <w:rsid w:val="0EFE1EFE"/>
    <w:rsid w:val="0F171D2E"/>
    <w:rsid w:val="0F863EB5"/>
    <w:rsid w:val="0F8A4DCB"/>
    <w:rsid w:val="0FAB30AD"/>
    <w:rsid w:val="0FAC06FB"/>
    <w:rsid w:val="0FED4C89"/>
    <w:rsid w:val="10253755"/>
    <w:rsid w:val="112C1733"/>
    <w:rsid w:val="115C703C"/>
    <w:rsid w:val="11D82B0C"/>
    <w:rsid w:val="11D973CE"/>
    <w:rsid w:val="122F5A71"/>
    <w:rsid w:val="124F0712"/>
    <w:rsid w:val="129748A0"/>
    <w:rsid w:val="12C42315"/>
    <w:rsid w:val="12D02C6F"/>
    <w:rsid w:val="12D33486"/>
    <w:rsid w:val="138E003C"/>
    <w:rsid w:val="13900351"/>
    <w:rsid w:val="13C40CC5"/>
    <w:rsid w:val="13D065FE"/>
    <w:rsid w:val="13EF2BBB"/>
    <w:rsid w:val="1402223F"/>
    <w:rsid w:val="142C06B5"/>
    <w:rsid w:val="150F7F4A"/>
    <w:rsid w:val="15294D0A"/>
    <w:rsid w:val="15367DED"/>
    <w:rsid w:val="153E1F58"/>
    <w:rsid w:val="154F2725"/>
    <w:rsid w:val="15724181"/>
    <w:rsid w:val="159A7417"/>
    <w:rsid w:val="15D30EF9"/>
    <w:rsid w:val="1607111B"/>
    <w:rsid w:val="16192429"/>
    <w:rsid w:val="1655768C"/>
    <w:rsid w:val="1666740A"/>
    <w:rsid w:val="16827D74"/>
    <w:rsid w:val="168B72B9"/>
    <w:rsid w:val="16A71942"/>
    <w:rsid w:val="16AD328A"/>
    <w:rsid w:val="17676616"/>
    <w:rsid w:val="176F1FA2"/>
    <w:rsid w:val="178B1005"/>
    <w:rsid w:val="17917541"/>
    <w:rsid w:val="18094AE1"/>
    <w:rsid w:val="18416EBA"/>
    <w:rsid w:val="185564D2"/>
    <w:rsid w:val="18815049"/>
    <w:rsid w:val="18C30DF9"/>
    <w:rsid w:val="19476219"/>
    <w:rsid w:val="19617A70"/>
    <w:rsid w:val="1990454A"/>
    <w:rsid w:val="19CE1E43"/>
    <w:rsid w:val="1A63176C"/>
    <w:rsid w:val="1A872550"/>
    <w:rsid w:val="1B5C305F"/>
    <w:rsid w:val="1B7E6A65"/>
    <w:rsid w:val="1BB54B9A"/>
    <w:rsid w:val="1BD30F51"/>
    <w:rsid w:val="1CF11B62"/>
    <w:rsid w:val="1D075699"/>
    <w:rsid w:val="1D273357"/>
    <w:rsid w:val="1D880B04"/>
    <w:rsid w:val="1DD83193"/>
    <w:rsid w:val="1DEC214D"/>
    <w:rsid w:val="1DF82B4D"/>
    <w:rsid w:val="1E335751"/>
    <w:rsid w:val="1E4C141F"/>
    <w:rsid w:val="1E7357BA"/>
    <w:rsid w:val="1EAC55FA"/>
    <w:rsid w:val="1EC02078"/>
    <w:rsid w:val="1EFB2D62"/>
    <w:rsid w:val="1F45328E"/>
    <w:rsid w:val="1FD9380C"/>
    <w:rsid w:val="202562F3"/>
    <w:rsid w:val="20AA5E10"/>
    <w:rsid w:val="20B17287"/>
    <w:rsid w:val="213D67E1"/>
    <w:rsid w:val="21FA38E9"/>
    <w:rsid w:val="228E1861"/>
    <w:rsid w:val="22B230F5"/>
    <w:rsid w:val="22E57D3C"/>
    <w:rsid w:val="230C2E0B"/>
    <w:rsid w:val="23226964"/>
    <w:rsid w:val="232B4653"/>
    <w:rsid w:val="234B34D2"/>
    <w:rsid w:val="23761D26"/>
    <w:rsid w:val="23A673EF"/>
    <w:rsid w:val="241C3DBD"/>
    <w:rsid w:val="2440778B"/>
    <w:rsid w:val="24623368"/>
    <w:rsid w:val="247E592F"/>
    <w:rsid w:val="251C78ED"/>
    <w:rsid w:val="255D21CC"/>
    <w:rsid w:val="256A792A"/>
    <w:rsid w:val="256C1A42"/>
    <w:rsid w:val="258B6DBB"/>
    <w:rsid w:val="25B61B97"/>
    <w:rsid w:val="26295236"/>
    <w:rsid w:val="26465FF9"/>
    <w:rsid w:val="266F36FB"/>
    <w:rsid w:val="26702404"/>
    <w:rsid w:val="27072A02"/>
    <w:rsid w:val="27521046"/>
    <w:rsid w:val="27C60010"/>
    <w:rsid w:val="27F725B9"/>
    <w:rsid w:val="28720943"/>
    <w:rsid w:val="28B452AE"/>
    <w:rsid w:val="29443D90"/>
    <w:rsid w:val="295054AE"/>
    <w:rsid w:val="29720C00"/>
    <w:rsid w:val="299C6881"/>
    <w:rsid w:val="29A802D1"/>
    <w:rsid w:val="29AD2EE1"/>
    <w:rsid w:val="29FE2A64"/>
    <w:rsid w:val="2AD1245A"/>
    <w:rsid w:val="2AD46EA4"/>
    <w:rsid w:val="2AF0005A"/>
    <w:rsid w:val="2AF243FD"/>
    <w:rsid w:val="2B291D76"/>
    <w:rsid w:val="2B451FE0"/>
    <w:rsid w:val="2B5836EC"/>
    <w:rsid w:val="2B6106D0"/>
    <w:rsid w:val="2B8F774B"/>
    <w:rsid w:val="2B985AB8"/>
    <w:rsid w:val="2BF21C43"/>
    <w:rsid w:val="2C2A52BA"/>
    <w:rsid w:val="2C877887"/>
    <w:rsid w:val="2C95448D"/>
    <w:rsid w:val="2D2F2022"/>
    <w:rsid w:val="2D336387"/>
    <w:rsid w:val="2D5329E3"/>
    <w:rsid w:val="2D54790D"/>
    <w:rsid w:val="2DCB06B0"/>
    <w:rsid w:val="2DD13D97"/>
    <w:rsid w:val="2E6D5B2D"/>
    <w:rsid w:val="2EBB1B95"/>
    <w:rsid w:val="2EC247C4"/>
    <w:rsid w:val="2EFA2367"/>
    <w:rsid w:val="2F103B72"/>
    <w:rsid w:val="2FE973FB"/>
    <w:rsid w:val="303F05AC"/>
    <w:rsid w:val="30410972"/>
    <w:rsid w:val="30500E90"/>
    <w:rsid w:val="30525C5F"/>
    <w:rsid w:val="30533A58"/>
    <w:rsid w:val="308A57AA"/>
    <w:rsid w:val="30BB1CF8"/>
    <w:rsid w:val="30BB5EDD"/>
    <w:rsid w:val="310F3F02"/>
    <w:rsid w:val="31570944"/>
    <w:rsid w:val="318A15AC"/>
    <w:rsid w:val="31AB41E1"/>
    <w:rsid w:val="32165386"/>
    <w:rsid w:val="325F0B65"/>
    <w:rsid w:val="326014C4"/>
    <w:rsid w:val="326F0ED5"/>
    <w:rsid w:val="327350F6"/>
    <w:rsid w:val="328714AE"/>
    <w:rsid w:val="32D7610B"/>
    <w:rsid w:val="32F72E41"/>
    <w:rsid w:val="330C71D1"/>
    <w:rsid w:val="33143FC8"/>
    <w:rsid w:val="336358D9"/>
    <w:rsid w:val="33774496"/>
    <w:rsid w:val="33C452B2"/>
    <w:rsid w:val="341A5088"/>
    <w:rsid w:val="342F584A"/>
    <w:rsid w:val="34FB1C79"/>
    <w:rsid w:val="353B3129"/>
    <w:rsid w:val="35CC4D13"/>
    <w:rsid w:val="36255E4F"/>
    <w:rsid w:val="36903550"/>
    <w:rsid w:val="36C05BD1"/>
    <w:rsid w:val="36CD08F8"/>
    <w:rsid w:val="373A273E"/>
    <w:rsid w:val="374B175A"/>
    <w:rsid w:val="37A961C0"/>
    <w:rsid w:val="38107FE5"/>
    <w:rsid w:val="381F767C"/>
    <w:rsid w:val="382B2549"/>
    <w:rsid w:val="38461603"/>
    <w:rsid w:val="39222680"/>
    <w:rsid w:val="398053FB"/>
    <w:rsid w:val="3A1C3C0B"/>
    <w:rsid w:val="3A1E198A"/>
    <w:rsid w:val="3A3A2631"/>
    <w:rsid w:val="3A3B7BE3"/>
    <w:rsid w:val="3A9716DE"/>
    <w:rsid w:val="3AC9695A"/>
    <w:rsid w:val="3AF85CE1"/>
    <w:rsid w:val="3B051153"/>
    <w:rsid w:val="3B7859CC"/>
    <w:rsid w:val="3B7D14BC"/>
    <w:rsid w:val="3BCA2C0C"/>
    <w:rsid w:val="3BE21827"/>
    <w:rsid w:val="3BEB2DD8"/>
    <w:rsid w:val="3C921B51"/>
    <w:rsid w:val="3CAD1E59"/>
    <w:rsid w:val="3CB23F5C"/>
    <w:rsid w:val="3CBC67D0"/>
    <w:rsid w:val="3CBF4604"/>
    <w:rsid w:val="3CDF1437"/>
    <w:rsid w:val="3CDF50C7"/>
    <w:rsid w:val="3D4F6AA6"/>
    <w:rsid w:val="3D552149"/>
    <w:rsid w:val="3D687839"/>
    <w:rsid w:val="3DB97BCD"/>
    <w:rsid w:val="3E0F3D59"/>
    <w:rsid w:val="3E1A23B7"/>
    <w:rsid w:val="3E4E6A2E"/>
    <w:rsid w:val="3E7E7BE7"/>
    <w:rsid w:val="3EF02096"/>
    <w:rsid w:val="3F0E0678"/>
    <w:rsid w:val="3F406FF3"/>
    <w:rsid w:val="3FC111C3"/>
    <w:rsid w:val="3FD831C4"/>
    <w:rsid w:val="400715EB"/>
    <w:rsid w:val="40A73372"/>
    <w:rsid w:val="40D4508A"/>
    <w:rsid w:val="420662CD"/>
    <w:rsid w:val="422C5D09"/>
    <w:rsid w:val="42A32CF7"/>
    <w:rsid w:val="42C956A1"/>
    <w:rsid w:val="43135713"/>
    <w:rsid w:val="43213F8D"/>
    <w:rsid w:val="43E611F9"/>
    <w:rsid w:val="44021DA2"/>
    <w:rsid w:val="440F1896"/>
    <w:rsid w:val="44542DC9"/>
    <w:rsid w:val="445A0892"/>
    <w:rsid w:val="447741C3"/>
    <w:rsid w:val="44B1314D"/>
    <w:rsid w:val="44B4272F"/>
    <w:rsid w:val="44F91F3F"/>
    <w:rsid w:val="455E599F"/>
    <w:rsid w:val="45653DE5"/>
    <w:rsid w:val="456D7F33"/>
    <w:rsid w:val="45CE63B8"/>
    <w:rsid w:val="45D275B4"/>
    <w:rsid w:val="463100B9"/>
    <w:rsid w:val="4655729F"/>
    <w:rsid w:val="46E41BA8"/>
    <w:rsid w:val="475C24BF"/>
    <w:rsid w:val="47727F4F"/>
    <w:rsid w:val="481F1144"/>
    <w:rsid w:val="485543CD"/>
    <w:rsid w:val="486C47D7"/>
    <w:rsid w:val="48992DAE"/>
    <w:rsid w:val="48B81F40"/>
    <w:rsid w:val="48C805A7"/>
    <w:rsid w:val="48CA4F91"/>
    <w:rsid w:val="491646DC"/>
    <w:rsid w:val="49171FFE"/>
    <w:rsid w:val="49747477"/>
    <w:rsid w:val="498A4B10"/>
    <w:rsid w:val="4A485811"/>
    <w:rsid w:val="4AA11B27"/>
    <w:rsid w:val="4B5B7507"/>
    <w:rsid w:val="4B6310FB"/>
    <w:rsid w:val="4B674E60"/>
    <w:rsid w:val="4B8F056F"/>
    <w:rsid w:val="4C3F4A6C"/>
    <w:rsid w:val="4C8E72C6"/>
    <w:rsid w:val="4C95692B"/>
    <w:rsid w:val="4C961B26"/>
    <w:rsid w:val="4C9C7299"/>
    <w:rsid w:val="4D93772A"/>
    <w:rsid w:val="4DBB5078"/>
    <w:rsid w:val="4DCD584A"/>
    <w:rsid w:val="4DE37340"/>
    <w:rsid w:val="4E21213B"/>
    <w:rsid w:val="4E5F34BC"/>
    <w:rsid w:val="4E9C2524"/>
    <w:rsid w:val="4EA32775"/>
    <w:rsid w:val="4F0A247B"/>
    <w:rsid w:val="4F9641A2"/>
    <w:rsid w:val="4FA263C6"/>
    <w:rsid w:val="4FED3576"/>
    <w:rsid w:val="50217391"/>
    <w:rsid w:val="50546B58"/>
    <w:rsid w:val="511443ED"/>
    <w:rsid w:val="517D3889"/>
    <w:rsid w:val="52805E8F"/>
    <w:rsid w:val="53347F13"/>
    <w:rsid w:val="53A960BA"/>
    <w:rsid w:val="541A67E0"/>
    <w:rsid w:val="54E13CB5"/>
    <w:rsid w:val="54EC126A"/>
    <w:rsid w:val="557F3960"/>
    <w:rsid w:val="55860A34"/>
    <w:rsid w:val="55A342BE"/>
    <w:rsid w:val="55C74120"/>
    <w:rsid w:val="55D27198"/>
    <w:rsid w:val="56490C09"/>
    <w:rsid w:val="56AC332C"/>
    <w:rsid w:val="56BA3291"/>
    <w:rsid w:val="56BD58E6"/>
    <w:rsid w:val="5743149C"/>
    <w:rsid w:val="57D402A4"/>
    <w:rsid w:val="57F75401"/>
    <w:rsid w:val="58146B36"/>
    <w:rsid w:val="5864104B"/>
    <w:rsid w:val="58900DE9"/>
    <w:rsid w:val="58906E90"/>
    <w:rsid w:val="58A23EE1"/>
    <w:rsid w:val="58FC5DA4"/>
    <w:rsid w:val="5910200C"/>
    <w:rsid w:val="591052FC"/>
    <w:rsid w:val="599724E9"/>
    <w:rsid w:val="59ED227E"/>
    <w:rsid w:val="59FF4F9D"/>
    <w:rsid w:val="5A170CAF"/>
    <w:rsid w:val="5A1C6208"/>
    <w:rsid w:val="5A2D6015"/>
    <w:rsid w:val="5A72172F"/>
    <w:rsid w:val="5AB47A40"/>
    <w:rsid w:val="5B77118B"/>
    <w:rsid w:val="5B9D40B1"/>
    <w:rsid w:val="5BCE570C"/>
    <w:rsid w:val="5BDA2623"/>
    <w:rsid w:val="5BFF4B91"/>
    <w:rsid w:val="5C0546F2"/>
    <w:rsid w:val="5C3E7FE6"/>
    <w:rsid w:val="5C40730C"/>
    <w:rsid w:val="5C592815"/>
    <w:rsid w:val="5D56381C"/>
    <w:rsid w:val="5D7A1A3B"/>
    <w:rsid w:val="5D845C8F"/>
    <w:rsid w:val="5DB711D7"/>
    <w:rsid w:val="5E200E86"/>
    <w:rsid w:val="5E361AEE"/>
    <w:rsid w:val="5E6E1402"/>
    <w:rsid w:val="5E786441"/>
    <w:rsid w:val="5EA72C09"/>
    <w:rsid w:val="5F1F0A45"/>
    <w:rsid w:val="5F29507D"/>
    <w:rsid w:val="5F356035"/>
    <w:rsid w:val="5F9565D5"/>
    <w:rsid w:val="5FBA22B7"/>
    <w:rsid w:val="5FD3348F"/>
    <w:rsid w:val="60897390"/>
    <w:rsid w:val="608C5173"/>
    <w:rsid w:val="60FB1E04"/>
    <w:rsid w:val="612B3011"/>
    <w:rsid w:val="61B07FF4"/>
    <w:rsid w:val="62BA00B1"/>
    <w:rsid w:val="63070DDF"/>
    <w:rsid w:val="63570DCA"/>
    <w:rsid w:val="638206C9"/>
    <w:rsid w:val="639A1083"/>
    <w:rsid w:val="639E557D"/>
    <w:rsid w:val="63D04B70"/>
    <w:rsid w:val="63E82DB5"/>
    <w:rsid w:val="63F20142"/>
    <w:rsid w:val="64332CD4"/>
    <w:rsid w:val="647E465A"/>
    <w:rsid w:val="64971157"/>
    <w:rsid w:val="64A61BC1"/>
    <w:rsid w:val="64D158E5"/>
    <w:rsid w:val="656E5975"/>
    <w:rsid w:val="659375C8"/>
    <w:rsid w:val="65A429CC"/>
    <w:rsid w:val="65E93EB0"/>
    <w:rsid w:val="66330ABE"/>
    <w:rsid w:val="666418C0"/>
    <w:rsid w:val="66C47C0C"/>
    <w:rsid w:val="66F560BA"/>
    <w:rsid w:val="67014FDF"/>
    <w:rsid w:val="6707604C"/>
    <w:rsid w:val="67964BD3"/>
    <w:rsid w:val="67A77C64"/>
    <w:rsid w:val="67AA6956"/>
    <w:rsid w:val="67AD6FE7"/>
    <w:rsid w:val="67D4371A"/>
    <w:rsid w:val="683156C2"/>
    <w:rsid w:val="68BD135B"/>
    <w:rsid w:val="690C072F"/>
    <w:rsid w:val="69F81E00"/>
    <w:rsid w:val="6A34507A"/>
    <w:rsid w:val="6A932257"/>
    <w:rsid w:val="6A9A19E7"/>
    <w:rsid w:val="6AEF6C9C"/>
    <w:rsid w:val="6AFE13F2"/>
    <w:rsid w:val="6B072898"/>
    <w:rsid w:val="6B142F59"/>
    <w:rsid w:val="6B1905BE"/>
    <w:rsid w:val="6B3967E5"/>
    <w:rsid w:val="6B4514CF"/>
    <w:rsid w:val="6B5546C3"/>
    <w:rsid w:val="6BC679CE"/>
    <w:rsid w:val="6BCF56B8"/>
    <w:rsid w:val="6C076C3B"/>
    <w:rsid w:val="6C767E9C"/>
    <w:rsid w:val="6CA869A0"/>
    <w:rsid w:val="6D252046"/>
    <w:rsid w:val="6D873C33"/>
    <w:rsid w:val="6D965D6B"/>
    <w:rsid w:val="6E0B53FF"/>
    <w:rsid w:val="6E197F2E"/>
    <w:rsid w:val="6E5B22BA"/>
    <w:rsid w:val="6EB81E4D"/>
    <w:rsid w:val="6EF6767D"/>
    <w:rsid w:val="6F5678DF"/>
    <w:rsid w:val="6F632DDE"/>
    <w:rsid w:val="6F6600B0"/>
    <w:rsid w:val="6FCA2AFF"/>
    <w:rsid w:val="6FE963C0"/>
    <w:rsid w:val="70173D6E"/>
    <w:rsid w:val="70862637"/>
    <w:rsid w:val="70A12EE5"/>
    <w:rsid w:val="70A66EF9"/>
    <w:rsid w:val="714C02D4"/>
    <w:rsid w:val="71A72EE6"/>
    <w:rsid w:val="723B6885"/>
    <w:rsid w:val="728508EF"/>
    <w:rsid w:val="72E8084F"/>
    <w:rsid w:val="72EA3945"/>
    <w:rsid w:val="73761244"/>
    <w:rsid w:val="738B6C00"/>
    <w:rsid w:val="73BA1544"/>
    <w:rsid w:val="74242E2E"/>
    <w:rsid w:val="748B6FA1"/>
    <w:rsid w:val="749E2C18"/>
    <w:rsid w:val="74EC7FFD"/>
    <w:rsid w:val="751F60DE"/>
    <w:rsid w:val="75335C52"/>
    <w:rsid w:val="755E5F02"/>
    <w:rsid w:val="7576277E"/>
    <w:rsid w:val="764657F8"/>
    <w:rsid w:val="76580EC8"/>
    <w:rsid w:val="76EA0760"/>
    <w:rsid w:val="77060D6B"/>
    <w:rsid w:val="770E1FA3"/>
    <w:rsid w:val="770F2301"/>
    <w:rsid w:val="775E29C5"/>
    <w:rsid w:val="77B61584"/>
    <w:rsid w:val="783C1666"/>
    <w:rsid w:val="79B95A5D"/>
    <w:rsid w:val="79D33FB3"/>
    <w:rsid w:val="79D41E33"/>
    <w:rsid w:val="79D6176A"/>
    <w:rsid w:val="7A542332"/>
    <w:rsid w:val="7A801114"/>
    <w:rsid w:val="7B08688A"/>
    <w:rsid w:val="7BC45B47"/>
    <w:rsid w:val="7C8909CB"/>
    <w:rsid w:val="7CA52E5D"/>
    <w:rsid w:val="7D027C20"/>
    <w:rsid w:val="7D175F50"/>
    <w:rsid w:val="7D5C1F48"/>
    <w:rsid w:val="7D9D7AFF"/>
    <w:rsid w:val="7DAB32B6"/>
    <w:rsid w:val="7DD97E18"/>
    <w:rsid w:val="7DFB1FAF"/>
    <w:rsid w:val="7EBF4E69"/>
    <w:rsid w:val="7EC42691"/>
    <w:rsid w:val="7EFF7672"/>
    <w:rsid w:val="7F082D7B"/>
    <w:rsid w:val="7F514E52"/>
    <w:rsid w:val="7FAC4FAE"/>
    <w:rsid w:val="7FC92A3F"/>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3" w:firstLineChars="200"/>
      <w:jc w:val="both"/>
    </w:pPr>
    <w:rPr>
      <w:rFonts w:ascii="Times New Roman" w:hAnsi="Times New Roman" w:eastAsia="仿宋_GB2312" w:cstheme="minorBidi"/>
      <w:kern w:val="2"/>
      <w:sz w:val="28"/>
      <w:szCs w:val="22"/>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link w:val="31"/>
    <w:unhideWhenUsed/>
    <w:qFormat/>
    <w:uiPriority w:val="0"/>
    <w:pPr>
      <w:keepNext/>
      <w:keepLines/>
      <w:numPr>
        <w:ilvl w:val="0"/>
        <w:numId w:val="1"/>
      </w:numPr>
      <w:spacing w:before="20" w:after="20"/>
      <w:ind w:firstLine="0" w:firstLineChars="0"/>
      <w:outlineLvl w:val="1"/>
    </w:pPr>
    <w:rPr>
      <w:rFonts w:ascii="Arial" w:hAnsi="Arial" w:eastAsia="宋体"/>
      <w:b/>
      <w:szCs w:val="2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2"/>
    <w:qFormat/>
    <w:uiPriority w:val="0"/>
  </w:style>
  <w:style w:type="paragraph" w:styleId="5">
    <w:name w:val="annotation text"/>
    <w:basedOn w:val="1"/>
    <w:link w:val="27"/>
    <w:qFormat/>
    <w:uiPriority w:val="0"/>
    <w:pPr>
      <w:ind w:firstLine="800"/>
      <w:jc w:val="left"/>
    </w:pPr>
    <w:rPr>
      <w:rFonts w:eastAsia="宋体" w:asciiTheme="minorHAnsi" w:hAnsiTheme="minorHAnsi"/>
      <w:szCs w:val="24"/>
    </w:rPr>
  </w:style>
  <w:style w:type="paragraph" w:styleId="6">
    <w:name w:val="Body Text Indent"/>
    <w:basedOn w:val="1"/>
    <w:semiHidden/>
    <w:qFormat/>
    <w:uiPriority w:val="0"/>
    <w:pPr>
      <w:spacing w:line="360" w:lineRule="auto"/>
      <w:ind w:firstLine="480" w:firstLineChars="200"/>
    </w:pPr>
    <w:rPr>
      <w:sz w:val="24"/>
    </w:rPr>
  </w:style>
  <w:style w:type="paragraph" w:styleId="7">
    <w:name w:val="Date"/>
    <w:basedOn w:val="1"/>
    <w:next w:val="1"/>
    <w:link w:val="26"/>
    <w:semiHidden/>
    <w:unhideWhenUsed/>
    <w:qFormat/>
    <w:uiPriority w:val="99"/>
    <w:pPr>
      <w:ind w:left="100" w:leftChars="2500"/>
    </w:pPr>
  </w:style>
  <w:style w:type="paragraph" w:styleId="8">
    <w:name w:val="Balloon Text"/>
    <w:basedOn w:val="1"/>
    <w:link w:val="25"/>
    <w:semiHidden/>
    <w:unhideWhenUsed/>
    <w:qFormat/>
    <w:uiPriority w:val="99"/>
    <w:pPr>
      <w:spacing w:line="240" w:lineRule="auto"/>
    </w:pPr>
    <w:rPr>
      <w:sz w:val="18"/>
      <w:szCs w:val="18"/>
    </w:rPr>
  </w:style>
  <w:style w:type="paragraph" w:styleId="9">
    <w:name w:val="footer"/>
    <w:basedOn w:val="1"/>
    <w:link w:val="24"/>
    <w:unhideWhenUsed/>
    <w:qFormat/>
    <w:uiPriority w:val="99"/>
    <w:pPr>
      <w:tabs>
        <w:tab w:val="center" w:pos="4153"/>
        <w:tab w:val="right" w:pos="8306"/>
      </w:tabs>
      <w:snapToGrid w:val="0"/>
      <w:spacing w:line="240" w:lineRule="auto"/>
      <w:jc w:val="left"/>
    </w:pPr>
    <w:rPr>
      <w:sz w:val="18"/>
      <w:szCs w:val="18"/>
    </w:rPr>
  </w:style>
  <w:style w:type="paragraph" w:styleId="10">
    <w:name w:val="header"/>
    <w:basedOn w:val="1"/>
    <w:link w:val="23"/>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1">
    <w:name w:val="toc 1"/>
    <w:basedOn w:val="1"/>
    <w:next w:val="1"/>
    <w:unhideWhenUsed/>
    <w:qFormat/>
    <w:uiPriority w:val="39"/>
    <w:pPr>
      <w:tabs>
        <w:tab w:val="right" w:leader="dot" w:pos="8296"/>
      </w:tabs>
      <w:ind w:firstLine="560"/>
      <w:jc w:val="center"/>
    </w:pPr>
  </w:style>
  <w:style w:type="paragraph" w:styleId="12">
    <w:name w:val="toc 2"/>
    <w:basedOn w:val="1"/>
    <w:next w:val="1"/>
    <w:unhideWhenUsed/>
    <w:qFormat/>
    <w:uiPriority w:val="39"/>
    <w:pPr>
      <w:ind w:left="420" w:leftChars="200"/>
    </w:pPr>
  </w:style>
  <w:style w:type="paragraph" w:styleId="13">
    <w:name w:val="annotation subject"/>
    <w:basedOn w:val="5"/>
    <w:next w:val="5"/>
    <w:link w:val="30"/>
    <w:semiHidden/>
    <w:unhideWhenUsed/>
    <w:qFormat/>
    <w:uiPriority w:val="99"/>
    <w:pPr>
      <w:ind w:firstLine="883"/>
    </w:pPr>
    <w:rPr>
      <w:rFonts w:ascii="Times New Roman" w:hAnsi="Times New Roman" w:eastAsia="仿宋_GB2312"/>
      <w:b/>
      <w:bCs/>
      <w:szCs w:val="22"/>
    </w:rPr>
  </w:style>
  <w:style w:type="paragraph" w:styleId="14">
    <w:name w:val="Body Text First Indent 2"/>
    <w:basedOn w:val="6"/>
    <w:next w:val="1"/>
    <w:qFormat/>
    <w:uiPriority w:val="0"/>
    <w:pPr>
      <w:ind w:firstLine="420" w:firstLineChars="2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styleId="19">
    <w:name w:val="Emphasis"/>
    <w:basedOn w:val="17"/>
    <w:qFormat/>
    <w:uiPriority w:val="20"/>
    <w:rPr>
      <w:i/>
    </w:rPr>
  </w:style>
  <w:style w:type="character" w:styleId="20">
    <w:name w:val="Hyperlink"/>
    <w:basedOn w:val="17"/>
    <w:unhideWhenUsed/>
    <w:qFormat/>
    <w:uiPriority w:val="99"/>
    <w:rPr>
      <w:color w:val="0000FF" w:themeColor="hyperlink"/>
      <w:u w:val="single"/>
      <w14:textFill>
        <w14:solidFill>
          <w14:schemeClr w14:val="hlink"/>
        </w14:solidFill>
      </w14:textFill>
    </w:rPr>
  </w:style>
  <w:style w:type="character" w:styleId="21">
    <w:name w:val="annotation reference"/>
    <w:basedOn w:val="17"/>
    <w:qFormat/>
    <w:uiPriority w:val="0"/>
    <w:rPr>
      <w:sz w:val="21"/>
      <w:szCs w:val="21"/>
    </w:rPr>
  </w:style>
  <w:style w:type="character" w:customStyle="1" w:styleId="22">
    <w:name w:val="正文文本 Char"/>
    <w:basedOn w:val="17"/>
    <w:link w:val="2"/>
    <w:qFormat/>
    <w:uiPriority w:val="0"/>
    <w:rPr>
      <w:rFonts w:ascii="Times New Roman" w:hAnsi="Times New Roman" w:eastAsia="仿宋_GB2312"/>
      <w:sz w:val="28"/>
    </w:rPr>
  </w:style>
  <w:style w:type="character" w:customStyle="1" w:styleId="23">
    <w:name w:val="页眉 Char"/>
    <w:basedOn w:val="17"/>
    <w:link w:val="10"/>
    <w:qFormat/>
    <w:uiPriority w:val="99"/>
    <w:rPr>
      <w:rFonts w:ascii="Times New Roman" w:hAnsi="Times New Roman" w:eastAsia="仿宋_GB2312"/>
      <w:sz w:val="18"/>
      <w:szCs w:val="18"/>
    </w:rPr>
  </w:style>
  <w:style w:type="character" w:customStyle="1" w:styleId="24">
    <w:name w:val="页脚 Char"/>
    <w:basedOn w:val="17"/>
    <w:link w:val="9"/>
    <w:qFormat/>
    <w:uiPriority w:val="99"/>
    <w:rPr>
      <w:rFonts w:ascii="Times New Roman" w:hAnsi="Times New Roman" w:eastAsia="仿宋_GB2312"/>
      <w:sz w:val="18"/>
      <w:szCs w:val="18"/>
    </w:rPr>
  </w:style>
  <w:style w:type="character" w:customStyle="1" w:styleId="25">
    <w:name w:val="批注框文本 Char"/>
    <w:basedOn w:val="17"/>
    <w:link w:val="8"/>
    <w:semiHidden/>
    <w:qFormat/>
    <w:uiPriority w:val="99"/>
    <w:rPr>
      <w:rFonts w:ascii="Times New Roman" w:hAnsi="Times New Roman" w:eastAsia="仿宋_GB2312"/>
      <w:sz w:val="18"/>
      <w:szCs w:val="18"/>
    </w:rPr>
  </w:style>
  <w:style w:type="character" w:customStyle="1" w:styleId="26">
    <w:name w:val="日期 Char"/>
    <w:basedOn w:val="17"/>
    <w:link w:val="7"/>
    <w:semiHidden/>
    <w:qFormat/>
    <w:uiPriority w:val="99"/>
    <w:rPr>
      <w:rFonts w:ascii="Times New Roman" w:hAnsi="Times New Roman" w:eastAsia="仿宋_GB2312"/>
      <w:sz w:val="28"/>
    </w:rPr>
  </w:style>
  <w:style w:type="character" w:customStyle="1" w:styleId="27">
    <w:name w:val="批注文字 Char"/>
    <w:basedOn w:val="17"/>
    <w:link w:val="5"/>
    <w:qFormat/>
    <w:uiPriority w:val="0"/>
    <w:rPr>
      <w:rFonts w:eastAsia="宋体"/>
      <w:sz w:val="28"/>
      <w:szCs w:val="24"/>
    </w:rPr>
  </w:style>
  <w:style w:type="paragraph" w:customStyle="1" w:styleId="28">
    <w:name w:val="大标题"/>
    <w:basedOn w:val="1"/>
    <w:qFormat/>
    <w:uiPriority w:val="0"/>
    <w:pPr>
      <w:ind w:firstLine="0" w:firstLineChars="0"/>
      <w:jc w:val="center"/>
    </w:pPr>
    <w:rPr>
      <w:rFonts w:eastAsia="微软雅黑" w:asciiTheme="minorHAnsi" w:hAnsiTheme="minorHAnsi"/>
      <w:b/>
      <w:sz w:val="44"/>
      <w:szCs w:val="24"/>
    </w:rPr>
  </w:style>
  <w:style w:type="paragraph" w:styleId="29">
    <w:name w:val="List Paragraph"/>
    <w:basedOn w:val="1"/>
    <w:unhideWhenUsed/>
    <w:qFormat/>
    <w:uiPriority w:val="99"/>
    <w:pPr>
      <w:ind w:firstLine="420"/>
    </w:pPr>
    <w:rPr>
      <w:rFonts w:eastAsia="宋体" w:asciiTheme="minorHAnsi" w:hAnsiTheme="minorHAnsi"/>
      <w:szCs w:val="24"/>
    </w:rPr>
  </w:style>
  <w:style w:type="character" w:customStyle="1" w:styleId="30">
    <w:name w:val="批注主题 Char"/>
    <w:basedOn w:val="27"/>
    <w:link w:val="13"/>
    <w:semiHidden/>
    <w:qFormat/>
    <w:uiPriority w:val="99"/>
    <w:rPr>
      <w:rFonts w:ascii="Times New Roman" w:hAnsi="Times New Roman" w:eastAsia="仿宋_GB2312"/>
      <w:b/>
      <w:bCs/>
    </w:rPr>
  </w:style>
  <w:style w:type="character" w:customStyle="1" w:styleId="31">
    <w:name w:val="标题 2 Char"/>
    <w:basedOn w:val="17"/>
    <w:link w:val="4"/>
    <w:qFormat/>
    <w:uiPriority w:val="0"/>
    <w:rPr>
      <w:rFonts w:ascii="Arial" w:hAnsi="Arial" w:eastAsia="宋体"/>
      <w:b/>
      <w:sz w:val="28"/>
      <w:szCs w:val="24"/>
    </w:rPr>
  </w:style>
  <w:style w:type="paragraph" w:customStyle="1" w:styleId="32">
    <w:name w:val="正文格式"/>
    <w:basedOn w:val="1"/>
    <w:qFormat/>
    <w:uiPriority w:val="0"/>
    <w:pPr>
      <w:ind w:firstLine="560"/>
    </w:pPr>
    <w:rPr>
      <w:kern w:val="0"/>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GIF"/><Relationship Id="rId15" Type="http://schemas.openxmlformats.org/officeDocument/2006/relationships/image" Target="media/image4.GIF"/><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C5B494-57B1-4B29-B210-953C1F5BB76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10234</Words>
  <Characters>10850</Characters>
  <Lines>92</Lines>
  <Paragraphs>25</Paragraphs>
  <TotalTime>3</TotalTime>
  <ScaleCrop>false</ScaleCrop>
  <LinksUpToDate>false</LinksUpToDate>
  <CharactersWithSpaces>10909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2021-02-03T02:27:00Z</dcterms:created>
  <dc:creator>ghy</dc:creator>
  <cp:lastModifiedBy>水易</cp:lastModifiedBy>
  <cp:lastPrinted>2022-12-15T08:30:00Z</cp:lastPrinted>
  <dcterms:modified xsi:type="dcterms:W3CDTF">2022-12-16T02:18:48Z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3FE2760140C24F01A09F1F6F86B47DCF</vt:lpwstr>
  </property>
</Properties>
</file>