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E3764">
      <w:pPr>
        <w:keepNext w:val="0"/>
        <w:keepLines w:val="0"/>
        <w:pageBreakBefore w:val="0"/>
        <w:widowControl/>
        <w:kinsoku/>
        <w:wordWrap/>
        <w:overflowPunct/>
        <w:topLinePunct w:val="0"/>
        <w:bidi w:val="0"/>
        <w:adjustRightInd w:val="0"/>
        <w:snapToGrid w:val="0"/>
        <w:spacing w:line="580" w:lineRule="exact"/>
        <w:jc w:val="both"/>
        <w:rPr>
          <w:rFonts w:hint="eastAsia" w:ascii="Times New Roman" w:hAnsi="Times New Roman" w:cs="Times New Roman"/>
          <w:lang w:val="en-US" w:eastAsia="zh-CN"/>
        </w:rPr>
      </w:pPr>
    </w:p>
    <w:p w14:paraId="5D725F6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7327239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0ADBD7C2">
      <w:pPr>
        <w:pStyle w:val="3"/>
        <w:pageBreakBefore w:val="0"/>
        <w:wordWrap/>
        <w:overflowPunct/>
        <w:topLinePunct w:val="0"/>
        <w:bidi w:val="0"/>
        <w:spacing w:line="580" w:lineRule="exact"/>
      </w:pPr>
    </w:p>
    <w:p w14:paraId="563473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eastAsia="仿宋_GB2312"/>
          <w:sz w:val="32"/>
          <w:szCs w:val="32"/>
        </w:rPr>
      </w:pPr>
    </w:p>
    <w:p w14:paraId="2160FF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sz w:val="32"/>
          <w:szCs w:val="32"/>
        </w:rPr>
      </w:pPr>
    </w:p>
    <w:p w14:paraId="5D99A397">
      <w:pPr>
        <w:spacing w:line="570" w:lineRule="exact"/>
        <w:jc w:val="center"/>
        <w:rPr>
          <w:rFonts w:hint="default" w:ascii="仿宋_GB2312" w:eastAsia="仿宋_GB2312"/>
          <w:sz w:val="32"/>
          <w:szCs w:val="32"/>
          <w:lang w:val="en-US"/>
        </w:rPr>
      </w:pPr>
      <w:r>
        <w:rPr>
          <w:rFonts w:hint="eastAsia" w:ascii="仿宋_GB2312" w:eastAsia="仿宋_GB2312"/>
          <w:sz w:val="32"/>
          <w:szCs w:val="32"/>
        </w:rPr>
        <w:t>德城管</w:t>
      </w:r>
      <w:r>
        <w:rPr>
          <w:rFonts w:hint="eastAsia" w:ascii="仿宋_GB2312" w:eastAsia="仿宋_GB2312"/>
          <w:sz w:val="32"/>
          <w:szCs w:val="32"/>
          <w:lang w:val="en-US" w:eastAsia="zh-CN"/>
        </w:rPr>
        <w:t>执法函</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sz w:val="32"/>
          <w:szCs w:val="32"/>
          <w:lang w:val="en-US" w:eastAsia="zh-CN"/>
        </w:rPr>
        <w:t>91号</w:t>
      </w:r>
    </w:p>
    <w:p w14:paraId="054E05DC">
      <w:pPr>
        <w:keepNext w:val="0"/>
        <w:keepLines w:val="0"/>
        <w:pageBreakBefore w:val="0"/>
        <w:widowControl w:val="0"/>
        <w:kinsoku/>
        <w:wordWrap/>
        <w:overflowPunct/>
        <w:topLinePunct w:val="0"/>
        <w:autoSpaceDE/>
        <w:autoSpaceDN/>
        <w:bidi w:val="0"/>
        <w:adjustRightInd/>
        <w:snapToGrid/>
        <w:spacing w:line="720" w:lineRule="exact"/>
        <w:jc w:val="right"/>
        <w:textAlignment w:val="auto"/>
        <w:rPr>
          <w:rFonts w:hint="default" w:ascii="仿宋_GB2312" w:hAnsi="仿宋" w:eastAsia="仿宋_GB2312"/>
          <w:sz w:val="32"/>
          <w:szCs w:val="32"/>
          <w:lang w:val="en-US"/>
        </w:rPr>
      </w:pPr>
      <w:r>
        <w:rPr>
          <w:rFonts w:hint="eastAsia"/>
          <w:lang w:val="en-US" w:eastAsia="zh-CN"/>
        </w:rPr>
        <w:t xml:space="preserve">                                                   </w:t>
      </w:r>
      <w:r>
        <w:rPr>
          <w:rFonts w:hint="eastAsia" w:ascii="仿宋_GB2312" w:hAnsi="仿宋_GB2312" w:eastAsia="仿宋_GB2312" w:cs="仿宋_GB2312"/>
          <w:sz w:val="32"/>
          <w:szCs w:val="32"/>
        </w:rPr>
        <w:t>答复类型:</w:t>
      </w:r>
      <w:r>
        <w:rPr>
          <w:rFonts w:hint="eastAsia" w:ascii="仿宋_GB2312" w:hAnsi="仿宋_GB2312" w:eastAsia="仿宋_GB2312" w:cs="仿宋_GB2312"/>
          <w:sz w:val="32"/>
          <w:szCs w:val="32"/>
          <w:lang w:val="en-US" w:eastAsia="zh-CN"/>
        </w:rPr>
        <w:t>A</w:t>
      </w:r>
    </w:p>
    <w:p w14:paraId="7F34D4A6">
      <w:pPr>
        <w:keepNext w:val="0"/>
        <w:keepLines w:val="0"/>
        <w:pageBreakBefore w:val="0"/>
        <w:wordWrap/>
        <w:overflowPunct/>
        <w:topLinePunct w:val="0"/>
        <w:bidi w:val="0"/>
        <w:spacing w:line="600" w:lineRule="exact"/>
        <w:jc w:val="both"/>
        <w:rPr>
          <w:rFonts w:hint="eastAsia" w:ascii="宋体" w:hAnsi="宋体"/>
          <w:b/>
          <w:bCs/>
          <w:sz w:val="44"/>
          <w:szCs w:val="44"/>
        </w:rPr>
      </w:pPr>
    </w:p>
    <w:p w14:paraId="686C4327">
      <w:pPr>
        <w:keepNext w:val="0"/>
        <w:keepLines w:val="0"/>
        <w:pageBreakBefore w:val="0"/>
        <w:widowControl/>
        <w:kinsoku w:val="0"/>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关于德化县十九届人大</w:t>
      </w:r>
      <w:r>
        <w:rPr>
          <w:rFonts w:hint="eastAsia" w:ascii="方正小标宋简体" w:hAnsi="方正小标宋简体" w:eastAsia="方正小标宋简体" w:cs="方正小标宋简体"/>
          <w:b w:val="0"/>
          <w:bCs w:val="0"/>
          <w:sz w:val="44"/>
          <w:szCs w:val="44"/>
          <w:lang w:eastAsia="zh-CN"/>
        </w:rPr>
        <w:t>六</w:t>
      </w:r>
      <w:r>
        <w:rPr>
          <w:rFonts w:hint="eastAsia" w:ascii="方正小标宋简体" w:hAnsi="方正小标宋简体" w:eastAsia="方正小标宋简体" w:cs="方正小标宋简体"/>
          <w:b w:val="0"/>
          <w:bCs w:val="0"/>
          <w:sz w:val="44"/>
          <w:szCs w:val="44"/>
        </w:rPr>
        <w:t>次会议</w:t>
      </w:r>
    </w:p>
    <w:p w14:paraId="7B989344">
      <w:pPr>
        <w:keepNext w:val="0"/>
        <w:keepLines w:val="0"/>
        <w:pageBreakBefore w:val="0"/>
        <w:widowControl/>
        <w:kinsoku w:val="0"/>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第</w:t>
      </w:r>
      <w:r>
        <w:rPr>
          <w:rFonts w:hint="eastAsia" w:ascii="方正小标宋简体" w:hAnsi="方正小标宋简体" w:eastAsia="方正小标宋简体" w:cs="方正小标宋简体"/>
          <w:b w:val="0"/>
          <w:bCs w:val="0"/>
          <w:sz w:val="44"/>
          <w:szCs w:val="44"/>
          <w:lang w:val="en-US" w:eastAsia="zh-CN"/>
        </w:rPr>
        <w:t>1085</w:t>
      </w:r>
      <w:r>
        <w:rPr>
          <w:rFonts w:hint="eastAsia" w:ascii="方正小标宋简体" w:hAnsi="方正小标宋简体" w:eastAsia="方正小标宋简体" w:cs="方正小标宋简体"/>
          <w:b w:val="0"/>
          <w:bCs w:val="0"/>
          <w:sz w:val="44"/>
          <w:szCs w:val="44"/>
        </w:rPr>
        <w:t>号建议答复的函</w:t>
      </w:r>
    </w:p>
    <w:p w14:paraId="09CE4662">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bCs/>
          <w:sz w:val="32"/>
          <w:szCs w:val="32"/>
        </w:rPr>
      </w:pPr>
    </w:p>
    <w:p w14:paraId="0FD2607D">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eastAsia="zh-CN"/>
        </w:rPr>
        <w:t>叶巧玲等</w:t>
      </w:r>
      <w:r>
        <w:rPr>
          <w:rFonts w:hint="eastAsia" w:ascii="仿宋_GB2312" w:hAnsi="Times New Roman" w:eastAsia="仿宋_GB2312" w:cs="Times New Roman"/>
          <w:sz w:val="32"/>
          <w:szCs w:val="32"/>
          <w:lang w:val="en-US" w:eastAsia="zh-CN"/>
        </w:rPr>
        <w:t>4位</w:t>
      </w:r>
      <w:r>
        <w:rPr>
          <w:rFonts w:hint="eastAsia" w:ascii="仿宋_GB2312" w:hAnsi="Times New Roman" w:eastAsia="仿宋_GB2312" w:cs="Times New Roman"/>
          <w:sz w:val="32"/>
          <w:szCs w:val="32"/>
        </w:rPr>
        <w:t>代表：</w:t>
      </w:r>
    </w:p>
    <w:p w14:paraId="512877DC">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您提出的《关于加强校园周边流动摊点综合整治的建议》收悉</w:t>
      </w:r>
      <w:r>
        <w:rPr>
          <w:rFonts w:hint="eastAsia" w:ascii="仿宋_GB2312" w:hAnsi="Times New Roman" w:eastAsia="仿宋_GB2312" w:cs="Times New Roman"/>
          <w:sz w:val="32"/>
          <w:szCs w:val="32"/>
          <w:lang w:eastAsia="zh-CN"/>
        </w:rPr>
        <w:t>。</w:t>
      </w:r>
      <w:r>
        <w:rPr>
          <w:rFonts w:hint="eastAsia" w:ascii="Times New Roman" w:hAnsi="Times New Roman" w:eastAsia="仿宋_GB2312" w:cs="Times New Roman"/>
          <w:sz w:val="32"/>
          <w:szCs w:val="32"/>
        </w:rPr>
        <w:t>您提出的建议很好</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对我县校园周边流动摊点综合整治的现状和存在问题进行了客观分析</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围绕您提出的建议，县城管执法局联合县</w:t>
      </w:r>
      <w:r>
        <w:rPr>
          <w:rFonts w:hint="eastAsia" w:ascii="Times New Roman" w:hAnsi="Times New Roman" w:eastAsia="仿宋_GB2312" w:cs="Times New Roman"/>
          <w:sz w:val="32"/>
          <w:szCs w:val="32"/>
          <w:lang w:eastAsia="zh-CN"/>
        </w:rPr>
        <w:t>市场监管局</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教育局</w:t>
      </w:r>
      <w:r>
        <w:rPr>
          <w:rFonts w:hint="eastAsia" w:ascii="Times New Roman" w:hAnsi="Times New Roman" w:eastAsia="仿宋_GB2312" w:cs="Times New Roman"/>
          <w:sz w:val="32"/>
          <w:szCs w:val="32"/>
        </w:rPr>
        <w:t>等部门认真进行分析、探讨，</w:t>
      </w:r>
      <w:r>
        <w:rPr>
          <w:rFonts w:hint="eastAsia" w:ascii="Times New Roman" w:hAnsi="Times New Roman" w:eastAsia="仿宋_GB2312" w:cs="Times New Roman"/>
          <w:sz w:val="32"/>
          <w:szCs w:val="32"/>
          <w:lang w:eastAsia="zh-CN"/>
        </w:rPr>
        <w:t>着力研究</w:t>
      </w:r>
      <w:r>
        <w:rPr>
          <w:rFonts w:hint="eastAsia" w:ascii="Times New Roman" w:hAnsi="Times New Roman" w:eastAsia="仿宋_GB2312" w:cs="Times New Roman"/>
          <w:sz w:val="32"/>
          <w:szCs w:val="32"/>
        </w:rPr>
        <w:t>解决我县校园周边流动摊点</w:t>
      </w:r>
      <w:r>
        <w:rPr>
          <w:rFonts w:hint="eastAsia" w:ascii="Times New Roman" w:hAnsi="Times New Roman" w:eastAsia="仿宋_GB2312" w:cs="Times New Roman"/>
          <w:sz w:val="32"/>
          <w:szCs w:val="32"/>
          <w:lang w:eastAsia="zh-CN"/>
        </w:rPr>
        <w:t>管理不规范、占道经营等</w:t>
      </w:r>
      <w:r>
        <w:rPr>
          <w:rFonts w:hint="eastAsia" w:ascii="Times New Roman" w:hAnsi="Times New Roman" w:eastAsia="仿宋_GB2312" w:cs="Times New Roman"/>
          <w:sz w:val="32"/>
          <w:szCs w:val="32"/>
        </w:rPr>
        <w:t>问题。</w:t>
      </w:r>
      <w:r>
        <w:rPr>
          <w:rFonts w:hint="eastAsia" w:ascii="仿宋_GB2312" w:hAnsi="Times New Roman" w:eastAsia="仿宋_GB2312" w:cs="Times New Roman"/>
          <w:sz w:val="32"/>
          <w:szCs w:val="32"/>
        </w:rPr>
        <w:t>现将</w:t>
      </w:r>
      <w:r>
        <w:rPr>
          <w:rFonts w:hint="eastAsia" w:ascii="仿宋_GB2312" w:hAnsi="Times New Roman" w:eastAsia="仿宋_GB2312" w:cs="Times New Roman"/>
          <w:sz w:val="32"/>
          <w:szCs w:val="32"/>
          <w:lang w:eastAsia="zh-CN"/>
        </w:rPr>
        <w:t>各方</w:t>
      </w:r>
      <w:r>
        <w:rPr>
          <w:rFonts w:hint="eastAsia" w:ascii="仿宋_GB2312" w:hAnsi="Times New Roman" w:eastAsia="仿宋_GB2312" w:cs="Times New Roman"/>
          <w:sz w:val="32"/>
          <w:szCs w:val="32"/>
        </w:rPr>
        <w:t>办理情况</w:t>
      </w:r>
      <w:r>
        <w:rPr>
          <w:rFonts w:hint="eastAsia" w:ascii="仿宋_GB2312" w:hAnsi="Times New Roman" w:eastAsia="仿宋_GB2312" w:cs="Times New Roman"/>
          <w:sz w:val="32"/>
          <w:szCs w:val="32"/>
          <w:lang w:eastAsia="zh-CN"/>
        </w:rPr>
        <w:t>分别</w:t>
      </w:r>
      <w:r>
        <w:rPr>
          <w:rFonts w:hint="eastAsia" w:ascii="仿宋_GB2312" w:hAnsi="Times New Roman" w:eastAsia="仿宋_GB2312" w:cs="Times New Roman"/>
          <w:sz w:val="32"/>
          <w:szCs w:val="32"/>
        </w:rPr>
        <w:t>答复如下：</w:t>
      </w:r>
    </w:p>
    <w:p w14:paraId="46E70E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一、错时上岗保通畅，动静结合净环境</w:t>
      </w:r>
    </w:p>
    <w:p w14:paraId="6B096A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县城管执法局主要落实以下工作举措：</w:t>
      </w:r>
    </w:p>
    <w:p w14:paraId="6E1097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eastAsia="zh-CN"/>
        </w:rPr>
        <w:t>优化勤务模式，错时上岗保通畅。针对下午放学时段与晚高峰叠加造成的管理盲点，我局主动调整执法一线人员作息时间。将原冬令时14:30-17:30全年调整为15:00-18:00，确保在16:30至18:00人流车流最密集时段，执法力量在岗在位，有效填补了管理空档期，显著提升了放学高峰期的通行效率。</w:t>
      </w:r>
    </w:p>
    <w:p w14:paraId="1B80483F">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eastAsia="zh-CN"/>
        </w:rPr>
        <w:t>强化巡查整治，动静结合净环境。加强学校周边巡查整治力度，采取“定点+机动+分片”巡查模式，对</w:t>
      </w:r>
      <w:r>
        <w:rPr>
          <w:rFonts w:hint="eastAsia" w:ascii="Times New Roman" w:hAnsi="Times New Roman" w:eastAsia="仿宋_GB2312" w:cs="Times New Roman"/>
          <w:b w:val="0"/>
          <w:bCs w:val="0"/>
          <w:sz w:val="32"/>
          <w:szCs w:val="32"/>
          <w:lang w:eastAsia="zh-CN"/>
        </w:rPr>
        <w:t>阳光小学</w:t>
      </w:r>
      <w:r>
        <w:rPr>
          <w:rFonts w:hint="eastAsia" w:ascii="仿宋_GB2312" w:hAnsi="仿宋_GB2312" w:eastAsia="仿宋_GB2312" w:cs="仿宋_GB2312"/>
          <w:b w:val="0"/>
          <w:bCs w:val="0"/>
          <w:sz w:val="32"/>
          <w:szCs w:val="32"/>
          <w:lang w:eastAsia="zh-CN"/>
        </w:rPr>
        <w:t>等学校周边道路上摆摊设点、店外店、噪音扰民等行为开展常态化整治。今年以来，累计纠正占道经营452起，暂扣高音喇叭2个，有效净化校园周边环境，为师生营造安静有序的教学氛围。</w:t>
      </w:r>
    </w:p>
    <w:p w14:paraId="3CE97ADA">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eastAsia="zh-CN"/>
        </w:rPr>
        <w:t>深化部门联动，多方协同聚合力。坚持“部门联动、齐抓共管”原则，积极主动联合公安、市监、交警、教育等部门，采取“集中排查+错时检查”相结合的方式，开展校园周边联合整治行动。今年以来，累计开展联合整治11次，巡查校园周边商户125家次，劝导制止噪音行为2起，校园周边“干净、安静、有序”的育人环境得到有效巩固。</w:t>
      </w:r>
    </w:p>
    <w:p w14:paraId="7B6EBD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二、强化监督护食安，深化宣传进校园</w:t>
      </w:r>
    </w:p>
    <w:p w14:paraId="218D26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县市场监管局主要落实以下工作举措：</w:t>
      </w:r>
    </w:p>
    <w:p w14:paraId="685E7A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sz w:val="32"/>
          <w:szCs w:val="32"/>
        </w:rPr>
      </w:pPr>
      <w:r>
        <w:rPr>
          <w:rFonts w:hint="eastAsia" w:ascii="仿宋_GB2312" w:eastAsia="仿宋_GB2312" w:cs="Times New Roman"/>
          <w:b/>
          <w:bCs/>
          <w:sz w:val="32"/>
          <w:szCs w:val="32"/>
          <w:lang w:val="en-US" w:eastAsia="zh-CN"/>
        </w:rPr>
        <w:t>一是</w:t>
      </w:r>
      <w:r>
        <w:rPr>
          <w:rFonts w:hint="eastAsia" w:ascii="仿宋_GB2312" w:eastAsia="仿宋_GB2312" w:cs="Times New Roman"/>
          <w:sz w:val="32"/>
          <w:szCs w:val="32"/>
        </w:rPr>
        <w:t>强化监督检查。以校园周边食杂店、餐饮店为主，聚焦经营主体合规性，严查无证无照经营行为，确保食品来源可溯，严查索证索票制度落实情况、食品标签标识是否完整，不得销售过期食品，严格规范餐饮食品经营行为，督促食品销售经营单位落实食品安全主体责任。同时将校园食品纳入到年度食品安全监督抽检计划。</w:t>
      </w:r>
    </w:p>
    <w:p w14:paraId="18D91B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sz w:val="32"/>
          <w:szCs w:val="32"/>
          <w:lang w:eastAsia="zh-CN"/>
        </w:rPr>
      </w:pPr>
      <w:r>
        <w:rPr>
          <w:rFonts w:hint="eastAsia" w:ascii="仿宋_GB2312" w:eastAsia="仿宋_GB2312" w:cs="Times New Roman"/>
          <w:b/>
          <w:bCs/>
          <w:sz w:val="32"/>
          <w:szCs w:val="32"/>
          <w:lang w:val="en-US" w:eastAsia="zh-CN"/>
        </w:rPr>
        <w:t>二是</w:t>
      </w:r>
      <w:r>
        <w:rPr>
          <w:rFonts w:hint="eastAsia" w:ascii="仿宋_GB2312" w:eastAsia="仿宋_GB2312" w:cs="Times New Roman"/>
          <w:sz w:val="32"/>
          <w:szCs w:val="32"/>
        </w:rPr>
        <w:t>强化宣传引导。开展食品安全进校园活动，向学生宣传食品安全法律法规和常识，引导学生主动识别食品安全风险，将安全意识和健康理念转化为日常饮食的自觉行动，主动抵制“三</w:t>
      </w:r>
      <w:r>
        <w:rPr>
          <w:rFonts w:hint="eastAsia" w:ascii="仿宋_GB2312" w:eastAsia="仿宋_GB2312" w:cs="Times New Roman"/>
          <w:sz w:val="32"/>
          <w:szCs w:val="32"/>
          <w:lang w:eastAsia="zh-CN"/>
        </w:rPr>
        <w:t>无食品”。</w:t>
      </w:r>
    </w:p>
    <w:p w14:paraId="3377C8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Times New Roman"/>
          <w:sz w:val="32"/>
          <w:szCs w:val="32"/>
        </w:rPr>
      </w:pPr>
      <w:r>
        <w:rPr>
          <w:rFonts w:hint="eastAsia" w:ascii="仿宋_GB2312" w:eastAsia="仿宋_GB2312" w:cs="Times New Roman"/>
          <w:sz w:val="32"/>
          <w:szCs w:val="32"/>
        </w:rPr>
        <w:t>至目前，共出动执法人员68人次，检查校园周边食品经营单位96家次，发出责令整改通知书3份，开展食品安全进校园2次。</w:t>
      </w:r>
    </w:p>
    <w:p w14:paraId="5797F3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三、联合整治重拳出，常态监管长效固</w:t>
      </w:r>
    </w:p>
    <w:p w14:paraId="31DA80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val="en-US" w:eastAsia="zh-CN"/>
        </w:rPr>
        <w:t>县教育局</w:t>
      </w:r>
      <w:r>
        <w:rPr>
          <w:rFonts w:hint="eastAsia" w:ascii="楷体_GB2312" w:hAnsi="楷体_GB2312" w:eastAsia="楷体_GB2312" w:cs="楷体_GB2312"/>
          <w:b w:val="0"/>
          <w:bCs w:val="0"/>
          <w:sz w:val="32"/>
          <w:szCs w:val="32"/>
        </w:rPr>
        <w:t>主要落实以下工作举措</w:t>
      </w:r>
      <w:r>
        <w:rPr>
          <w:rFonts w:hint="eastAsia" w:ascii="楷体_GB2312" w:hAnsi="楷体_GB2312" w:eastAsia="楷体_GB2312" w:cs="楷体_GB2312"/>
          <w:b w:val="0"/>
          <w:bCs w:val="0"/>
          <w:sz w:val="32"/>
          <w:szCs w:val="32"/>
          <w:lang w:eastAsia="zh-CN"/>
        </w:rPr>
        <w:t>：</w:t>
      </w:r>
    </w:p>
    <w:p w14:paraId="665112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一是</w:t>
      </w:r>
      <w:r>
        <w:rPr>
          <w:rFonts w:hint="eastAsia" w:ascii="仿宋_GB2312" w:eastAsia="仿宋_GB2312"/>
          <w:sz w:val="32"/>
          <w:szCs w:val="32"/>
        </w:rPr>
        <w:t>强化联合整治，重拳清理违规摊点</w:t>
      </w:r>
      <w:r>
        <w:rPr>
          <w:rFonts w:hint="eastAsia" w:ascii="仿宋_GB2312" w:eastAsia="仿宋_GB2312"/>
          <w:sz w:val="32"/>
          <w:szCs w:val="32"/>
          <w:lang w:eastAsia="zh-CN"/>
        </w:rPr>
        <w:t>。</w:t>
      </w:r>
      <w:r>
        <w:rPr>
          <w:rFonts w:hint="eastAsia" w:ascii="仿宋_GB2312" w:eastAsia="仿宋_GB2312"/>
          <w:sz w:val="32"/>
          <w:szCs w:val="32"/>
        </w:rPr>
        <w:t>主动配合县政府牵头的校园周边专项整治行动，联合市城管局等部门，聚焦全县32 所中小学、200 米重点管控区，开展拉网式排查。重点查处无证经营、占道摆摊及销售 “三无”、过期变质食品行为。</w:t>
      </w:r>
    </w:p>
    <w:p w14:paraId="116972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二是</w:t>
      </w:r>
      <w:r>
        <w:rPr>
          <w:rFonts w:hint="eastAsia" w:ascii="仿宋_GB2312" w:eastAsia="仿宋_GB2312"/>
          <w:sz w:val="32"/>
          <w:szCs w:val="32"/>
        </w:rPr>
        <w:t>健全长效机制，落实常态监管</w:t>
      </w:r>
      <w:r>
        <w:rPr>
          <w:rFonts w:hint="eastAsia" w:ascii="仿宋_GB2312" w:eastAsia="仿宋_GB2312"/>
          <w:sz w:val="32"/>
          <w:szCs w:val="32"/>
          <w:lang w:eastAsia="zh-CN"/>
        </w:rPr>
        <w:t>。</w:t>
      </w:r>
      <w:r>
        <w:rPr>
          <w:rFonts w:hint="eastAsia" w:ascii="仿宋_GB2312" w:eastAsia="仿宋_GB2312"/>
          <w:sz w:val="32"/>
          <w:szCs w:val="32"/>
        </w:rPr>
        <w:t>严格执行网格化巡查 +高峰值守制度，将校园周边划分为责任网格，实行“定人、定岗、定时、定责” 管理。督促各校在早中晚 3 个高峰时段，安排校领导、教师、安保人员定点值守，做到早发现、早劝阻、早上报。同时建立问题台账和销号制度，对反复出现的摊点及时通报相关部门，实现闭环管理，确保整治不反弹。</w:t>
      </w:r>
    </w:p>
    <w:p w14:paraId="276615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cs="Times New Roman"/>
          <w:dstrike/>
          <w:color w:val="FF0000"/>
          <w:sz w:val="32"/>
          <w:szCs w:val="32"/>
        </w:rPr>
      </w:pPr>
      <w:r>
        <w:rPr>
          <w:rFonts w:hint="eastAsia" w:ascii="仿宋_GB2312" w:eastAsia="仿宋_GB2312"/>
          <w:b/>
          <w:bCs/>
          <w:sz w:val="32"/>
          <w:szCs w:val="32"/>
          <w:lang w:eastAsia="zh-CN"/>
        </w:rPr>
        <w:t>三是</w:t>
      </w:r>
      <w:r>
        <w:rPr>
          <w:rFonts w:hint="eastAsia" w:ascii="仿宋_GB2312" w:eastAsia="仿宋_GB2312"/>
          <w:sz w:val="32"/>
          <w:szCs w:val="32"/>
        </w:rPr>
        <w:t>深化宣传教育，筑牢家校防护网</w:t>
      </w:r>
      <w:r>
        <w:rPr>
          <w:rFonts w:hint="eastAsia" w:ascii="仿宋_GB2312" w:eastAsia="仿宋_GB2312"/>
          <w:sz w:val="32"/>
          <w:szCs w:val="32"/>
          <w:lang w:eastAsia="zh-CN"/>
        </w:rPr>
        <w:t>。</w:t>
      </w:r>
      <w:r>
        <w:rPr>
          <w:rFonts w:hint="eastAsia" w:ascii="仿宋_GB2312" w:eastAsia="仿宋_GB2312"/>
          <w:sz w:val="32"/>
          <w:szCs w:val="32"/>
        </w:rPr>
        <w:t>全面开展食品安全进校园活动，全县学校均开设食品安全专题课，通过班会、宣传栏、公众号等载体，普及健康饮食知识，覆盖学生5.6万余人次。发放《告家长书》2.8万份，引导家长履行监护责任，共同劝阻学生购买路边摊点食品。通过家校协同，有效提升学生自我防护意识，从源头减少违规消费行为。</w:t>
      </w:r>
    </w:p>
    <w:p w14:paraId="5B9C03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衷心感谢您对我县</w:t>
      </w:r>
      <w:r>
        <w:rPr>
          <w:rFonts w:hint="eastAsia" w:ascii="仿宋_GB2312" w:hAnsi="Times New Roman" w:eastAsia="仿宋_GB2312" w:cs="Times New Roman"/>
          <w:sz w:val="32"/>
          <w:szCs w:val="32"/>
        </w:rPr>
        <w:t>校园周边流动摊点综合整治</w:t>
      </w:r>
      <w:r>
        <w:rPr>
          <w:rFonts w:hint="eastAsia" w:ascii="仿宋_GB2312" w:eastAsia="仿宋_GB2312"/>
          <w:sz w:val="32"/>
          <w:szCs w:val="32"/>
        </w:rPr>
        <w:t>工作的关心和支持！欢迎您继续对我们的工作提出宝贵意见。</w:t>
      </w:r>
    </w:p>
    <w:p w14:paraId="7AE418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highlight w:val="none"/>
        </w:rPr>
      </w:pPr>
    </w:p>
    <w:p w14:paraId="6A9C28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rPr>
        <w:t xml:space="preserve">分管领导：郑永峰    </w:t>
      </w:r>
      <w:r>
        <w:rPr>
          <w:rFonts w:hint="eastAsia" w:ascii="仿宋_GB2312" w:eastAsia="仿宋_GB2312"/>
          <w:color w:val="000000"/>
          <w:sz w:val="32"/>
          <w:szCs w:val="32"/>
          <w:lang w:val="en-US" w:eastAsia="zh-CN"/>
        </w:rPr>
        <w:t xml:space="preserve">林国英   赵晓萍   </w:t>
      </w:r>
    </w:p>
    <w:p w14:paraId="39369A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rPr>
        <w:t>经办人员：</w:t>
      </w:r>
      <w:r>
        <w:rPr>
          <w:rFonts w:hint="eastAsia" w:ascii="仿宋_GB2312" w:eastAsia="仿宋_GB2312"/>
          <w:color w:val="000000"/>
          <w:sz w:val="32"/>
          <w:szCs w:val="32"/>
          <w:lang w:eastAsia="zh-CN"/>
        </w:rPr>
        <w:t>苏丹娜</w:t>
      </w: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 xml:space="preserve">郑文娟   陈闽侨   </w:t>
      </w:r>
    </w:p>
    <w:p w14:paraId="0F162B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kern w:val="0"/>
          <w:sz w:val="32"/>
          <w:szCs w:val="32"/>
          <w:lang w:val="en-US" w:eastAsia="zh-CN"/>
        </w:rPr>
      </w:pPr>
      <w:r>
        <w:rPr>
          <w:rFonts w:hint="eastAsia" w:ascii="仿宋_GB2312" w:eastAsia="仿宋_GB2312"/>
          <w:color w:val="000000"/>
          <w:sz w:val="32"/>
          <w:szCs w:val="32"/>
        </w:rPr>
        <w:t>联系电话：</w:t>
      </w:r>
      <w:r>
        <w:rPr>
          <w:rFonts w:hint="eastAsia" w:ascii="仿宋_GB2312" w:eastAsia="仿宋_GB2312"/>
          <w:color w:val="000000"/>
          <w:sz w:val="32"/>
          <w:szCs w:val="32"/>
          <w:lang w:val="en-US" w:eastAsia="zh-CN"/>
        </w:rPr>
        <w:t xml:space="preserve">23592089  </w:t>
      </w:r>
      <w:r>
        <w:rPr>
          <w:rFonts w:hint="eastAsia" w:ascii="仿宋_GB2312" w:eastAsia="仿宋_GB2312"/>
          <w:color w:val="000000"/>
          <w:kern w:val="0"/>
          <w:sz w:val="32"/>
          <w:szCs w:val="32"/>
          <w:lang w:val="en-US" w:eastAsia="zh-CN"/>
        </w:rPr>
        <w:t xml:space="preserve">23552503 23585387 </w:t>
      </w:r>
    </w:p>
    <w:p w14:paraId="20D99F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kern w:val="0"/>
          <w:sz w:val="32"/>
          <w:szCs w:val="32"/>
          <w:lang w:val="en-US" w:eastAsia="zh-CN"/>
        </w:rPr>
      </w:pPr>
    </w:p>
    <w:p w14:paraId="0E6196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kern w:val="0"/>
          <w:sz w:val="32"/>
          <w:szCs w:val="32"/>
          <w:lang w:val="en-US" w:eastAsia="zh-CN"/>
        </w:rPr>
      </w:pPr>
    </w:p>
    <w:p w14:paraId="6402240C">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left"/>
        <w:textAlignment w:val="auto"/>
        <w:rPr>
          <w:rFonts w:hint="eastAsia" w:ascii="仿宋_GB2312" w:eastAsia="仿宋_GB2312"/>
          <w:color w:val="000000"/>
          <w:kern w:val="0"/>
          <w:sz w:val="32"/>
          <w:szCs w:val="32"/>
          <w:lang w:eastAsia="zh-CN"/>
        </w:rPr>
      </w:pPr>
      <w:r>
        <w:rPr>
          <w:rFonts w:hint="eastAsia" w:ascii="仿宋_GB2312" w:eastAsia="仿宋_GB2312"/>
          <w:color w:val="000000"/>
          <w:kern w:val="0"/>
          <w:sz w:val="32"/>
          <w:szCs w:val="32"/>
        </w:rPr>
        <w:t>德化县城市管理和综合执法局</w:t>
      </w:r>
      <w:r>
        <w:rPr>
          <w:rFonts w:hint="eastAsia" w:ascii="仿宋_GB2312" w:eastAsia="仿宋_GB2312"/>
          <w:color w:val="000000"/>
          <w:kern w:val="0"/>
          <w:sz w:val="32"/>
          <w:szCs w:val="32"/>
          <w:lang w:val="en-US" w:eastAsia="zh-CN"/>
        </w:rPr>
        <w:t xml:space="preserve"> </w:t>
      </w:r>
      <w:r>
        <w:rPr>
          <w:rFonts w:hint="eastAsia" w:ascii="仿宋_GB2312" w:eastAsia="仿宋_GB2312"/>
          <w:color w:val="000000"/>
          <w:kern w:val="0"/>
          <w:sz w:val="32"/>
          <w:szCs w:val="32"/>
        </w:rPr>
        <w:t xml:space="preserve"> </w:t>
      </w:r>
      <w:r>
        <w:rPr>
          <w:rFonts w:hint="eastAsia" w:ascii="仿宋_GB2312" w:eastAsia="仿宋_GB2312"/>
          <w:color w:val="000000"/>
          <w:kern w:val="0"/>
          <w:sz w:val="32"/>
          <w:szCs w:val="32"/>
          <w:lang w:val="en-US" w:eastAsia="zh-CN"/>
        </w:rPr>
        <w:t xml:space="preserve"> </w:t>
      </w:r>
      <w:r>
        <w:rPr>
          <w:rFonts w:hint="eastAsia" w:ascii="仿宋_GB2312" w:eastAsia="仿宋_GB2312"/>
          <w:color w:val="000000"/>
          <w:kern w:val="0"/>
          <w:sz w:val="32"/>
          <w:szCs w:val="32"/>
        </w:rPr>
        <w:t xml:space="preserve">  德化县</w:t>
      </w:r>
      <w:r>
        <w:rPr>
          <w:rFonts w:hint="eastAsia" w:ascii="仿宋_GB2312" w:eastAsia="仿宋_GB2312"/>
          <w:color w:val="000000"/>
          <w:kern w:val="0"/>
          <w:sz w:val="32"/>
          <w:szCs w:val="32"/>
          <w:lang w:eastAsia="zh-CN"/>
        </w:rPr>
        <w:t>市场监督管理局</w:t>
      </w:r>
    </w:p>
    <w:p w14:paraId="5758CE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ascii="仿宋_GB2312" w:eastAsia="仿宋_GB2312"/>
          <w:color w:val="000000"/>
          <w:kern w:val="0"/>
          <w:sz w:val="32"/>
          <w:szCs w:val="32"/>
        </w:rPr>
      </w:pPr>
    </w:p>
    <w:p w14:paraId="634E35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kern w:val="0"/>
          <w:sz w:val="32"/>
          <w:szCs w:val="32"/>
        </w:rPr>
      </w:pPr>
    </w:p>
    <w:p w14:paraId="6EF4BA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kern w:val="0"/>
          <w:sz w:val="32"/>
          <w:szCs w:val="32"/>
        </w:rPr>
      </w:pPr>
    </w:p>
    <w:tbl>
      <w:tblPr>
        <w:tblStyle w:val="16"/>
        <w:tblpPr w:leftFromText="180" w:rightFromText="180" w:vertAnchor="text" w:horzAnchor="page" w:tblpX="1532" w:tblpY="2469"/>
        <w:tblOverlap w:val="never"/>
        <w:tblW w:w="905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59"/>
      </w:tblGrid>
      <w:tr w14:paraId="09DC3D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059" w:type="dxa"/>
            <w:noWrap w:val="0"/>
            <w:vAlign w:val="top"/>
          </w:tcPr>
          <w:p w14:paraId="6F2109CA">
            <w:pPr>
              <w:spacing w:line="500" w:lineRule="exact"/>
              <w:rPr>
                <w:rFonts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抄送：</w:t>
            </w:r>
            <w:r>
              <w:rPr>
                <w:rFonts w:hint="eastAsia" w:ascii="仿宋_GB2312" w:hAnsi="仿宋" w:eastAsia="仿宋_GB2312" w:cs="仿宋"/>
                <w:color w:val="000000" w:themeColor="text1"/>
                <w:w w:val="96"/>
                <w:sz w:val="28"/>
                <w:szCs w:val="28"/>
                <w14:textFill>
                  <w14:solidFill>
                    <w14:schemeClr w14:val="tx1"/>
                  </w14:solidFill>
                </w14:textFill>
              </w:rPr>
              <w:t>县人大</w:t>
            </w:r>
            <w:r>
              <w:rPr>
                <w:rFonts w:hint="eastAsia" w:ascii="仿宋_GB2312" w:hAnsi="仿宋" w:eastAsia="仿宋_GB2312" w:cs="仿宋"/>
                <w:color w:val="000000" w:themeColor="text1"/>
                <w:w w:val="96"/>
                <w:sz w:val="28"/>
                <w:szCs w:val="28"/>
                <w:lang w:eastAsia="zh-CN"/>
                <w14:textFill>
                  <w14:solidFill>
                    <w14:schemeClr w14:val="tx1"/>
                  </w14:solidFill>
                </w14:textFill>
              </w:rPr>
              <w:t>常委会</w:t>
            </w:r>
            <w:r>
              <w:rPr>
                <w:rFonts w:hint="eastAsia" w:ascii="仿宋_GB2312" w:hAnsi="仿宋" w:eastAsia="仿宋_GB2312" w:cs="仿宋"/>
                <w:color w:val="000000" w:themeColor="text1"/>
                <w:w w:val="96"/>
                <w:sz w:val="28"/>
                <w:szCs w:val="28"/>
                <w14:textFill>
                  <w14:solidFill>
                    <w14:schemeClr w14:val="tx1"/>
                  </w14:solidFill>
                </w14:textFill>
              </w:rPr>
              <w:t>代表工委，县政府督查室，</w:t>
            </w:r>
            <w:r>
              <w:rPr>
                <w:rFonts w:hint="eastAsia" w:ascii="仿宋_GB2312" w:hAnsi="仿宋" w:eastAsia="仿宋_GB2312" w:cs="仿宋"/>
                <w:color w:val="000000" w:themeColor="text1"/>
                <w:w w:val="96"/>
                <w:sz w:val="28"/>
                <w:szCs w:val="28"/>
                <w:lang w:val="en-US" w:eastAsia="zh-CN"/>
                <w14:textFill>
                  <w14:solidFill>
                    <w14:schemeClr w14:val="tx1"/>
                  </w14:solidFill>
                </w14:textFill>
              </w:rPr>
              <w:t>盖德镇</w:t>
            </w:r>
            <w:r>
              <w:rPr>
                <w:rFonts w:hint="eastAsia" w:ascii="仿宋_GB2312" w:hAnsi="仿宋" w:eastAsia="仿宋_GB2312" w:cs="仿宋"/>
                <w:color w:val="000000" w:themeColor="text1"/>
                <w:w w:val="96"/>
                <w:sz w:val="28"/>
                <w:szCs w:val="28"/>
                <w:lang w:eastAsia="zh-CN"/>
                <w14:textFill>
                  <w14:solidFill>
                    <w14:schemeClr w14:val="tx1"/>
                  </w14:solidFill>
                </w14:textFill>
              </w:rPr>
              <w:t>人大主席团，</w:t>
            </w:r>
            <w:r>
              <w:rPr>
                <w:rFonts w:hint="eastAsia" w:ascii="仿宋_GB2312" w:hAnsi="仿宋" w:eastAsia="仿宋_GB2312" w:cs="仿宋"/>
                <w:color w:val="000000" w:themeColor="text1"/>
                <w:w w:val="96"/>
                <w:sz w:val="28"/>
                <w:szCs w:val="28"/>
                <w14:textFill>
                  <w14:solidFill>
                    <w14:schemeClr w14:val="tx1"/>
                  </w14:solidFill>
                </w14:textFill>
              </w:rPr>
              <w:t>存档。</w:t>
            </w:r>
          </w:p>
        </w:tc>
      </w:tr>
      <w:tr w14:paraId="1F2329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59" w:type="dxa"/>
            <w:noWrap w:val="0"/>
            <w:vAlign w:val="top"/>
          </w:tcPr>
          <w:p w14:paraId="5995C3C0">
            <w:pPr>
              <w:spacing w:line="500" w:lineRule="exact"/>
              <w:rPr>
                <w:rFonts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德化县城市管理</w:t>
            </w:r>
            <w:r>
              <w:rPr>
                <w:rFonts w:hint="eastAsia" w:ascii="仿宋_GB2312" w:hAnsi="仿宋" w:eastAsia="仿宋_GB2312" w:cs="仿宋"/>
                <w:color w:val="000000" w:themeColor="text1"/>
                <w:sz w:val="28"/>
                <w:szCs w:val="28"/>
                <w:lang w:eastAsia="zh-CN"/>
                <w14:textFill>
                  <w14:solidFill>
                    <w14:schemeClr w14:val="tx1"/>
                  </w14:solidFill>
                </w14:textFill>
              </w:rPr>
              <w:t>和</w:t>
            </w:r>
            <w:r>
              <w:rPr>
                <w:rFonts w:hint="eastAsia" w:ascii="仿宋_GB2312" w:hAnsi="仿宋" w:eastAsia="仿宋_GB2312" w:cs="仿宋"/>
                <w:color w:val="000000" w:themeColor="text1"/>
                <w:sz w:val="28"/>
                <w:szCs w:val="28"/>
                <w:lang w:val="en-US" w:eastAsia="zh-CN"/>
                <w14:textFill>
                  <w14:solidFill>
                    <w14:schemeClr w14:val="tx1"/>
                  </w14:solidFill>
                </w14:textFill>
              </w:rPr>
              <w:t>综合执法</w:t>
            </w:r>
            <w:r>
              <w:rPr>
                <w:rFonts w:hint="eastAsia" w:ascii="仿宋_GB2312" w:hAnsi="仿宋" w:eastAsia="仿宋_GB2312" w:cs="仿宋"/>
                <w:color w:val="000000" w:themeColor="text1"/>
                <w:sz w:val="28"/>
                <w:szCs w:val="28"/>
                <w14:textFill>
                  <w14:solidFill>
                    <w14:schemeClr w14:val="tx1"/>
                  </w14:solidFill>
                </w14:textFill>
              </w:rPr>
              <w:t xml:space="preserve">局      </w:t>
            </w:r>
            <w:r>
              <w:rPr>
                <w:rFonts w:hint="eastAsia" w:ascii="仿宋_GB2312" w:hAnsi="仿宋" w:eastAsia="仿宋_GB2312"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 xml:space="preserve"> </w:t>
            </w:r>
            <w:r>
              <w:rPr>
                <w:rFonts w:hint="eastAsia" w:ascii="仿宋_GB2312" w:hAnsi="仿宋"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202</w:t>
            </w:r>
            <w:r>
              <w:rPr>
                <w:rFonts w:hint="eastAsia" w:ascii="仿宋_GB2312" w:hAnsi="仿宋" w:eastAsia="仿宋_GB2312" w:cs="仿宋"/>
                <w:color w:val="000000" w:themeColor="text1"/>
                <w:sz w:val="28"/>
                <w:szCs w:val="28"/>
                <w:lang w:val="en-US" w:eastAsia="zh-CN"/>
                <w14:textFill>
                  <w14:solidFill>
                    <w14:schemeClr w14:val="tx1"/>
                  </w14:solidFill>
                </w14:textFill>
              </w:rPr>
              <w:t>6</w:t>
            </w:r>
            <w:r>
              <w:rPr>
                <w:rFonts w:hint="eastAsia" w:ascii="仿宋_GB2312" w:hAnsi="仿宋" w:eastAsia="仿宋_GB2312" w:cs="仿宋"/>
                <w:color w:val="000000" w:themeColor="text1"/>
                <w:sz w:val="28"/>
                <w:szCs w:val="28"/>
                <w14:textFill>
                  <w14:solidFill>
                    <w14:schemeClr w14:val="tx1"/>
                  </w14:solidFill>
                </w14:textFill>
              </w:rPr>
              <w:t>年</w:t>
            </w:r>
            <w:r>
              <w:rPr>
                <w:rFonts w:hint="eastAsia" w:ascii="仿宋_GB2312" w:hAnsi="仿宋" w:eastAsia="仿宋_GB2312" w:cs="仿宋"/>
                <w:color w:val="000000" w:themeColor="text1"/>
                <w:sz w:val="28"/>
                <w:szCs w:val="28"/>
                <w:lang w:val="en-US" w:eastAsia="zh-CN"/>
                <w14:textFill>
                  <w14:solidFill>
                    <w14:schemeClr w14:val="tx1"/>
                  </w14:solidFill>
                </w14:textFill>
              </w:rPr>
              <w:t>6月15</w:t>
            </w:r>
            <w:r>
              <w:rPr>
                <w:rFonts w:hint="eastAsia" w:ascii="仿宋_GB2312" w:hAnsi="仿宋" w:eastAsia="仿宋_GB2312" w:cs="仿宋"/>
                <w:color w:val="000000" w:themeColor="text1"/>
                <w:sz w:val="28"/>
                <w:szCs w:val="28"/>
                <w14:textFill>
                  <w14:solidFill>
                    <w14:schemeClr w14:val="tx1"/>
                  </w14:solidFill>
                </w14:textFill>
              </w:rPr>
              <w:t>日印发</w:t>
            </w:r>
          </w:p>
        </w:tc>
      </w:tr>
    </w:tbl>
    <w:p w14:paraId="20254F0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eastAsia="仿宋_GB2312"/>
          <w:color w:val="000000"/>
          <w:kern w:val="0"/>
          <w:sz w:val="32"/>
          <w:szCs w:val="32"/>
        </w:rPr>
      </w:pPr>
      <w:r>
        <w:rPr>
          <w:rFonts w:hint="eastAsia" w:ascii="仿宋_GB2312" w:eastAsia="仿宋_GB2312"/>
          <w:color w:val="000000"/>
          <w:kern w:val="0"/>
          <w:sz w:val="32"/>
          <w:szCs w:val="32"/>
        </w:rPr>
        <w:t xml:space="preserve">        </w:t>
      </w:r>
      <w:r>
        <w:rPr>
          <w:rFonts w:hint="eastAsia" w:ascii="仿宋_GB2312" w:eastAsia="仿宋_GB2312"/>
          <w:color w:val="000000"/>
          <w:kern w:val="0"/>
          <w:sz w:val="32"/>
          <w:szCs w:val="32"/>
          <w:lang w:val="en-US" w:eastAsia="zh-CN"/>
        </w:rPr>
        <w:t xml:space="preserve">                             </w:t>
      </w:r>
      <w:r>
        <w:rPr>
          <w:rFonts w:hint="eastAsia" w:ascii="仿宋_GB2312" w:eastAsia="仿宋_GB2312"/>
          <w:color w:val="000000"/>
          <w:kern w:val="0"/>
          <w:sz w:val="32"/>
          <w:szCs w:val="32"/>
        </w:rPr>
        <w:t>德化县</w:t>
      </w:r>
      <w:r>
        <w:rPr>
          <w:rFonts w:hint="eastAsia" w:ascii="仿宋_GB2312" w:eastAsia="仿宋_GB2312"/>
          <w:color w:val="000000"/>
          <w:kern w:val="0"/>
          <w:sz w:val="32"/>
          <w:szCs w:val="32"/>
          <w:lang w:eastAsia="zh-CN"/>
        </w:rPr>
        <w:t>教育局</w:t>
      </w:r>
      <w:r>
        <w:rPr>
          <w:rFonts w:hint="eastAsia" w:ascii="仿宋_GB2312" w:eastAsia="仿宋_GB2312"/>
          <w:color w:val="000000"/>
          <w:kern w:val="0"/>
          <w:sz w:val="32"/>
          <w:szCs w:val="32"/>
        </w:rPr>
        <w:t xml:space="preserve">      </w:t>
      </w:r>
    </w:p>
    <w:p w14:paraId="380AD9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napToGrid w:val="0"/>
          <w:color w:val="000000" w:themeColor="text1"/>
          <w:sz w:val="36"/>
          <w:szCs w:val="36"/>
          <w:lang w:val="en-US" w:eastAsia="zh-CN"/>
          <w14:textFill>
            <w14:solidFill>
              <w14:schemeClr w14:val="tx1"/>
            </w14:solidFill>
          </w14:textFill>
        </w:rPr>
      </w:pPr>
      <w:r>
        <w:rPr>
          <w:rFonts w:hint="eastAsia" w:ascii="仿宋_GB2312" w:eastAsia="仿宋_GB2312"/>
          <w:color w:val="000000"/>
          <w:kern w:val="0"/>
          <w:sz w:val="32"/>
          <w:szCs w:val="32"/>
        </w:rPr>
        <w:t xml:space="preserve">     </w:t>
      </w:r>
      <w:r>
        <w:rPr>
          <w:rFonts w:hint="eastAsia" w:ascii="仿宋_GB2312" w:eastAsia="仿宋_GB2312"/>
          <w:color w:val="000000"/>
          <w:kern w:val="0"/>
          <w:sz w:val="32"/>
          <w:szCs w:val="32"/>
          <w:lang w:val="en-US" w:eastAsia="zh-CN"/>
        </w:rPr>
        <w:t xml:space="preserve">            </w:t>
      </w:r>
      <w:bookmarkStart w:id="0" w:name="_GoBack"/>
      <w:bookmarkEnd w:id="0"/>
      <w:r>
        <w:rPr>
          <w:rFonts w:hint="eastAsia" w:ascii="仿宋_GB2312" w:eastAsia="仿宋_GB2312"/>
          <w:color w:val="000000"/>
          <w:kern w:val="0"/>
          <w:sz w:val="32"/>
          <w:szCs w:val="32"/>
          <w:lang w:val="en-US" w:eastAsia="zh-CN"/>
        </w:rPr>
        <w:t xml:space="preserve">               2026年6月15日</w:t>
      </w:r>
    </w:p>
    <w:p w14:paraId="650A4EE0">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Times New Roman" w:hAnsi="Times New Roman" w:cs="Times New Roman"/>
          <w:lang w:eastAsia="zh-CN"/>
        </w:rPr>
      </w:pPr>
    </w:p>
    <w:p w14:paraId="6BD90109">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Times New Roman" w:hAnsi="Times New Roman" w:cs="Times New Roman"/>
          <w:lang w:eastAsia="zh-CN"/>
        </w:rPr>
      </w:pPr>
    </w:p>
    <w:p w14:paraId="0DFD0620">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Times New Roman" w:hAnsi="Times New Roman" w:cs="Times New Roman"/>
          <w:lang w:eastAsia="zh-CN"/>
        </w:rPr>
      </w:pPr>
    </w:p>
    <w:sectPr>
      <w:footerReference r:id="rId3" w:type="default"/>
      <w:pgSz w:w="11906" w:h="16838"/>
      <w:pgMar w:top="2098" w:right="1531" w:bottom="1984" w:left="1531"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8DA6ED-7FDF-4B03-A48E-BC981838AF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4511AA3C-2B2D-4E47-BCFC-9AB68F5C9C14}"/>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604AC4B8-1E70-459F-BE34-C39CAFE22120}"/>
  </w:font>
  <w:font w:name="方正小标宋简体">
    <w:panose1 w:val="03000509000000000000"/>
    <w:charset w:val="86"/>
    <w:family w:val="auto"/>
    <w:pitch w:val="default"/>
    <w:sig w:usb0="00000001" w:usb1="080E0000" w:usb2="00000000" w:usb3="00000000" w:csb0="00040000" w:csb1="00000000"/>
    <w:embedRegular r:id="rId4" w:fontKey="{BFDB6403-1435-4F84-A979-CFC981986B4C}"/>
  </w:font>
  <w:font w:name="inherit">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mn-cs">
    <w:altName w:val="Arial Unicode MS"/>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embedRegular r:id="rId5" w:fontKey="{0E630BC1-615D-4E82-AEAD-CD208B9AFA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21B62">
    <w:pPr>
      <w:pStyle w:val="11"/>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8"/>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5NTZjYTQwMTZlYjRkM2I3YWM2YjZhZjA1NjY1ODEifQ=="/>
  </w:docVars>
  <w:rsids>
    <w:rsidRoot w:val="59CC1E84"/>
    <w:rsid w:val="00103224"/>
    <w:rsid w:val="001728D2"/>
    <w:rsid w:val="001D4F69"/>
    <w:rsid w:val="00235E89"/>
    <w:rsid w:val="002A4317"/>
    <w:rsid w:val="003436D2"/>
    <w:rsid w:val="003E2CF8"/>
    <w:rsid w:val="003F2399"/>
    <w:rsid w:val="00694113"/>
    <w:rsid w:val="0079279A"/>
    <w:rsid w:val="00816AB0"/>
    <w:rsid w:val="0082365E"/>
    <w:rsid w:val="008353C5"/>
    <w:rsid w:val="008411F9"/>
    <w:rsid w:val="0089221E"/>
    <w:rsid w:val="008A21F9"/>
    <w:rsid w:val="00A8426F"/>
    <w:rsid w:val="00AB03F1"/>
    <w:rsid w:val="00B06B34"/>
    <w:rsid w:val="00C57134"/>
    <w:rsid w:val="00D86DF1"/>
    <w:rsid w:val="00EC5843"/>
    <w:rsid w:val="01610CCC"/>
    <w:rsid w:val="036803A4"/>
    <w:rsid w:val="04201C9E"/>
    <w:rsid w:val="058C00A9"/>
    <w:rsid w:val="06E076D6"/>
    <w:rsid w:val="08475D24"/>
    <w:rsid w:val="08F935C9"/>
    <w:rsid w:val="091266F1"/>
    <w:rsid w:val="0B7B69FA"/>
    <w:rsid w:val="0BBF1E6E"/>
    <w:rsid w:val="0CFC5C63"/>
    <w:rsid w:val="0D4A25DE"/>
    <w:rsid w:val="108F237B"/>
    <w:rsid w:val="10BA762A"/>
    <w:rsid w:val="13DC3D21"/>
    <w:rsid w:val="14831037"/>
    <w:rsid w:val="14A03FE1"/>
    <w:rsid w:val="14C26912"/>
    <w:rsid w:val="152810E0"/>
    <w:rsid w:val="16297D1F"/>
    <w:rsid w:val="16795C6E"/>
    <w:rsid w:val="187B7CEC"/>
    <w:rsid w:val="1B1A79D6"/>
    <w:rsid w:val="1EB0494B"/>
    <w:rsid w:val="1F5C4703"/>
    <w:rsid w:val="20FF7332"/>
    <w:rsid w:val="21CF45BC"/>
    <w:rsid w:val="22012DB0"/>
    <w:rsid w:val="22700284"/>
    <w:rsid w:val="23DC3C37"/>
    <w:rsid w:val="247E5FEF"/>
    <w:rsid w:val="24E72883"/>
    <w:rsid w:val="25127997"/>
    <w:rsid w:val="267C2231"/>
    <w:rsid w:val="278E213E"/>
    <w:rsid w:val="296C76C3"/>
    <w:rsid w:val="2A544E00"/>
    <w:rsid w:val="2CB67C7C"/>
    <w:rsid w:val="2D1278E5"/>
    <w:rsid w:val="2D4A3E64"/>
    <w:rsid w:val="2DBE3BCF"/>
    <w:rsid w:val="2E3D56EB"/>
    <w:rsid w:val="2EF73267"/>
    <w:rsid w:val="2FCA39BD"/>
    <w:rsid w:val="31D54E46"/>
    <w:rsid w:val="31DD0B1F"/>
    <w:rsid w:val="32E6633A"/>
    <w:rsid w:val="33C0334B"/>
    <w:rsid w:val="348C6744"/>
    <w:rsid w:val="35E56190"/>
    <w:rsid w:val="39DD4436"/>
    <w:rsid w:val="3D997236"/>
    <w:rsid w:val="3DAC2858"/>
    <w:rsid w:val="4109395A"/>
    <w:rsid w:val="415123CE"/>
    <w:rsid w:val="42872932"/>
    <w:rsid w:val="42E5074D"/>
    <w:rsid w:val="43776769"/>
    <w:rsid w:val="44AF103D"/>
    <w:rsid w:val="47C076C6"/>
    <w:rsid w:val="481C3B08"/>
    <w:rsid w:val="49AC05F5"/>
    <w:rsid w:val="49AF7B8B"/>
    <w:rsid w:val="4A1E76DB"/>
    <w:rsid w:val="4A3B55B5"/>
    <w:rsid w:val="4D632E83"/>
    <w:rsid w:val="4D8D5BC8"/>
    <w:rsid w:val="4EDFC9B2"/>
    <w:rsid w:val="4EE83C25"/>
    <w:rsid w:val="53962D77"/>
    <w:rsid w:val="53E41AB0"/>
    <w:rsid w:val="552A46A0"/>
    <w:rsid w:val="557E7FBE"/>
    <w:rsid w:val="571275A3"/>
    <w:rsid w:val="59CC1E84"/>
    <w:rsid w:val="59D52770"/>
    <w:rsid w:val="5AE70E33"/>
    <w:rsid w:val="5AEF673F"/>
    <w:rsid w:val="5BB4255F"/>
    <w:rsid w:val="5C47587E"/>
    <w:rsid w:val="5D3A259D"/>
    <w:rsid w:val="5ECD383F"/>
    <w:rsid w:val="5ECF14ED"/>
    <w:rsid w:val="5FDA7144"/>
    <w:rsid w:val="603F056D"/>
    <w:rsid w:val="61174457"/>
    <w:rsid w:val="625F30F4"/>
    <w:rsid w:val="62B17864"/>
    <w:rsid w:val="63421168"/>
    <w:rsid w:val="63876BC5"/>
    <w:rsid w:val="63E257EE"/>
    <w:rsid w:val="641F5886"/>
    <w:rsid w:val="65033347"/>
    <w:rsid w:val="653F7DF8"/>
    <w:rsid w:val="66212C7D"/>
    <w:rsid w:val="6722055C"/>
    <w:rsid w:val="67E27EFC"/>
    <w:rsid w:val="6B511288"/>
    <w:rsid w:val="6B5F1692"/>
    <w:rsid w:val="6B9FF4EB"/>
    <w:rsid w:val="6C8E5854"/>
    <w:rsid w:val="6D164F86"/>
    <w:rsid w:val="6D18549A"/>
    <w:rsid w:val="6F645B89"/>
    <w:rsid w:val="6FE74513"/>
    <w:rsid w:val="7252741C"/>
    <w:rsid w:val="735C3151"/>
    <w:rsid w:val="73C2417B"/>
    <w:rsid w:val="7426061C"/>
    <w:rsid w:val="74B36375"/>
    <w:rsid w:val="74F60CF4"/>
    <w:rsid w:val="75B54942"/>
    <w:rsid w:val="765C7139"/>
    <w:rsid w:val="766975F4"/>
    <w:rsid w:val="76891540"/>
    <w:rsid w:val="78580BB8"/>
    <w:rsid w:val="787074DA"/>
    <w:rsid w:val="78EE0914"/>
    <w:rsid w:val="791C2BF9"/>
    <w:rsid w:val="797E697C"/>
    <w:rsid w:val="7F7FC462"/>
    <w:rsid w:val="ADDA6E90"/>
    <w:rsid w:val="E9CD4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99"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4"/>
    <w:basedOn w:val="1"/>
    <w:next w:val="4"/>
    <w:qFormat/>
    <w:uiPriority w:val="0"/>
    <w:pPr>
      <w:keepNext/>
      <w:keepLines/>
      <w:spacing w:line="376" w:lineRule="auto"/>
      <w:outlineLvl w:val="3"/>
    </w:pPr>
    <w:rPr>
      <w:rFonts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4">
    <w:name w:val="正文样式1"/>
    <w:basedOn w:val="1"/>
    <w:autoRedefine/>
    <w:semiHidden/>
    <w:qFormat/>
    <w:uiPriority w:val="0"/>
    <w:pPr>
      <w:spacing w:line="288" w:lineRule="auto"/>
      <w:ind w:firstLine="360" w:firstLineChars="150"/>
    </w:pPr>
    <w:rPr>
      <w:sz w:val="24"/>
      <w:szCs w:val="20"/>
    </w:rPr>
  </w:style>
  <w:style w:type="paragraph" w:styleId="5">
    <w:name w:val="Normal Indent"/>
    <w:basedOn w:val="1"/>
    <w:next w:val="6"/>
    <w:qFormat/>
    <w:uiPriority w:val="99"/>
    <w:pPr>
      <w:wordWrap w:val="0"/>
      <w:ind w:left="3400"/>
    </w:pPr>
  </w:style>
  <w:style w:type="paragraph" w:styleId="6">
    <w:name w:val="envelope return"/>
    <w:basedOn w:val="1"/>
    <w:qFormat/>
    <w:uiPriority w:val="0"/>
  </w:style>
  <w:style w:type="paragraph" w:styleId="7">
    <w:name w:val="Body Text"/>
    <w:basedOn w:val="1"/>
    <w:link w:val="20"/>
    <w:semiHidden/>
    <w:qFormat/>
    <w:uiPriority w:val="99"/>
    <w:pPr>
      <w:kinsoku/>
      <w:autoSpaceDE/>
      <w:autoSpaceDN/>
      <w:spacing w:line="560" w:lineRule="exact"/>
      <w:jc w:val="right"/>
      <w:textAlignment w:val="auto"/>
    </w:pPr>
    <w:rPr>
      <w:rFonts w:ascii="仿宋_GB2312" w:hAnsi="Times New Roman" w:eastAsia="仿宋_GB2312" w:cs="Times New Roman"/>
      <w:sz w:val="32"/>
      <w:szCs w:val="32"/>
      <w:lang w:eastAsia="zh-CN"/>
    </w:rPr>
  </w:style>
  <w:style w:type="paragraph" w:styleId="8">
    <w:name w:val="Body Text Indent"/>
    <w:basedOn w:val="1"/>
    <w:qFormat/>
    <w:uiPriority w:val="99"/>
    <w:pPr>
      <w:ind w:left="420" w:leftChars="200"/>
    </w:pPr>
  </w:style>
  <w:style w:type="paragraph" w:styleId="9">
    <w:name w:val="HTML Address"/>
    <w:basedOn w:val="1"/>
    <w:qFormat/>
    <w:uiPriority w:val="99"/>
    <w:pPr>
      <w:ind w:firstLine="420"/>
    </w:pPr>
    <w:rPr>
      <w:rFonts w:cs="Times New Roman"/>
    </w:rPr>
  </w:style>
  <w:style w:type="paragraph" w:styleId="10">
    <w:name w:val="Balloon Text"/>
    <w:basedOn w:val="1"/>
    <w:next w:val="1"/>
    <w:qFormat/>
    <w:uiPriority w:val="0"/>
    <w:rPr>
      <w:sz w:val="18"/>
      <w:szCs w:val="18"/>
    </w:r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Normal (Web)"/>
    <w:basedOn w:val="1"/>
    <w:qFormat/>
    <w:uiPriority w:val="0"/>
    <w:pPr>
      <w:spacing w:before="100" w:beforeAutospacing="1" w:after="100" w:afterAutospacing="1"/>
    </w:pPr>
    <w:rPr>
      <w:rFonts w:cs="Times New Roman"/>
      <w:sz w:val="24"/>
      <w:lang w:eastAsia="zh-CN"/>
    </w:rPr>
  </w:style>
  <w:style w:type="paragraph" w:styleId="14">
    <w:name w:val="Title"/>
    <w:basedOn w:val="1"/>
    <w:next w:val="1"/>
    <w:link w:val="21"/>
    <w:qFormat/>
    <w:uiPriority w:val="0"/>
    <w:pPr>
      <w:spacing w:before="240" w:after="60"/>
      <w:jc w:val="center"/>
      <w:outlineLvl w:val="0"/>
    </w:pPr>
    <w:rPr>
      <w:rFonts w:asciiTheme="majorHAnsi" w:hAnsiTheme="majorHAnsi" w:cstheme="majorBidi"/>
      <w:b/>
      <w:bCs/>
      <w:sz w:val="32"/>
      <w:szCs w:val="32"/>
    </w:rPr>
  </w:style>
  <w:style w:type="paragraph" w:styleId="15">
    <w:name w:val="Body Text First Indent 2"/>
    <w:basedOn w:val="8"/>
    <w:qFormat/>
    <w:uiPriority w:val="99"/>
    <w:pPr>
      <w:spacing w:after="120"/>
      <w:ind w:firstLine="42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customStyle="1" w:styleId="20">
    <w:name w:val="正文文本 Char"/>
    <w:basedOn w:val="18"/>
    <w:link w:val="7"/>
    <w:semiHidden/>
    <w:qFormat/>
    <w:uiPriority w:val="99"/>
    <w:rPr>
      <w:rFonts w:ascii="仿宋_GB2312" w:eastAsia="仿宋_GB2312"/>
      <w:color w:val="000000"/>
      <w:sz w:val="32"/>
      <w:szCs w:val="32"/>
    </w:rPr>
  </w:style>
  <w:style w:type="character" w:customStyle="1" w:styleId="21">
    <w:name w:val="标题 Char"/>
    <w:basedOn w:val="18"/>
    <w:link w:val="14"/>
    <w:qFormat/>
    <w:uiPriority w:val="0"/>
    <w:rPr>
      <w:rFonts w:asciiTheme="majorHAnsi" w:hAnsiTheme="majorHAnsi" w:cstheme="majorBidi"/>
      <w:b/>
      <w:bCs/>
      <w:color w:val="000000"/>
      <w:sz w:val="32"/>
      <w:szCs w:val="32"/>
      <w:lang w:eastAsia="en-US"/>
    </w:rPr>
  </w:style>
  <w:style w:type="paragraph" w:customStyle="1" w:styleId="22">
    <w:name w:val="Table Text"/>
    <w:basedOn w:val="1"/>
    <w:semiHidden/>
    <w:qFormat/>
    <w:uiPriority w:val="0"/>
    <w:rPr>
      <w:rFonts w:ascii="宋体" w:hAnsi="宋体" w:eastAsia="宋体" w:cs="宋体"/>
      <w:sz w:val="25"/>
      <w:szCs w:val="25"/>
      <w:lang w:eastAsia="en-US"/>
    </w:r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564</Words>
  <Characters>588</Characters>
  <Lines>14</Lines>
  <Paragraphs>4</Paragraphs>
  <TotalTime>7</TotalTime>
  <ScaleCrop>false</ScaleCrop>
  <LinksUpToDate>false</LinksUpToDate>
  <CharactersWithSpaces>719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2024-01-30T16:44:00Z</dcterms:created>
  <dc:creator>吉祥平安</dc:creator>
  <cp:lastModifiedBy>要你好看</cp:lastModifiedBy>
  <cp:lastPrinted>2026-06-04T09:17:00Z</cp:lastPrinted>
  <dcterms:modified xsi:type="dcterms:W3CDTF">2026-06-15T09:26:14Z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4ACCA2D5D73B4893B47B5FA516C768C2_13</vt:lpwstr>
  </property>
  <property fmtid="{D5CDD505-2E9C-101B-9397-08002B2CF9AE}" pid="4" name="KSOTemplateDocerSaveRecord">
    <vt:lpwstr>eyJoZGlkIjoiOGM5NTZjYTQwMTZlYjRkM2I3YWM2YjZhZjA1NjY1ODEiLCJ1c2VySWQiOiIzOTQyNzU4NzEifQ==</vt:lpwstr>
  </property>
</Properties>
</file>