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E3764">
      <w:pPr>
        <w:keepNext w:val="0"/>
        <w:keepLines w:val="0"/>
        <w:pageBreakBefore w:val="0"/>
        <w:widowControl/>
        <w:kinsoku/>
        <w:wordWrap/>
        <w:overflowPunct/>
        <w:topLinePunct w:val="0"/>
        <w:bidi w:val="0"/>
        <w:adjustRightInd w:val="0"/>
        <w:snapToGrid w:val="0"/>
        <w:spacing w:line="580" w:lineRule="exact"/>
        <w:jc w:val="both"/>
        <w:rPr>
          <w:rFonts w:hint="eastAsia" w:ascii="Times New Roman" w:hAnsi="Times New Roman" w:cs="Times New Roman"/>
          <w:lang w:val="en-US" w:eastAsia="zh-CN"/>
        </w:rPr>
      </w:pPr>
    </w:p>
    <w:p w14:paraId="5D725F6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仿宋_GB2312" w:eastAsia="仿宋_GB2312"/>
          <w:sz w:val="32"/>
          <w:szCs w:val="32"/>
        </w:rPr>
      </w:pPr>
    </w:p>
    <w:p w14:paraId="7327239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仿宋_GB2312" w:eastAsia="仿宋_GB2312"/>
          <w:sz w:val="32"/>
          <w:szCs w:val="32"/>
        </w:rPr>
      </w:pPr>
    </w:p>
    <w:p w14:paraId="0ADBD7C2">
      <w:pPr>
        <w:pStyle w:val="3"/>
        <w:pageBreakBefore w:val="0"/>
        <w:wordWrap/>
        <w:overflowPunct/>
        <w:topLinePunct w:val="0"/>
        <w:bidi w:val="0"/>
        <w:spacing w:line="580" w:lineRule="exact"/>
      </w:pPr>
    </w:p>
    <w:p w14:paraId="5634737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仿宋_GB2312" w:eastAsia="仿宋_GB2312"/>
          <w:sz w:val="32"/>
          <w:szCs w:val="32"/>
        </w:rPr>
      </w:pPr>
    </w:p>
    <w:p w14:paraId="2160FFB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s="黑体"/>
          <w:sz w:val="32"/>
          <w:szCs w:val="32"/>
        </w:rPr>
      </w:pPr>
    </w:p>
    <w:p w14:paraId="5D99A397">
      <w:pPr>
        <w:spacing w:line="570" w:lineRule="exact"/>
        <w:jc w:val="center"/>
        <w:rPr>
          <w:rFonts w:hint="default" w:ascii="仿宋_GB2312" w:eastAsia="仿宋_GB2312"/>
          <w:sz w:val="32"/>
          <w:szCs w:val="32"/>
          <w:lang w:val="en-US"/>
        </w:rPr>
      </w:pPr>
      <w:r>
        <w:rPr>
          <w:rFonts w:hint="eastAsia" w:ascii="仿宋_GB2312" w:eastAsia="仿宋_GB2312"/>
          <w:sz w:val="32"/>
          <w:szCs w:val="32"/>
        </w:rPr>
        <w:t>德城管</w:t>
      </w:r>
      <w:r>
        <w:rPr>
          <w:rFonts w:hint="eastAsia" w:ascii="仿宋_GB2312" w:eastAsia="仿宋_GB2312"/>
          <w:sz w:val="32"/>
          <w:szCs w:val="32"/>
          <w:lang w:val="en-US" w:eastAsia="zh-CN"/>
        </w:rPr>
        <w:t>执法函</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w:t>
      </w:r>
      <w:r>
        <w:rPr>
          <w:rFonts w:hint="eastAsia" w:ascii="仿宋_GB2312" w:eastAsia="仿宋_GB2312"/>
          <w:sz w:val="32"/>
          <w:szCs w:val="32"/>
          <w:lang w:val="en-US" w:eastAsia="zh-CN"/>
        </w:rPr>
        <w:t>89</w:t>
      </w:r>
      <w:bookmarkStart w:id="0" w:name="_GoBack"/>
      <w:bookmarkEnd w:id="0"/>
      <w:r>
        <w:rPr>
          <w:rFonts w:hint="eastAsia" w:ascii="仿宋_GB2312" w:eastAsia="仿宋_GB2312"/>
          <w:sz w:val="32"/>
          <w:szCs w:val="32"/>
          <w:lang w:val="en-US" w:eastAsia="zh-CN"/>
        </w:rPr>
        <w:t>号</w:t>
      </w:r>
    </w:p>
    <w:p w14:paraId="054E05DC">
      <w:pPr>
        <w:keepNext w:val="0"/>
        <w:keepLines w:val="0"/>
        <w:pageBreakBefore w:val="0"/>
        <w:widowControl w:val="0"/>
        <w:kinsoku/>
        <w:wordWrap/>
        <w:overflowPunct/>
        <w:topLinePunct w:val="0"/>
        <w:autoSpaceDE/>
        <w:autoSpaceDN/>
        <w:bidi w:val="0"/>
        <w:adjustRightInd/>
        <w:snapToGrid/>
        <w:spacing w:line="720" w:lineRule="exact"/>
        <w:jc w:val="right"/>
        <w:textAlignment w:val="auto"/>
        <w:rPr>
          <w:rFonts w:hint="default" w:ascii="仿宋_GB2312" w:hAnsi="仿宋" w:eastAsia="仿宋_GB2312"/>
          <w:sz w:val="32"/>
          <w:szCs w:val="32"/>
          <w:lang w:val="en-US"/>
        </w:rPr>
      </w:pPr>
      <w:r>
        <w:rPr>
          <w:rFonts w:hint="eastAsia"/>
          <w:lang w:val="en-US" w:eastAsia="zh-CN"/>
        </w:rPr>
        <w:t xml:space="preserve">                                                   </w:t>
      </w:r>
      <w:r>
        <w:rPr>
          <w:rFonts w:hint="eastAsia" w:ascii="仿宋_GB2312" w:hAnsi="仿宋_GB2312" w:eastAsia="仿宋_GB2312" w:cs="仿宋_GB2312"/>
          <w:sz w:val="32"/>
          <w:szCs w:val="32"/>
        </w:rPr>
        <w:t>答复类型:</w:t>
      </w:r>
      <w:r>
        <w:rPr>
          <w:rFonts w:hint="eastAsia" w:ascii="仿宋_GB2312" w:hAnsi="仿宋_GB2312" w:eastAsia="仿宋_GB2312" w:cs="仿宋_GB2312"/>
          <w:sz w:val="32"/>
          <w:szCs w:val="32"/>
          <w:lang w:val="en-US" w:eastAsia="zh-CN"/>
        </w:rPr>
        <w:t>A</w:t>
      </w:r>
    </w:p>
    <w:p w14:paraId="7F34D4A6">
      <w:pPr>
        <w:keepNext w:val="0"/>
        <w:keepLines w:val="0"/>
        <w:pageBreakBefore w:val="0"/>
        <w:wordWrap/>
        <w:overflowPunct/>
        <w:topLinePunct w:val="0"/>
        <w:bidi w:val="0"/>
        <w:spacing w:line="600" w:lineRule="exact"/>
        <w:jc w:val="both"/>
        <w:rPr>
          <w:rFonts w:hint="eastAsia" w:ascii="宋体" w:hAnsi="宋体"/>
          <w:b/>
          <w:bCs/>
          <w:sz w:val="44"/>
          <w:szCs w:val="44"/>
        </w:rPr>
      </w:pPr>
    </w:p>
    <w:p w14:paraId="686C4327">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关于德化县十九届人大</w:t>
      </w:r>
      <w:r>
        <w:rPr>
          <w:rFonts w:hint="eastAsia" w:ascii="方正小标宋简体" w:hAnsi="方正小标宋简体" w:eastAsia="方正小标宋简体" w:cs="方正小标宋简体"/>
          <w:b w:val="0"/>
          <w:bCs w:val="0"/>
          <w:sz w:val="44"/>
          <w:szCs w:val="44"/>
          <w:lang w:eastAsia="zh-CN"/>
        </w:rPr>
        <w:t>六</w:t>
      </w:r>
      <w:r>
        <w:rPr>
          <w:rFonts w:hint="eastAsia" w:ascii="方正小标宋简体" w:hAnsi="方正小标宋简体" w:eastAsia="方正小标宋简体" w:cs="方正小标宋简体"/>
          <w:b w:val="0"/>
          <w:bCs w:val="0"/>
          <w:sz w:val="44"/>
          <w:szCs w:val="44"/>
        </w:rPr>
        <w:t>次会议</w:t>
      </w:r>
    </w:p>
    <w:p w14:paraId="7B989344">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第</w:t>
      </w:r>
      <w:r>
        <w:rPr>
          <w:rFonts w:hint="eastAsia" w:ascii="方正小标宋简体" w:hAnsi="方正小标宋简体" w:eastAsia="方正小标宋简体" w:cs="方正小标宋简体"/>
          <w:b w:val="0"/>
          <w:bCs w:val="0"/>
          <w:sz w:val="44"/>
          <w:szCs w:val="44"/>
          <w:lang w:val="en-US" w:eastAsia="zh-CN"/>
        </w:rPr>
        <w:t>1125</w:t>
      </w:r>
      <w:r>
        <w:rPr>
          <w:rFonts w:hint="eastAsia" w:ascii="方正小标宋简体" w:hAnsi="方正小标宋简体" w:eastAsia="方正小标宋简体" w:cs="方正小标宋简体"/>
          <w:b w:val="0"/>
          <w:bCs w:val="0"/>
          <w:sz w:val="44"/>
          <w:szCs w:val="44"/>
        </w:rPr>
        <w:t>号建议答复的函</w:t>
      </w:r>
    </w:p>
    <w:p w14:paraId="09CE4662">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b/>
          <w:bCs/>
          <w:sz w:val="32"/>
          <w:szCs w:val="32"/>
        </w:rPr>
      </w:pPr>
    </w:p>
    <w:p w14:paraId="54E55873"/>
    <w:p w14:paraId="4D1562A2">
      <w:pPr>
        <w:spacing w:line="570" w:lineRule="exact"/>
        <w:rPr>
          <w:rFonts w:ascii="仿宋_GB2312" w:eastAsia="仿宋_GB2312"/>
          <w:sz w:val="32"/>
          <w:szCs w:val="32"/>
        </w:rPr>
      </w:pPr>
      <w:r>
        <w:rPr>
          <w:rFonts w:hint="eastAsia" w:ascii="仿宋_GB2312" w:eastAsia="仿宋_GB2312"/>
          <w:sz w:val="32"/>
          <w:szCs w:val="32"/>
        </w:rPr>
        <w:t>林仁贵等二位代表：</w:t>
      </w:r>
    </w:p>
    <w:p w14:paraId="2A5CE00C">
      <w:pPr>
        <w:spacing w:line="570" w:lineRule="exact"/>
        <w:ind w:firstLine="640" w:firstLineChars="200"/>
        <w:rPr>
          <w:rFonts w:ascii="仿宋_GB2312" w:eastAsia="仿宋_GB2312"/>
          <w:sz w:val="32"/>
          <w:szCs w:val="32"/>
        </w:rPr>
      </w:pPr>
      <w:r>
        <w:rPr>
          <w:rFonts w:hint="eastAsia" w:ascii="仿宋_GB2312" w:eastAsia="仿宋_GB2312"/>
          <w:sz w:val="32"/>
          <w:szCs w:val="32"/>
        </w:rPr>
        <w:t>您提出《关于将德化县城开放小区绿化养护等日常维护开支列入财政预算的建议》收悉。首先衷心感谢二位代表对我县老旧开放小区管理、城市环境品质提升工作的关心与建言，结合县城管执法局现有常态化接管老旧小区工作实际，现将有关情况答复如下：</w:t>
      </w:r>
    </w:p>
    <w:p w14:paraId="5AF8D717">
      <w:pPr>
        <w:spacing w:line="57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一、我县开放老旧小区现有管护工作开展情况</w:t>
      </w:r>
    </w:p>
    <w:p w14:paraId="0664C511">
      <w:pPr>
        <w:spacing w:line="570" w:lineRule="exact"/>
        <w:ind w:firstLine="640" w:firstLineChars="200"/>
        <w:rPr>
          <w:rFonts w:ascii="仿宋_GB2312" w:eastAsia="仿宋_GB2312"/>
          <w:sz w:val="32"/>
          <w:szCs w:val="32"/>
        </w:rPr>
      </w:pPr>
      <w:r>
        <w:rPr>
          <w:rFonts w:hint="eastAsia" w:ascii="仿宋_GB2312" w:eastAsia="仿宋_GB2312"/>
          <w:sz w:val="32"/>
          <w:szCs w:val="32"/>
        </w:rPr>
        <w:t>随着城镇化推进，我县建成年代早、无物业、无业委会、自管能力薄弱的开放式老旧小区数量较多，普遍存在绿化失管、公共设施破损、保洁不到位等问题。为切实改善群众居住环境，县城管执法局已牵头启动老旧开放小区常态化接管管护工作：</w:t>
      </w:r>
    </w:p>
    <w:p w14:paraId="4B66EC4E">
      <w:pPr>
        <w:spacing w:line="57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1.分类摸排建立清单台账</w:t>
      </w:r>
    </w:p>
    <w:p w14:paraId="766C9D6F">
      <w:pPr>
        <w:spacing w:line="570" w:lineRule="exact"/>
        <w:ind w:firstLine="640" w:firstLineChars="200"/>
        <w:rPr>
          <w:rFonts w:ascii="仿宋_GB2312" w:eastAsia="仿宋_GB2312"/>
          <w:sz w:val="32"/>
          <w:szCs w:val="32"/>
        </w:rPr>
      </w:pPr>
      <w:r>
        <w:rPr>
          <w:rFonts w:hint="eastAsia" w:ascii="仿宋_GB2312" w:eastAsia="仿宋_GB2312"/>
          <w:sz w:val="32"/>
          <w:szCs w:val="32"/>
        </w:rPr>
        <w:t>联合街道、社区逐小区实地排查，梳理无物业、无自治能力的老旧开放小区清单，重点登记小区占地面积、居住人口、绿化面积、健身设施等基础信息，形成分级管理台账，精准划定政府</w:t>
      </w:r>
      <w:r>
        <w:rPr>
          <w:rFonts w:hint="eastAsia" w:ascii="仿宋_GB2312" w:eastAsia="仿宋_GB2312"/>
          <w:w w:val="97"/>
          <w:sz w:val="32"/>
          <w:szCs w:val="32"/>
        </w:rPr>
        <w:t>兜底管护范围</w:t>
      </w:r>
      <w:r>
        <w:rPr>
          <w:rFonts w:hint="eastAsia" w:ascii="仿宋_GB2312" w:eastAsia="仿宋_GB2312"/>
          <w:w w:val="93"/>
          <w:sz w:val="32"/>
          <w:szCs w:val="32"/>
        </w:rPr>
        <w:t>，</w:t>
      </w:r>
      <w:r>
        <w:rPr>
          <w:rFonts w:hint="eastAsia" w:ascii="仿宋_GB2312" w:eastAsia="仿宋_GB2312"/>
          <w:w w:val="97"/>
          <w:sz w:val="32"/>
          <w:szCs w:val="32"/>
        </w:rPr>
        <w:t>与代表建议中</w:t>
      </w:r>
      <w:r>
        <w:rPr>
          <w:rFonts w:hint="eastAsia" w:ascii="仿宋_GB2312" w:eastAsia="仿宋_GB2312"/>
          <w:w w:val="93"/>
          <w:sz w:val="32"/>
          <w:szCs w:val="32"/>
        </w:rPr>
        <w:t>“</w:t>
      </w:r>
      <w:r>
        <w:rPr>
          <w:rFonts w:hint="eastAsia" w:ascii="仿宋_GB2312" w:eastAsia="仿宋_GB2312"/>
          <w:sz w:val="32"/>
          <w:szCs w:val="32"/>
        </w:rPr>
        <w:t>清</w:t>
      </w:r>
      <w:r>
        <w:rPr>
          <w:rFonts w:hint="eastAsia" w:ascii="仿宋_GB2312" w:eastAsia="仿宋_GB2312"/>
          <w:w w:val="97"/>
          <w:sz w:val="32"/>
          <w:szCs w:val="32"/>
        </w:rPr>
        <w:t>单化管理</w:t>
      </w:r>
      <w:r>
        <w:rPr>
          <w:rFonts w:hint="eastAsia" w:ascii="仿宋_GB2312" w:eastAsia="仿宋_GB2312"/>
          <w:w w:val="93"/>
          <w:sz w:val="32"/>
          <w:szCs w:val="32"/>
        </w:rPr>
        <w:t>、</w:t>
      </w:r>
      <w:r>
        <w:rPr>
          <w:rFonts w:hint="eastAsia" w:ascii="仿宋_GB2312" w:eastAsia="仿宋_GB2312"/>
          <w:w w:val="97"/>
          <w:sz w:val="32"/>
          <w:szCs w:val="32"/>
        </w:rPr>
        <w:t>精准界定适用小区”思路一致。</w:t>
      </w:r>
    </w:p>
    <w:p w14:paraId="350A9335">
      <w:pPr>
        <w:spacing w:line="57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2.分段落实兜底管护作业</w:t>
      </w:r>
    </w:p>
    <w:p w14:paraId="721F24BA">
      <w:pPr>
        <w:spacing w:line="570" w:lineRule="exact"/>
        <w:ind w:firstLine="640" w:firstLineChars="200"/>
        <w:rPr>
          <w:rFonts w:ascii="仿宋_GB2312" w:eastAsia="仿宋_GB2312"/>
          <w:sz w:val="32"/>
          <w:szCs w:val="32"/>
        </w:rPr>
      </w:pPr>
      <w:r>
        <w:rPr>
          <w:rFonts w:hint="eastAsia" w:ascii="仿宋_GB2312" w:eastAsia="仿宋_GB2312"/>
          <w:sz w:val="32"/>
          <w:szCs w:val="32"/>
        </w:rPr>
        <w:t>针对纳入兜底管理的小区，统筹落实三大类日常维护工作：</w:t>
      </w:r>
    </w:p>
    <w:p w14:paraId="3ECAECAF">
      <w:pPr>
        <w:spacing w:line="570" w:lineRule="exact"/>
        <w:ind w:firstLine="640" w:firstLineChars="200"/>
        <w:rPr>
          <w:rFonts w:ascii="仿宋_GB2312" w:eastAsia="仿宋_GB2312"/>
          <w:sz w:val="32"/>
          <w:szCs w:val="32"/>
        </w:rPr>
      </w:pPr>
      <w:r>
        <w:rPr>
          <w:rFonts w:hint="eastAsia" w:ascii="仿宋_GB2312" w:eastAsia="仿宋_GB2312"/>
          <w:sz w:val="32"/>
          <w:szCs w:val="32"/>
        </w:rPr>
        <w:t>绿化养护：由德化县瓷都城市服务有限公司负责园林绿化养护、环境卫生保洁等工作。常态化开展绿植补种、修剪浇灌、病虫害消杀，解决植被枯萎、黄土裸露问题；</w:t>
      </w:r>
    </w:p>
    <w:p w14:paraId="5258C979">
      <w:pPr>
        <w:spacing w:line="570" w:lineRule="exact"/>
        <w:ind w:firstLine="626" w:firstLineChars="200"/>
        <w:rPr>
          <w:rFonts w:ascii="仿宋_GB2312" w:eastAsia="仿宋_GB2312"/>
          <w:w w:val="98"/>
          <w:sz w:val="32"/>
          <w:szCs w:val="32"/>
        </w:rPr>
      </w:pPr>
      <w:r>
        <w:rPr>
          <w:rFonts w:hint="eastAsia" w:ascii="仿宋_GB2312" w:eastAsia="仿宋_GB2312"/>
          <w:w w:val="98"/>
          <w:sz w:val="32"/>
          <w:szCs w:val="32"/>
        </w:rPr>
        <w:t>公共设施维修</w:t>
      </w:r>
      <w:r>
        <w:rPr>
          <w:rFonts w:hint="eastAsia" w:ascii="仿宋_GB2312" w:eastAsia="仿宋_GB2312"/>
          <w:w w:val="93"/>
          <w:sz w:val="32"/>
          <w:szCs w:val="32"/>
        </w:rPr>
        <w:t>：</w:t>
      </w:r>
      <w:r>
        <w:rPr>
          <w:rFonts w:hint="eastAsia" w:ascii="仿宋_GB2312" w:eastAsia="仿宋_GB2312"/>
          <w:w w:val="93"/>
          <w:sz w:val="32"/>
          <w:szCs w:val="32"/>
        </w:rPr>
        <w:t>定</w:t>
      </w:r>
      <w:r>
        <w:rPr>
          <w:rFonts w:hint="eastAsia" w:ascii="仿宋_GB2312" w:eastAsia="仿宋_GB2312"/>
          <w:w w:val="98"/>
          <w:sz w:val="32"/>
          <w:szCs w:val="32"/>
        </w:rPr>
        <w:t>期巡检健身器材</w:t>
      </w:r>
      <w:r>
        <w:rPr>
          <w:rFonts w:hint="eastAsia" w:ascii="仿宋_GB2312" w:eastAsia="仿宋_GB2312"/>
          <w:w w:val="93"/>
          <w:sz w:val="32"/>
          <w:szCs w:val="32"/>
        </w:rPr>
        <w:t>，发</w:t>
      </w:r>
      <w:r>
        <w:rPr>
          <w:rFonts w:hint="eastAsia" w:ascii="仿宋_GB2312" w:eastAsia="仿宋_GB2312"/>
          <w:w w:val="98"/>
          <w:sz w:val="32"/>
          <w:szCs w:val="32"/>
        </w:rPr>
        <w:t>现破损及时抢修更换</w:t>
      </w:r>
      <w:r>
        <w:rPr>
          <w:rFonts w:hint="eastAsia" w:ascii="仿宋_GB2312" w:eastAsia="仿宋_GB2312"/>
          <w:w w:val="93"/>
          <w:sz w:val="32"/>
          <w:szCs w:val="32"/>
        </w:rPr>
        <w:t>；</w:t>
      </w:r>
    </w:p>
    <w:p w14:paraId="6E11B340">
      <w:pPr>
        <w:spacing w:line="570" w:lineRule="exact"/>
        <w:ind w:firstLine="640" w:firstLineChars="200"/>
        <w:rPr>
          <w:rFonts w:ascii="仿宋_GB2312" w:eastAsia="仿宋_GB2312"/>
          <w:sz w:val="32"/>
          <w:szCs w:val="32"/>
        </w:rPr>
      </w:pPr>
      <w:r>
        <w:rPr>
          <w:rFonts w:hint="eastAsia" w:ascii="仿宋_GB2312" w:eastAsia="仿宋_GB2312"/>
          <w:sz w:val="32"/>
          <w:szCs w:val="32"/>
        </w:rPr>
        <w:t>环境卫生保洁：安排专人每日清扫公共区域、定时清运生活垃圾，保障基础居住环境整洁。</w:t>
      </w:r>
    </w:p>
    <w:p w14:paraId="600FAFB1">
      <w:pPr>
        <w:spacing w:line="57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二、财政保障相关工作推进现状</w:t>
      </w:r>
    </w:p>
    <w:p w14:paraId="74558AE1">
      <w:pPr>
        <w:spacing w:line="57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1.现有资金保障模式</w:t>
      </w:r>
    </w:p>
    <w:p w14:paraId="73723D14">
      <w:pPr>
        <w:spacing w:line="570" w:lineRule="exact"/>
        <w:ind w:firstLine="640" w:firstLineChars="200"/>
        <w:rPr>
          <w:rFonts w:ascii="仿宋_GB2312" w:eastAsia="仿宋_GB2312"/>
          <w:sz w:val="32"/>
          <w:szCs w:val="32"/>
        </w:rPr>
      </w:pPr>
      <w:r>
        <w:rPr>
          <w:rFonts w:hint="eastAsia" w:ascii="仿宋_GB2312" w:eastAsia="仿宋_GB2312"/>
          <w:sz w:val="32"/>
          <w:szCs w:val="32"/>
        </w:rPr>
        <w:t>城区公共区域环境卫生保洁、绿化养护，已纳入财政预算。</w:t>
      </w:r>
    </w:p>
    <w:p w14:paraId="6792D16F">
      <w:pPr>
        <w:spacing w:line="570" w:lineRule="exact"/>
        <w:ind w:firstLine="640" w:firstLineChars="200"/>
        <w:rPr>
          <w:rFonts w:ascii="仿宋_GB2312" w:eastAsia="仿宋_GB2312"/>
          <w:sz w:val="32"/>
          <w:szCs w:val="32"/>
        </w:rPr>
      </w:pPr>
      <w:r>
        <w:rPr>
          <w:rFonts w:hint="eastAsia" w:ascii="仿宋_GB2312" w:eastAsia="仿宋_GB2312"/>
          <w:sz w:val="32"/>
          <w:szCs w:val="32"/>
        </w:rPr>
        <w:t>按照“国企主导、分步实施”的原则，2023年8月25日我县</w:t>
      </w:r>
      <w:r>
        <w:rPr>
          <w:rFonts w:hint="eastAsia" w:ascii="仿宋_GB2312" w:eastAsia="仿宋_GB2312"/>
          <w:w w:val="97"/>
          <w:sz w:val="32"/>
          <w:szCs w:val="32"/>
        </w:rPr>
        <w:t>印发了德化县城乡环卫一体化实施方案（德政办〔2023〕43号），</w:t>
      </w:r>
      <w:r>
        <w:rPr>
          <w:rFonts w:hint="eastAsia" w:ascii="仿宋_GB2312" w:eastAsia="仿宋_GB2312"/>
          <w:sz w:val="32"/>
          <w:szCs w:val="32"/>
        </w:rPr>
        <w:t>2023年12月1日起正式实施，首批服务内容包含城区两镇及三班（部分）的环卫清扫保洁、分类收运、市容市貌整治，以及城区中转站、公厕养护、全县垃圾后端转运和处理设施运维等方面。2024年起，城乡环卫一体化服务经费纳入财政年初预算。同时，根据《德化县城乡环卫一体化考核办法》，对城乡环卫一体化服务质量进行年度考核，考核结果与下一年度预算额度挂钩，确保资金用在实处、发挥实效。2. 动态核算调整机制已落地</w:t>
      </w:r>
    </w:p>
    <w:p w14:paraId="64EDDBB5">
      <w:pPr>
        <w:spacing w:line="570" w:lineRule="exact"/>
        <w:ind w:firstLine="640" w:firstLineChars="200"/>
        <w:rPr>
          <w:rFonts w:ascii="仿宋_GB2312" w:eastAsia="仿宋_GB2312"/>
          <w:sz w:val="32"/>
          <w:szCs w:val="32"/>
        </w:rPr>
      </w:pPr>
      <w:r>
        <w:rPr>
          <w:rFonts w:hint="eastAsia" w:ascii="仿宋_GB2312" w:eastAsia="仿宋_GB2312"/>
          <w:sz w:val="32"/>
          <w:szCs w:val="32"/>
        </w:rPr>
        <w:t>每年结合新增接管小区数量、小区设施老化程度、绿化面积增量、居住人口变化等实际因素，科学测算下一年度老旧小区管</w:t>
      </w:r>
      <w:r>
        <w:rPr>
          <w:rFonts w:hint="eastAsia" w:ascii="仿宋_GB2312" w:eastAsia="仿宋_GB2312"/>
          <w:w w:val="98"/>
          <w:sz w:val="32"/>
          <w:szCs w:val="32"/>
        </w:rPr>
        <w:t>护经费需求</w:t>
      </w:r>
      <w:r>
        <w:rPr>
          <w:rFonts w:hint="eastAsia" w:ascii="仿宋_GB2312" w:eastAsia="仿宋_GB2312"/>
          <w:w w:val="93"/>
          <w:sz w:val="32"/>
          <w:szCs w:val="32"/>
        </w:rPr>
        <w:t>，</w:t>
      </w:r>
      <w:r>
        <w:rPr>
          <w:rFonts w:hint="eastAsia" w:ascii="仿宋_GB2312" w:eastAsia="仿宋_GB2312"/>
          <w:w w:val="93"/>
          <w:sz w:val="32"/>
          <w:szCs w:val="32"/>
        </w:rPr>
        <w:t>在</w:t>
      </w:r>
      <w:r>
        <w:rPr>
          <w:rFonts w:hint="eastAsia" w:ascii="仿宋_GB2312" w:eastAsia="仿宋_GB2312"/>
          <w:w w:val="98"/>
          <w:sz w:val="32"/>
          <w:szCs w:val="32"/>
        </w:rPr>
        <w:t>部门预算编制阶段同步申报</w:t>
      </w:r>
      <w:r>
        <w:rPr>
          <w:rFonts w:hint="eastAsia" w:ascii="仿宋_GB2312" w:eastAsia="仿宋_GB2312"/>
          <w:w w:val="93"/>
          <w:sz w:val="32"/>
          <w:szCs w:val="32"/>
        </w:rPr>
        <w:t>、动</w:t>
      </w:r>
      <w:r>
        <w:rPr>
          <w:rFonts w:hint="eastAsia" w:ascii="仿宋_GB2312" w:eastAsia="仿宋_GB2312"/>
          <w:w w:val="98"/>
          <w:sz w:val="32"/>
          <w:szCs w:val="32"/>
        </w:rPr>
        <w:t>态调整资金额度</w:t>
      </w:r>
      <w:r>
        <w:rPr>
          <w:rFonts w:hint="eastAsia" w:ascii="仿宋_GB2312" w:eastAsia="仿宋_GB2312"/>
          <w:w w:val="93"/>
          <w:sz w:val="32"/>
          <w:szCs w:val="32"/>
        </w:rPr>
        <w:t>，</w:t>
      </w:r>
      <w:r>
        <w:rPr>
          <w:rFonts w:hint="eastAsia" w:ascii="仿宋_GB2312" w:eastAsia="仿宋_GB2312"/>
          <w:sz w:val="32"/>
          <w:szCs w:val="32"/>
        </w:rPr>
        <w:t>保障管护资金足额落实，契合代表提出的常态化预算保障、动态核算建议。</w:t>
      </w:r>
    </w:p>
    <w:p w14:paraId="5A6FCE1C">
      <w:pPr>
        <w:spacing w:line="57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三、下一步工作计划</w:t>
      </w:r>
    </w:p>
    <w:p w14:paraId="76741262">
      <w:pPr>
        <w:spacing w:line="57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1.持续扩大小区兜底管护覆盖面</w:t>
      </w:r>
    </w:p>
    <w:p w14:paraId="2EF4EE41">
      <w:pPr>
        <w:spacing w:line="570" w:lineRule="exact"/>
        <w:ind w:firstLine="640" w:firstLineChars="200"/>
        <w:rPr>
          <w:rFonts w:ascii="仿宋_GB2312" w:eastAsia="仿宋_GB2312"/>
          <w:sz w:val="32"/>
          <w:szCs w:val="32"/>
        </w:rPr>
      </w:pPr>
      <w:r>
        <w:rPr>
          <w:rFonts w:hint="eastAsia" w:ascii="仿宋_GB2312" w:eastAsia="仿宋_GB2312"/>
          <w:sz w:val="32"/>
          <w:szCs w:val="32"/>
        </w:rPr>
        <w:t>联合社区、街道持续摸排新增无自治能力开放老旧小区，分批纳入城管执法局常态化接管清单，逐步实现城区重点老旧开放小区兜底管护全覆盖。</w:t>
      </w:r>
    </w:p>
    <w:p w14:paraId="03FBFDA9">
      <w:pPr>
        <w:spacing w:line="57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2.优化预算统筹保障机制</w:t>
      </w:r>
    </w:p>
    <w:p w14:paraId="78509275">
      <w:pPr>
        <w:spacing w:line="570" w:lineRule="exact"/>
        <w:ind w:firstLine="640" w:firstLineChars="200"/>
        <w:rPr>
          <w:rFonts w:ascii="仿宋_GB2312" w:eastAsia="仿宋_GB2312"/>
          <w:sz w:val="32"/>
          <w:szCs w:val="32"/>
        </w:rPr>
      </w:pPr>
      <w:r>
        <w:rPr>
          <w:rFonts w:hint="eastAsia" w:ascii="仿宋_GB2312" w:eastAsia="仿宋_GB2312"/>
          <w:sz w:val="32"/>
          <w:szCs w:val="32"/>
        </w:rPr>
        <w:t>进一步细化老旧小区管护经费测算标准，细化绿化、设施、保洁分项支出明细；积极对接财政部门，健全长期稳定的预算列支渠道，逐步建立专门的老旧开放小区管护资金保障科目，提升资金保障稳定性。</w:t>
      </w:r>
    </w:p>
    <w:p w14:paraId="4600D99C">
      <w:pPr>
        <w:spacing w:line="570" w:lineRule="exact"/>
        <w:ind w:firstLine="640" w:firstLineChars="200"/>
        <w:rPr>
          <w:rFonts w:ascii="仿宋_GB2312" w:hAnsi="仿宋_GB2312" w:eastAsia="仿宋_GB2312" w:cs="仿宋_GB2312"/>
          <w:sz w:val="32"/>
          <w:szCs w:val="32"/>
        </w:rPr>
      </w:pPr>
      <w:r>
        <w:rPr>
          <w:rFonts w:hint="eastAsia" w:ascii="仿宋_GB2312" w:eastAsia="仿宋_GB2312"/>
          <w:sz w:val="32"/>
          <w:szCs w:val="32"/>
        </w:rPr>
        <w:t>衷心感谢您对我县城市管理工作的关心和支持，</w:t>
      </w:r>
      <w:r>
        <w:rPr>
          <w:rFonts w:hint="eastAsia" w:ascii="仿宋_GB2312" w:hAnsi="仿宋_GB2312" w:eastAsia="仿宋_GB2312" w:cs="仿宋_GB2312"/>
          <w:sz w:val="32"/>
          <w:szCs w:val="32"/>
        </w:rPr>
        <w:t>真诚希望您在今后的工作中继续提出更多的宝贵意见和建议，对我们的工作给予指导和帮助。</w:t>
      </w:r>
    </w:p>
    <w:p w14:paraId="788D951D">
      <w:pPr>
        <w:spacing w:line="570" w:lineRule="exact"/>
        <w:rPr>
          <w:rFonts w:ascii="仿宋_GB2312" w:eastAsia="仿宋_GB2312"/>
          <w:sz w:val="32"/>
          <w:szCs w:val="32"/>
        </w:rPr>
      </w:pPr>
    </w:p>
    <w:p w14:paraId="3E00333A">
      <w:pPr>
        <w:spacing w:line="570" w:lineRule="exact"/>
        <w:ind w:firstLine="640" w:firstLineChars="200"/>
        <w:rPr>
          <w:rFonts w:ascii="仿宋_GB2312" w:eastAsia="仿宋_GB2312"/>
          <w:sz w:val="32"/>
          <w:szCs w:val="32"/>
        </w:rPr>
      </w:pPr>
      <w:r>
        <w:rPr>
          <w:rFonts w:hint="eastAsia" w:ascii="仿宋_GB2312" w:eastAsia="仿宋_GB2312"/>
          <w:sz w:val="32"/>
          <w:szCs w:val="32"/>
        </w:rPr>
        <w:t>分管领导：林振阳</w:t>
      </w:r>
    </w:p>
    <w:p w14:paraId="316D839F">
      <w:pPr>
        <w:spacing w:line="570" w:lineRule="exact"/>
        <w:ind w:firstLine="640" w:firstLineChars="200"/>
        <w:rPr>
          <w:rFonts w:ascii="仿宋_GB2312" w:eastAsia="仿宋_GB2312"/>
          <w:sz w:val="32"/>
          <w:szCs w:val="32"/>
        </w:rPr>
      </w:pPr>
      <w:r>
        <w:rPr>
          <w:rFonts w:hint="eastAsia" w:ascii="仿宋_GB2312" w:eastAsia="仿宋_GB2312"/>
          <w:sz w:val="32"/>
          <w:szCs w:val="32"/>
        </w:rPr>
        <w:t>经办人员：张智培</w:t>
      </w:r>
    </w:p>
    <w:p w14:paraId="1F492D7B">
      <w:pPr>
        <w:spacing w:line="570" w:lineRule="exact"/>
        <w:ind w:firstLine="640" w:firstLineChars="200"/>
        <w:rPr>
          <w:rFonts w:ascii="仿宋_GB2312" w:eastAsia="仿宋_GB2312"/>
          <w:sz w:val="32"/>
          <w:szCs w:val="32"/>
        </w:rPr>
      </w:pPr>
      <w:r>
        <w:rPr>
          <w:rFonts w:hint="eastAsia" w:ascii="仿宋_GB2312" w:eastAsia="仿宋_GB2312"/>
          <w:sz w:val="32"/>
          <w:szCs w:val="32"/>
        </w:rPr>
        <w:t>联系电话：23522920</w:t>
      </w:r>
    </w:p>
    <w:p w14:paraId="26ADA00A">
      <w:pPr>
        <w:keepNext w:val="0"/>
        <w:keepLines w:val="0"/>
        <w:pageBreakBefore w:val="0"/>
        <w:widowControl/>
        <w:kinsoku w:val="0"/>
        <w:wordWrap/>
        <w:overflowPunct/>
        <w:topLinePunct w:val="0"/>
        <w:autoSpaceDE w:val="0"/>
        <w:autoSpaceDN w:val="0"/>
        <w:bidi w:val="0"/>
        <w:adjustRightInd w:val="0"/>
        <w:snapToGrid w:val="0"/>
        <w:spacing w:line="800" w:lineRule="exact"/>
        <w:textAlignment w:val="baseline"/>
        <w:rPr>
          <w:rFonts w:hint="eastAsia" w:ascii="仿宋_GB2312" w:eastAsia="仿宋_GB2312"/>
          <w:snapToGrid w:val="0"/>
          <w:color w:val="000000" w:themeColor="text1"/>
          <w:sz w:val="36"/>
          <w:szCs w:val="36"/>
          <w:lang w:val="en-US" w:eastAsia="zh-CN"/>
          <w14:textFill>
            <w14:solidFill>
              <w14:schemeClr w14:val="tx1"/>
            </w14:solidFill>
          </w14:textFill>
        </w:rPr>
      </w:pPr>
    </w:p>
    <w:p w14:paraId="78DFAF0E">
      <w:pPr>
        <w:keepNext w:val="0"/>
        <w:keepLines w:val="0"/>
        <w:pageBreakBefore w:val="0"/>
        <w:widowControl/>
        <w:kinsoku w:val="0"/>
        <w:wordWrap/>
        <w:overflowPunct/>
        <w:topLinePunct w:val="0"/>
        <w:autoSpaceDE w:val="0"/>
        <w:autoSpaceDN w:val="0"/>
        <w:bidi w:val="0"/>
        <w:adjustRightInd w:val="0"/>
        <w:snapToGrid w:val="0"/>
        <w:spacing w:line="800" w:lineRule="exact"/>
        <w:textAlignment w:val="baseline"/>
        <w:rPr>
          <w:rFonts w:hint="eastAsia" w:ascii="仿宋_GB2312" w:eastAsia="仿宋_GB2312"/>
          <w:snapToGrid w:val="0"/>
          <w:color w:val="000000" w:themeColor="text1"/>
          <w:sz w:val="36"/>
          <w:szCs w:val="36"/>
          <w:lang w:val="en-US" w:eastAsia="zh-CN"/>
          <w14:textFill>
            <w14:solidFill>
              <w14:schemeClr w14:val="tx1"/>
            </w14:solidFill>
          </w14:textFill>
        </w:rPr>
      </w:pPr>
    </w:p>
    <w:p w14:paraId="59E0EEE5">
      <w:pPr>
        <w:keepNext w:val="0"/>
        <w:keepLines w:val="0"/>
        <w:pageBreakBefore w:val="0"/>
        <w:widowControl/>
        <w:kinsoku w:val="0"/>
        <w:wordWrap/>
        <w:overflowPunct/>
        <w:topLinePunct w:val="0"/>
        <w:autoSpaceDE w:val="0"/>
        <w:autoSpaceDN w:val="0"/>
        <w:bidi w:val="0"/>
        <w:adjustRightInd w:val="0"/>
        <w:snapToGrid w:val="0"/>
        <w:spacing w:line="480" w:lineRule="exact"/>
        <w:ind w:firstLine="4160" w:firstLineChars="1300"/>
        <w:textAlignment w:val="baseline"/>
        <w:rPr>
          <w:rFonts w:hint="eastAsia" w:ascii="仿宋_GB2312" w:eastAsia="仿宋_GB2312"/>
          <w:snapToGrid w:val="0"/>
          <w:color w:val="000000" w:themeColor="text1"/>
          <w:sz w:val="32"/>
          <w:szCs w:val="32"/>
          <w14:textFill>
            <w14:solidFill>
              <w14:schemeClr w14:val="tx1"/>
            </w14:solidFill>
          </w14:textFill>
        </w:rPr>
      </w:pPr>
      <w:r>
        <w:rPr>
          <w:rFonts w:hint="eastAsia" w:ascii="仿宋_GB2312" w:eastAsia="仿宋_GB2312"/>
          <w:snapToGrid w:val="0"/>
          <w:color w:val="000000" w:themeColor="text1"/>
          <w:sz w:val="32"/>
          <w:szCs w:val="32"/>
          <w:lang w:val="en-US" w:eastAsia="zh-CN"/>
          <w14:textFill>
            <w14:solidFill>
              <w14:schemeClr w14:val="tx1"/>
            </w14:solidFill>
          </w14:textFill>
        </w:rPr>
        <w:t xml:space="preserve"> </w:t>
      </w:r>
      <w:r>
        <w:rPr>
          <w:rFonts w:hint="eastAsia" w:ascii="仿宋_GB2312" w:eastAsia="仿宋_GB2312"/>
          <w:snapToGrid w:val="0"/>
          <w:color w:val="000000" w:themeColor="text1"/>
          <w:sz w:val="32"/>
          <w:szCs w:val="32"/>
          <w14:textFill>
            <w14:solidFill>
              <w14:schemeClr w14:val="tx1"/>
            </w14:solidFill>
          </w14:textFill>
        </w:rPr>
        <w:t>德化县城市管理</w:t>
      </w:r>
      <w:r>
        <w:rPr>
          <w:rFonts w:hint="eastAsia" w:ascii="仿宋_GB2312" w:eastAsia="仿宋_GB2312"/>
          <w:snapToGrid w:val="0"/>
          <w:color w:val="000000" w:themeColor="text1"/>
          <w:sz w:val="32"/>
          <w:szCs w:val="32"/>
          <w:lang w:eastAsia="zh-CN"/>
          <w14:textFill>
            <w14:solidFill>
              <w14:schemeClr w14:val="tx1"/>
            </w14:solidFill>
          </w14:textFill>
        </w:rPr>
        <w:t>和综合执法</w:t>
      </w:r>
      <w:r>
        <w:rPr>
          <w:rFonts w:hint="eastAsia" w:ascii="仿宋_GB2312" w:eastAsia="仿宋_GB2312"/>
          <w:snapToGrid w:val="0"/>
          <w:color w:val="000000" w:themeColor="text1"/>
          <w:sz w:val="32"/>
          <w:szCs w:val="32"/>
          <w14:textFill>
            <w14:solidFill>
              <w14:schemeClr w14:val="tx1"/>
            </w14:solidFill>
          </w14:textFill>
        </w:rPr>
        <w:t>局</w:t>
      </w:r>
    </w:p>
    <w:tbl>
      <w:tblPr>
        <w:tblStyle w:val="16"/>
        <w:tblpPr w:leftFromText="180" w:rightFromText="180" w:vertAnchor="text" w:horzAnchor="page" w:tblpX="1517" w:tblpY="5309"/>
        <w:tblOverlap w:val="never"/>
        <w:tblW w:w="9059"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59"/>
      </w:tblGrid>
      <w:tr w14:paraId="0372B33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9059" w:type="dxa"/>
            <w:noWrap w:val="0"/>
            <w:vAlign w:val="top"/>
          </w:tcPr>
          <w:p w14:paraId="1A17F8D2">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ascii="仿宋_GB2312" w:hAnsi="仿宋" w:eastAsia="仿宋_GB2312" w:cs="仿宋"/>
                <w:color w:val="000000" w:themeColor="text1"/>
                <w:sz w:val="28"/>
                <w:szCs w:val="28"/>
                <w14:textFill>
                  <w14:solidFill>
                    <w14:schemeClr w14:val="tx1"/>
                  </w14:solidFill>
                </w14:textFill>
              </w:rPr>
            </w:pPr>
            <w:r>
              <w:rPr>
                <w:rFonts w:hint="eastAsia" w:ascii="仿宋_GB2312" w:hAnsi="仿宋" w:eastAsia="仿宋_GB2312" w:cs="仿宋"/>
                <w:color w:val="000000" w:themeColor="text1"/>
                <w:sz w:val="28"/>
                <w:szCs w:val="28"/>
                <w14:textFill>
                  <w14:solidFill>
                    <w14:schemeClr w14:val="tx1"/>
                  </w14:solidFill>
                </w14:textFill>
              </w:rPr>
              <w:t>抄送：</w:t>
            </w:r>
            <w:r>
              <w:rPr>
                <w:rFonts w:hint="eastAsia" w:ascii="仿宋_GB2312" w:hAnsi="仿宋" w:eastAsia="仿宋_GB2312" w:cs="仿宋"/>
                <w:color w:val="000000" w:themeColor="text1"/>
                <w:w w:val="96"/>
                <w:sz w:val="28"/>
                <w:szCs w:val="28"/>
                <w14:textFill>
                  <w14:solidFill>
                    <w14:schemeClr w14:val="tx1"/>
                  </w14:solidFill>
                </w14:textFill>
              </w:rPr>
              <w:t>县人大</w:t>
            </w:r>
            <w:r>
              <w:rPr>
                <w:rFonts w:hint="eastAsia" w:ascii="仿宋_GB2312" w:hAnsi="仿宋" w:eastAsia="仿宋_GB2312" w:cs="仿宋"/>
                <w:color w:val="000000" w:themeColor="text1"/>
                <w:w w:val="96"/>
                <w:sz w:val="28"/>
                <w:szCs w:val="28"/>
                <w:lang w:eastAsia="zh-CN"/>
                <w14:textFill>
                  <w14:solidFill>
                    <w14:schemeClr w14:val="tx1"/>
                  </w14:solidFill>
                </w14:textFill>
              </w:rPr>
              <w:t>常委会</w:t>
            </w:r>
            <w:r>
              <w:rPr>
                <w:rFonts w:hint="eastAsia" w:ascii="仿宋_GB2312" w:hAnsi="仿宋" w:eastAsia="仿宋_GB2312" w:cs="仿宋"/>
                <w:color w:val="000000" w:themeColor="text1"/>
                <w:w w:val="96"/>
                <w:sz w:val="28"/>
                <w:szCs w:val="28"/>
                <w14:textFill>
                  <w14:solidFill>
                    <w14:schemeClr w14:val="tx1"/>
                  </w14:solidFill>
                </w14:textFill>
              </w:rPr>
              <w:t>代表工委，县政府督查室，</w:t>
            </w:r>
            <w:r>
              <w:rPr>
                <w:rFonts w:hint="eastAsia" w:ascii="仿宋_GB2312" w:hAnsi="仿宋" w:eastAsia="仿宋_GB2312" w:cs="仿宋"/>
                <w:color w:val="000000" w:themeColor="text1"/>
                <w:w w:val="96"/>
                <w:sz w:val="28"/>
                <w:szCs w:val="28"/>
                <w:lang w:val="en-US" w:eastAsia="zh-CN"/>
                <w14:textFill>
                  <w14:solidFill>
                    <w14:schemeClr w14:val="tx1"/>
                  </w14:solidFill>
                </w14:textFill>
              </w:rPr>
              <w:t>大铭乡</w:t>
            </w:r>
            <w:r>
              <w:rPr>
                <w:rFonts w:hint="eastAsia" w:ascii="仿宋_GB2312" w:hAnsi="仿宋" w:eastAsia="仿宋_GB2312" w:cs="仿宋"/>
                <w:color w:val="000000" w:themeColor="text1"/>
                <w:w w:val="96"/>
                <w:sz w:val="28"/>
                <w:szCs w:val="28"/>
                <w:lang w:eastAsia="zh-CN"/>
                <w14:textFill>
                  <w14:solidFill>
                    <w14:schemeClr w14:val="tx1"/>
                  </w14:solidFill>
                </w14:textFill>
              </w:rPr>
              <w:t>人大主席团，</w:t>
            </w:r>
            <w:r>
              <w:rPr>
                <w:rFonts w:hint="eastAsia" w:ascii="仿宋_GB2312" w:hAnsi="仿宋" w:eastAsia="仿宋_GB2312" w:cs="仿宋"/>
                <w:color w:val="000000" w:themeColor="text1"/>
                <w:w w:val="96"/>
                <w:sz w:val="28"/>
                <w:szCs w:val="28"/>
                <w14:textFill>
                  <w14:solidFill>
                    <w14:schemeClr w14:val="tx1"/>
                  </w14:solidFill>
                </w14:textFill>
              </w:rPr>
              <w:t>存档。</w:t>
            </w:r>
          </w:p>
        </w:tc>
      </w:tr>
      <w:tr w14:paraId="24BD1FF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59" w:type="dxa"/>
            <w:noWrap w:val="0"/>
            <w:vAlign w:val="top"/>
          </w:tcPr>
          <w:p w14:paraId="56D28F43">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ascii="仿宋_GB2312" w:hAnsi="仿宋" w:eastAsia="仿宋_GB2312" w:cs="仿宋"/>
                <w:color w:val="000000" w:themeColor="text1"/>
                <w:sz w:val="28"/>
                <w:szCs w:val="28"/>
                <w14:textFill>
                  <w14:solidFill>
                    <w14:schemeClr w14:val="tx1"/>
                  </w14:solidFill>
                </w14:textFill>
              </w:rPr>
            </w:pPr>
            <w:r>
              <w:rPr>
                <w:rFonts w:hint="eastAsia" w:ascii="仿宋_GB2312" w:hAnsi="仿宋" w:eastAsia="仿宋_GB2312" w:cs="仿宋"/>
                <w:color w:val="000000" w:themeColor="text1"/>
                <w:sz w:val="28"/>
                <w:szCs w:val="28"/>
                <w14:textFill>
                  <w14:solidFill>
                    <w14:schemeClr w14:val="tx1"/>
                  </w14:solidFill>
                </w14:textFill>
              </w:rPr>
              <w:t>德化县城市管理</w:t>
            </w:r>
            <w:r>
              <w:rPr>
                <w:rFonts w:hint="eastAsia" w:ascii="仿宋_GB2312" w:hAnsi="仿宋" w:eastAsia="仿宋_GB2312" w:cs="仿宋"/>
                <w:color w:val="000000" w:themeColor="text1"/>
                <w:sz w:val="28"/>
                <w:szCs w:val="28"/>
                <w:lang w:eastAsia="zh-CN"/>
                <w14:textFill>
                  <w14:solidFill>
                    <w14:schemeClr w14:val="tx1"/>
                  </w14:solidFill>
                </w14:textFill>
              </w:rPr>
              <w:t>和</w:t>
            </w:r>
            <w:r>
              <w:rPr>
                <w:rFonts w:hint="eastAsia" w:ascii="仿宋_GB2312" w:hAnsi="仿宋" w:eastAsia="仿宋_GB2312" w:cs="仿宋"/>
                <w:color w:val="000000" w:themeColor="text1"/>
                <w:sz w:val="28"/>
                <w:szCs w:val="28"/>
                <w:lang w:val="en-US" w:eastAsia="zh-CN"/>
                <w14:textFill>
                  <w14:solidFill>
                    <w14:schemeClr w14:val="tx1"/>
                  </w14:solidFill>
                </w14:textFill>
              </w:rPr>
              <w:t>综合执法</w:t>
            </w:r>
            <w:r>
              <w:rPr>
                <w:rFonts w:hint="eastAsia" w:ascii="仿宋_GB2312" w:hAnsi="仿宋" w:eastAsia="仿宋_GB2312" w:cs="仿宋"/>
                <w:color w:val="000000" w:themeColor="text1"/>
                <w:sz w:val="28"/>
                <w:szCs w:val="28"/>
                <w14:textFill>
                  <w14:solidFill>
                    <w14:schemeClr w14:val="tx1"/>
                  </w14:solidFill>
                </w14:textFill>
              </w:rPr>
              <w:t xml:space="preserve">局      </w:t>
            </w:r>
            <w:r>
              <w:rPr>
                <w:rFonts w:hint="eastAsia" w:ascii="仿宋_GB2312" w:hAnsi="仿宋" w:eastAsia="仿宋_GB2312" w:cs="仿宋"/>
                <w:color w:val="000000" w:themeColor="text1"/>
                <w:sz w:val="28"/>
                <w:szCs w:val="28"/>
                <w:lang w:val="en-US" w:eastAsia="zh-CN"/>
                <w14:textFill>
                  <w14:solidFill>
                    <w14:schemeClr w14:val="tx1"/>
                  </w14:solidFill>
                </w14:textFill>
              </w:rPr>
              <w:t xml:space="preserve">      </w:t>
            </w:r>
            <w:r>
              <w:rPr>
                <w:rFonts w:hint="eastAsia" w:ascii="仿宋_GB2312" w:hAnsi="仿宋" w:eastAsia="仿宋_GB2312" w:cs="仿宋"/>
                <w:color w:val="000000" w:themeColor="text1"/>
                <w:sz w:val="28"/>
                <w:szCs w:val="28"/>
                <w14:textFill>
                  <w14:solidFill>
                    <w14:schemeClr w14:val="tx1"/>
                  </w14:solidFill>
                </w14:textFill>
              </w:rPr>
              <w:t xml:space="preserve"> </w:t>
            </w:r>
            <w:r>
              <w:rPr>
                <w:rFonts w:hint="eastAsia" w:ascii="仿宋_GB2312" w:hAnsi="仿宋" w:cs="仿宋"/>
                <w:color w:val="000000" w:themeColor="text1"/>
                <w:sz w:val="28"/>
                <w:szCs w:val="28"/>
                <w:lang w:val="en-US" w:eastAsia="zh-CN"/>
                <w14:textFill>
                  <w14:solidFill>
                    <w14:schemeClr w14:val="tx1"/>
                  </w14:solidFill>
                </w14:textFill>
              </w:rPr>
              <w:t xml:space="preserve">       </w:t>
            </w:r>
            <w:r>
              <w:rPr>
                <w:rFonts w:hint="eastAsia" w:ascii="仿宋_GB2312" w:hAnsi="仿宋" w:eastAsia="仿宋_GB2312" w:cs="仿宋"/>
                <w:color w:val="000000" w:themeColor="text1"/>
                <w:sz w:val="28"/>
                <w:szCs w:val="28"/>
                <w14:textFill>
                  <w14:solidFill>
                    <w14:schemeClr w14:val="tx1"/>
                  </w14:solidFill>
                </w14:textFill>
              </w:rPr>
              <w:t>202</w:t>
            </w:r>
            <w:r>
              <w:rPr>
                <w:rFonts w:hint="eastAsia" w:ascii="仿宋_GB2312" w:hAnsi="仿宋" w:eastAsia="仿宋_GB2312" w:cs="仿宋"/>
                <w:color w:val="000000" w:themeColor="text1"/>
                <w:sz w:val="28"/>
                <w:szCs w:val="28"/>
                <w:lang w:val="en-US" w:eastAsia="zh-CN"/>
                <w14:textFill>
                  <w14:solidFill>
                    <w14:schemeClr w14:val="tx1"/>
                  </w14:solidFill>
                </w14:textFill>
              </w:rPr>
              <w:t>6</w:t>
            </w:r>
            <w:r>
              <w:rPr>
                <w:rFonts w:hint="eastAsia" w:ascii="仿宋_GB2312" w:hAnsi="仿宋" w:eastAsia="仿宋_GB2312" w:cs="仿宋"/>
                <w:color w:val="000000" w:themeColor="text1"/>
                <w:sz w:val="28"/>
                <w:szCs w:val="28"/>
                <w14:textFill>
                  <w14:solidFill>
                    <w14:schemeClr w14:val="tx1"/>
                  </w14:solidFill>
                </w14:textFill>
              </w:rPr>
              <w:t>年</w:t>
            </w:r>
            <w:r>
              <w:rPr>
                <w:rFonts w:hint="eastAsia" w:ascii="仿宋_GB2312" w:hAnsi="仿宋" w:eastAsia="仿宋_GB2312" w:cs="仿宋"/>
                <w:color w:val="000000" w:themeColor="text1"/>
                <w:sz w:val="28"/>
                <w:szCs w:val="28"/>
                <w:lang w:val="en-US" w:eastAsia="zh-CN"/>
                <w14:textFill>
                  <w14:solidFill>
                    <w14:schemeClr w14:val="tx1"/>
                  </w14:solidFill>
                </w14:textFill>
              </w:rPr>
              <w:t>6</w:t>
            </w:r>
            <w:r>
              <w:rPr>
                <w:rFonts w:hint="eastAsia" w:ascii="仿宋_GB2312" w:hAnsi="仿宋" w:eastAsia="仿宋_GB2312" w:cs="仿宋"/>
                <w:color w:val="000000" w:themeColor="text1"/>
                <w:sz w:val="28"/>
                <w:szCs w:val="28"/>
                <w14:textFill>
                  <w14:solidFill>
                    <w14:schemeClr w14:val="tx1"/>
                  </w14:solidFill>
                </w14:textFill>
              </w:rPr>
              <w:t>月</w:t>
            </w:r>
            <w:r>
              <w:rPr>
                <w:rFonts w:hint="eastAsia" w:ascii="仿宋_GB2312" w:hAnsi="仿宋" w:eastAsia="仿宋_GB2312" w:cs="仿宋"/>
                <w:color w:val="000000" w:themeColor="text1"/>
                <w:sz w:val="28"/>
                <w:szCs w:val="28"/>
                <w:lang w:val="en-US" w:eastAsia="zh-CN"/>
                <w14:textFill>
                  <w14:solidFill>
                    <w14:schemeClr w14:val="tx1"/>
                  </w14:solidFill>
                </w14:textFill>
              </w:rPr>
              <w:t>12</w:t>
            </w:r>
            <w:r>
              <w:rPr>
                <w:rFonts w:hint="eastAsia" w:ascii="仿宋_GB2312" w:hAnsi="仿宋" w:eastAsia="仿宋_GB2312" w:cs="仿宋"/>
                <w:color w:val="000000" w:themeColor="text1"/>
                <w:sz w:val="28"/>
                <w:szCs w:val="28"/>
                <w14:textFill>
                  <w14:solidFill>
                    <w14:schemeClr w14:val="tx1"/>
                  </w14:solidFill>
                </w14:textFill>
              </w:rPr>
              <w:t>日印发</w:t>
            </w:r>
          </w:p>
        </w:tc>
      </w:tr>
    </w:tbl>
    <w:p w14:paraId="38F28E7E">
      <w:pPr>
        <w:keepNext w:val="0"/>
        <w:keepLines w:val="0"/>
        <w:pageBreakBefore w:val="0"/>
        <w:widowControl/>
        <w:kinsoku w:val="0"/>
        <w:wordWrap/>
        <w:overflowPunct/>
        <w:topLinePunct w:val="0"/>
        <w:autoSpaceDE w:val="0"/>
        <w:autoSpaceDN w:val="0"/>
        <w:bidi w:val="0"/>
        <w:adjustRightInd w:val="0"/>
        <w:snapToGrid w:val="0"/>
        <w:spacing w:line="480" w:lineRule="exact"/>
        <w:ind w:firstLine="646"/>
        <w:jc w:val="left"/>
        <w:textAlignment w:val="baseline"/>
        <w:rPr>
          <w:rFonts w:hint="eastAsia" w:ascii="仿宋_GB2312" w:eastAsia="仿宋_GB2312"/>
          <w:snapToGrid w:val="0"/>
          <w:color w:val="000000" w:themeColor="text1"/>
          <w:sz w:val="32"/>
          <w:szCs w:val="32"/>
          <w:lang w:eastAsia="zh-CN"/>
          <w14:textFill>
            <w14:solidFill>
              <w14:schemeClr w14:val="tx1"/>
            </w14:solidFill>
          </w14:textFill>
        </w:rPr>
      </w:pPr>
      <w:r>
        <w:rPr>
          <w:rFonts w:hint="eastAsia" w:ascii="仿宋_GB2312" w:eastAsia="仿宋_GB2312"/>
          <w:snapToGrid w:val="0"/>
          <w:color w:val="000000" w:themeColor="text1"/>
          <w:sz w:val="32"/>
          <w:szCs w:val="32"/>
          <w:lang w:val="en-US" w:eastAsia="zh-CN"/>
          <w14:textFill>
            <w14:solidFill>
              <w14:schemeClr w14:val="tx1"/>
            </w14:solidFill>
          </w14:textFill>
        </w:rPr>
        <w:t xml:space="preserve">                              </w:t>
      </w:r>
      <w:r>
        <w:rPr>
          <w:rFonts w:hint="eastAsia" w:ascii="仿宋_GB2312" w:eastAsia="仿宋_GB2312"/>
          <w:snapToGrid w:val="0"/>
          <w:color w:val="000000" w:themeColor="text1"/>
          <w:sz w:val="32"/>
          <w:szCs w:val="32"/>
          <w14:textFill>
            <w14:solidFill>
              <w14:schemeClr w14:val="tx1"/>
            </w14:solidFill>
          </w14:textFill>
        </w:rPr>
        <w:t>202</w:t>
      </w:r>
      <w:r>
        <w:rPr>
          <w:rFonts w:hint="eastAsia" w:ascii="仿宋_GB2312" w:eastAsia="仿宋_GB2312"/>
          <w:snapToGrid w:val="0"/>
          <w:color w:val="000000" w:themeColor="text1"/>
          <w:sz w:val="32"/>
          <w:szCs w:val="32"/>
          <w:lang w:val="en-US" w:eastAsia="zh-CN"/>
          <w14:textFill>
            <w14:solidFill>
              <w14:schemeClr w14:val="tx1"/>
            </w14:solidFill>
          </w14:textFill>
        </w:rPr>
        <w:t>6</w:t>
      </w:r>
      <w:r>
        <w:rPr>
          <w:rFonts w:hint="eastAsia" w:ascii="仿宋_GB2312" w:eastAsia="仿宋_GB2312"/>
          <w:snapToGrid w:val="0"/>
          <w:color w:val="000000" w:themeColor="text1"/>
          <w:sz w:val="32"/>
          <w:szCs w:val="32"/>
          <w14:textFill>
            <w14:solidFill>
              <w14:schemeClr w14:val="tx1"/>
            </w14:solidFill>
          </w14:textFill>
        </w:rPr>
        <w:t>年</w:t>
      </w:r>
      <w:r>
        <w:rPr>
          <w:rFonts w:hint="eastAsia" w:ascii="仿宋_GB2312" w:eastAsia="仿宋_GB2312"/>
          <w:snapToGrid w:val="0"/>
          <w:color w:val="000000" w:themeColor="text1"/>
          <w:sz w:val="32"/>
          <w:szCs w:val="32"/>
          <w:lang w:val="en-US" w:eastAsia="zh-CN"/>
          <w14:textFill>
            <w14:solidFill>
              <w14:schemeClr w14:val="tx1"/>
            </w14:solidFill>
          </w14:textFill>
        </w:rPr>
        <w:t>6</w:t>
      </w:r>
      <w:r>
        <w:rPr>
          <w:rFonts w:hint="eastAsia" w:ascii="仿宋_GB2312" w:eastAsia="仿宋_GB2312"/>
          <w:snapToGrid w:val="0"/>
          <w:color w:val="000000" w:themeColor="text1"/>
          <w:sz w:val="32"/>
          <w:szCs w:val="32"/>
          <w14:textFill>
            <w14:solidFill>
              <w14:schemeClr w14:val="tx1"/>
            </w14:solidFill>
          </w14:textFill>
        </w:rPr>
        <w:t>月</w:t>
      </w:r>
      <w:r>
        <w:rPr>
          <w:rFonts w:hint="eastAsia" w:ascii="仿宋_GB2312" w:eastAsia="仿宋_GB2312"/>
          <w:snapToGrid w:val="0"/>
          <w:color w:val="000000" w:themeColor="text1"/>
          <w:sz w:val="32"/>
          <w:szCs w:val="32"/>
          <w:lang w:val="en-US" w:eastAsia="zh-CN"/>
          <w14:textFill>
            <w14:solidFill>
              <w14:schemeClr w14:val="tx1"/>
            </w14:solidFill>
          </w14:textFill>
        </w:rPr>
        <w:t>12</w:t>
      </w:r>
      <w:r>
        <w:rPr>
          <w:rFonts w:hint="eastAsia" w:ascii="仿宋_GB2312" w:eastAsia="仿宋_GB2312"/>
          <w:snapToGrid w:val="0"/>
          <w:color w:val="000000" w:themeColor="text1"/>
          <w:sz w:val="32"/>
          <w:szCs w:val="32"/>
          <w14:textFill>
            <w14:solidFill>
              <w14:schemeClr w14:val="tx1"/>
            </w14:solidFill>
          </w14:textFill>
        </w:rPr>
        <w:t>日</w:t>
      </w:r>
    </w:p>
    <w:sectPr>
      <w:footerReference r:id="rId3" w:type="default"/>
      <w:pgSz w:w="11906" w:h="16838"/>
      <w:pgMar w:top="2098" w:right="1531" w:bottom="1984" w:left="1531" w:header="851" w:footer="992" w:gutter="0"/>
      <w:pgNumType w:fmt="numberInDash"/>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895D0F8-7E0C-4E65-825E-81F7C8E9B10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D815E461-1867-438E-9FAF-7DBBDCB76376}"/>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3FA10D47-699E-4E9C-809D-86BA45F67F1D}"/>
  </w:font>
  <w:font w:name="方正小标宋简体">
    <w:panose1 w:val="03000509000000000000"/>
    <w:charset w:val="86"/>
    <w:family w:val="auto"/>
    <w:pitch w:val="default"/>
    <w:sig w:usb0="00000001" w:usb1="080E0000" w:usb2="00000000" w:usb3="00000000" w:csb0="00040000" w:csb1="00000000"/>
    <w:embedRegular r:id="rId4" w:fontKey="{9E2FC3AD-5730-4248-AF40-7C74283C4BF7}"/>
  </w:font>
  <w:font w:name="+mn-cs">
    <w:altName w:val="Arial Unicode MS"/>
    <w:panose1 w:val="00000000000000000000"/>
    <w:charset w:val="00"/>
    <w:family w:val="roman"/>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auto"/>
    <w:pitch w:val="default"/>
    <w:sig w:usb0="00000001" w:usb1="080E0000" w:usb2="00000000" w:usb3="00000000" w:csb0="00040000" w:csb1="00000000"/>
    <w:embedRegular r:id="rId5" w:fontKey="{DF8AFE68-6ACE-474F-9988-99749C8A53D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21B62">
    <w:pPr>
      <w:pStyle w:val="11"/>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310BAC2">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2310BAC2">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8"/>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5NTZjYTQwMTZlYjRkM2I3YWM2YjZhZjA1NjY1ODEifQ=="/>
  </w:docVars>
  <w:rsids>
    <w:rsidRoot w:val="59CC1E84"/>
    <w:rsid w:val="00103224"/>
    <w:rsid w:val="001728D2"/>
    <w:rsid w:val="001D4F69"/>
    <w:rsid w:val="00235E89"/>
    <w:rsid w:val="002A4317"/>
    <w:rsid w:val="003436D2"/>
    <w:rsid w:val="003E2CF8"/>
    <w:rsid w:val="003F2399"/>
    <w:rsid w:val="00694113"/>
    <w:rsid w:val="0079279A"/>
    <w:rsid w:val="00816AB0"/>
    <w:rsid w:val="0082365E"/>
    <w:rsid w:val="008353C5"/>
    <w:rsid w:val="008411F9"/>
    <w:rsid w:val="0089221E"/>
    <w:rsid w:val="008A21F9"/>
    <w:rsid w:val="00A8426F"/>
    <w:rsid w:val="00AB03F1"/>
    <w:rsid w:val="00B06B34"/>
    <w:rsid w:val="00C57134"/>
    <w:rsid w:val="00D86DF1"/>
    <w:rsid w:val="00EC5843"/>
    <w:rsid w:val="01610CCC"/>
    <w:rsid w:val="036803A4"/>
    <w:rsid w:val="04201C9E"/>
    <w:rsid w:val="058C00A9"/>
    <w:rsid w:val="06E076D6"/>
    <w:rsid w:val="08475D24"/>
    <w:rsid w:val="091266F1"/>
    <w:rsid w:val="0B7B69FA"/>
    <w:rsid w:val="0BBF1E6E"/>
    <w:rsid w:val="0CFC5C63"/>
    <w:rsid w:val="0D4A25DE"/>
    <w:rsid w:val="108F237B"/>
    <w:rsid w:val="10BA762A"/>
    <w:rsid w:val="13DC3D21"/>
    <w:rsid w:val="14831037"/>
    <w:rsid w:val="14A03FE1"/>
    <w:rsid w:val="14C26912"/>
    <w:rsid w:val="152810E0"/>
    <w:rsid w:val="16297D1F"/>
    <w:rsid w:val="16795C6E"/>
    <w:rsid w:val="16A5698E"/>
    <w:rsid w:val="187B7CEC"/>
    <w:rsid w:val="1B1A79D6"/>
    <w:rsid w:val="1EB0494B"/>
    <w:rsid w:val="1F5C4703"/>
    <w:rsid w:val="20FF7332"/>
    <w:rsid w:val="21CF45BC"/>
    <w:rsid w:val="22012DB0"/>
    <w:rsid w:val="22700284"/>
    <w:rsid w:val="23DC3C37"/>
    <w:rsid w:val="247E5FEF"/>
    <w:rsid w:val="24E72883"/>
    <w:rsid w:val="25127997"/>
    <w:rsid w:val="267C2231"/>
    <w:rsid w:val="278E213E"/>
    <w:rsid w:val="296C76C3"/>
    <w:rsid w:val="2A544E00"/>
    <w:rsid w:val="2D1278E5"/>
    <w:rsid w:val="2D4A3E64"/>
    <w:rsid w:val="2DBE3BCF"/>
    <w:rsid w:val="2E3D56EB"/>
    <w:rsid w:val="2EF73267"/>
    <w:rsid w:val="2FCA39BD"/>
    <w:rsid w:val="31D54E46"/>
    <w:rsid w:val="31DD0B1F"/>
    <w:rsid w:val="32E6633A"/>
    <w:rsid w:val="33C0334B"/>
    <w:rsid w:val="35E56190"/>
    <w:rsid w:val="3AF23714"/>
    <w:rsid w:val="3D997236"/>
    <w:rsid w:val="3DAC2858"/>
    <w:rsid w:val="4109395A"/>
    <w:rsid w:val="415123CE"/>
    <w:rsid w:val="42872932"/>
    <w:rsid w:val="42E5074D"/>
    <w:rsid w:val="43776769"/>
    <w:rsid w:val="44AF103D"/>
    <w:rsid w:val="47C076C6"/>
    <w:rsid w:val="481C3B08"/>
    <w:rsid w:val="49AC05F5"/>
    <w:rsid w:val="49AF7B8B"/>
    <w:rsid w:val="4A1E76DB"/>
    <w:rsid w:val="4A3B55B5"/>
    <w:rsid w:val="4C2904FF"/>
    <w:rsid w:val="4D632E83"/>
    <w:rsid w:val="4D8D5BC8"/>
    <w:rsid w:val="4EDFC9B2"/>
    <w:rsid w:val="4EE83C25"/>
    <w:rsid w:val="53962D77"/>
    <w:rsid w:val="53E41AB0"/>
    <w:rsid w:val="552A46A0"/>
    <w:rsid w:val="557E7FBE"/>
    <w:rsid w:val="571275A3"/>
    <w:rsid w:val="59CC1E84"/>
    <w:rsid w:val="59D52770"/>
    <w:rsid w:val="5AE70E33"/>
    <w:rsid w:val="5AEF673F"/>
    <w:rsid w:val="5C47587E"/>
    <w:rsid w:val="5D230C5E"/>
    <w:rsid w:val="5D3A259D"/>
    <w:rsid w:val="5ECD383F"/>
    <w:rsid w:val="5ECF14ED"/>
    <w:rsid w:val="5FDA7144"/>
    <w:rsid w:val="603F056D"/>
    <w:rsid w:val="61174457"/>
    <w:rsid w:val="625F30F4"/>
    <w:rsid w:val="62B17864"/>
    <w:rsid w:val="63421168"/>
    <w:rsid w:val="63876BC5"/>
    <w:rsid w:val="63E257EE"/>
    <w:rsid w:val="641F5886"/>
    <w:rsid w:val="65033347"/>
    <w:rsid w:val="65101656"/>
    <w:rsid w:val="653F7DF8"/>
    <w:rsid w:val="6722055C"/>
    <w:rsid w:val="67885E71"/>
    <w:rsid w:val="67E27EFC"/>
    <w:rsid w:val="6B511288"/>
    <w:rsid w:val="6B5F1692"/>
    <w:rsid w:val="6B9FF4EB"/>
    <w:rsid w:val="6D164F86"/>
    <w:rsid w:val="6D18549A"/>
    <w:rsid w:val="6F645B89"/>
    <w:rsid w:val="6FE74513"/>
    <w:rsid w:val="7252741C"/>
    <w:rsid w:val="735C3151"/>
    <w:rsid w:val="73C2417B"/>
    <w:rsid w:val="7426061C"/>
    <w:rsid w:val="74B36375"/>
    <w:rsid w:val="74F60CF4"/>
    <w:rsid w:val="75B54942"/>
    <w:rsid w:val="765C7139"/>
    <w:rsid w:val="766975F4"/>
    <w:rsid w:val="76891540"/>
    <w:rsid w:val="78580BB8"/>
    <w:rsid w:val="787074DA"/>
    <w:rsid w:val="78EE0914"/>
    <w:rsid w:val="791C2BF9"/>
    <w:rsid w:val="7F7FC462"/>
    <w:rsid w:val="7F9676DE"/>
    <w:rsid w:val="ADDA6E90"/>
    <w:rsid w:val="E9CD4A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99"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4"/>
    <w:basedOn w:val="1"/>
    <w:next w:val="4"/>
    <w:qFormat/>
    <w:uiPriority w:val="0"/>
    <w:pPr>
      <w:keepNext/>
      <w:keepLines/>
      <w:spacing w:line="376" w:lineRule="auto"/>
      <w:outlineLvl w:val="3"/>
    </w:pPr>
    <w:rPr>
      <w:rFonts w:eastAsia="黑体"/>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4">
    <w:name w:val="正文样式1"/>
    <w:basedOn w:val="1"/>
    <w:autoRedefine/>
    <w:semiHidden/>
    <w:qFormat/>
    <w:uiPriority w:val="0"/>
    <w:pPr>
      <w:spacing w:line="288" w:lineRule="auto"/>
      <w:ind w:firstLine="360" w:firstLineChars="150"/>
    </w:pPr>
    <w:rPr>
      <w:sz w:val="24"/>
      <w:szCs w:val="20"/>
    </w:rPr>
  </w:style>
  <w:style w:type="paragraph" w:styleId="5">
    <w:name w:val="Normal Indent"/>
    <w:basedOn w:val="1"/>
    <w:next w:val="6"/>
    <w:qFormat/>
    <w:uiPriority w:val="99"/>
    <w:pPr>
      <w:wordWrap w:val="0"/>
      <w:ind w:left="3400"/>
    </w:pPr>
  </w:style>
  <w:style w:type="paragraph" w:styleId="6">
    <w:name w:val="envelope return"/>
    <w:basedOn w:val="1"/>
    <w:qFormat/>
    <w:uiPriority w:val="0"/>
  </w:style>
  <w:style w:type="paragraph" w:styleId="7">
    <w:name w:val="Body Text"/>
    <w:basedOn w:val="1"/>
    <w:link w:val="20"/>
    <w:semiHidden/>
    <w:qFormat/>
    <w:uiPriority w:val="99"/>
    <w:pPr>
      <w:kinsoku/>
      <w:autoSpaceDE/>
      <w:autoSpaceDN/>
      <w:spacing w:line="560" w:lineRule="exact"/>
      <w:jc w:val="right"/>
      <w:textAlignment w:val="auto"/>
    </w:pPr>
    <w:rPr>
      <w:rFonts w:ascii="仿宋_GB2312" w:hAnsi="Times New Roman" w:eastAsia="仿宋_GB2312" w:cs="Times New Roman"/>
      <w:sz w:val="32"/>
      <w:szCs w:val="32"/>
      <w:lang w:eastAsia="zh-CN"/>
    </w:rPr>
  </w:style>
  <w:style w:type="paragraph" w:styleId="8">
    <w:name w:val="Body Text Indent"/>
    <w:basedOn w:val="1"/>
    <w:qFormat/>
    <w:uiPriority w:val="99"/>
    <w:pPr>
      <w:ind w:left="420" w:leftChars="200"/>
    </w:pPr>
  </w:style>
  <w:style w:type="paragraph" w:styleId="9">
    <w:name w:val="HTML Address"/>
    <w:basedOn w:val="1"/>
    <w:qFormat/>
    <w:uiPriority w:val="99"/>
    <w:pPr>
      <w:ind w:firstLine="420"/>
    </w:pPr>
    <w:rPr>
      <w:rFonts w:cs="Times New Roman"/>
    </w:rPr>
  </w:style>
  <w:style w:type="paragraph" w:styleId="10">
    <w:name w:val="Balloon Text"/>
    <w:basedOn w:val="1"/>
    <w:next w:val="1"/>
    <w:qFormat/>
    <w:uiPriority w:val="0"/>
    <w:rPr>
      <w:sz w:val="18"/>
      <w:szCs w:val="18"/>
    </w:rPr>
  </w:style>
  <w:style w:type="paragraph" w:styleId="11">
    <w:name w:val="footer"/>
    <w:basedOn w:val="1"/>
    <w:qFormat/>
    <w:uiPriority w:val="0"/>
    <w:pPr>
      <w:tabs>
        <w:tab w:val="center" w:pos="4153"/>
        <w:tab w:val="right" w:pos="8306"/>
      </w:tabs>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3">
    <w:name w:val="Normal (Web)"/>
    <w:basedOn w:val="1"/>
    <w:qFormat/>
    <w:uiPriority w:val="0"/>
    <w:pPr>
      <w:spacing w:before="100" w:beforeAutospacing="1" w:after="100" w:afterAutospacing="1"/>
    </w:pPr>
    <w:rPr>
      <w:rFonts w:cs="Times New Roman"/>
      <w:sz w:val="24"/>
      <w:lang w:eastAsia="zh-CN"/>
    </w:rPr>
  </w:style>
  <w:style w:type="paragraph" w:styleId="14">
    <w:name w:val="Title"/>
    <w:basedOn w:val="1"/>
    <w:next w:val="1"/>
    <w:link w:val="21"/>
    <w:qFormat/>
    <w:uiPriority w:val="0"/>
    <w:pPr>
      <w:spacing w:before="240" w:after="60"/>
      <w:jc w:val="center"/>
      <w:outlineLvl w:val="0"/>
    </w:pPr>
    <w:rPr>
      <w:rFonts w:asciiTheme="majorHAnsi" w:hAnsiTheme="majorHAnsi" w:cstheme="majorBidi"/>
      <w:b/>
      <w:bCs/>
      <w:sz w:val="32"/>
      <w:szCs w:val="32"/>
    </w:rPr>
  </w:style>
  <w:style w:type="paragraph" w:styleId="15">
    <w:name w:val="Body Text First Indent 2"/>
    <w:basedOn w:val="8"/>
    <w:qFormat/>
    <w:uiPriority w:val="99"/>
    <w:pPr>
      <w:spacing w:after="120"/>
      <w:ind w:firstLine="42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character" w:customStyle="1" w:styleId="20">
    <w:name w:val="正文文本 Char"/>
    <w:basedOn w:val="18"/>
    <w:link w:val="7"/>
    <w:semiHidden/>
    <w:qFormat/>
    <w:uiPriority w:val="99"/>
    <w:rPr>
      <w:rFonts w:ascii="仿宋_GB2312" w:eastAsia="仿宋_GB2312"/>
      <w:color w:val="000000"/>
      <w:sz w:val="32"/>
      <w:szCs w:val="32"/>
    </w:rPr>
  </w:style>
  <w:style w:type="character" w:customStyle="1" w:styleId="21">
    <w:name w:val="标题 Char"/>
    <w:basedOn w:val="18"/>
    <w:link w:val="14"/>
    <w:qFormat/>
    <w:uiPriority w:val="0"/>
    <w:rPr>
      <w:rFonts w:asciiTheme="majorHAnsi" w:hAnsiTheme="majorHAnsi" w:cstheme="majorBidi"/>
      <w:b/>
      <w:bCs/>
      <w:color w:val="000000"/>
      <w:sz w:val="32"/>
      <w:szCs w:val="32"/>
      <w:lang w:eastAsia="en-US"/>
    </w:rPr>
  </w:style>
  <w:style w:type="paragraph" w:customStyle="1" w:styleId="22">
    <w:name w:val="Table Text"/>
    <w:basedOn w:val="1"/>
    <w:semiHidden/>
    <w:qFormat/>
    <w:uiPriority w:val="0"/>
    <w:rPr>
      <w:rFonts w:ascii="宋体" w:hAnsi="宋体" w:eastAsia="宋体" w:cs="宋体"/>
      <w:sz w:val="25"/>
      <w:szCs w:val="25"/>
      <w:lang w:eastAsia="en-US"/>
    </w:rPr>
  </w:style>
  <w:style w:type="table" w:customStyle="1" w:styleId="2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746</Words>
  <Characters>779</Characters>
  <Lines>14</Lines>
  <Paragraphs>4</Paragraphs>
  <TotalTime>6</TotalTime>
  <ScaleCrop>false</ScaleCrop>
  <LinksUpToDate>false</LinksUpToDate>
  <CharactersWithSpaces>900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2024-01-30T16:44:00Z</dcterms:created>
  <dc:creator>吉祥平安</dc:creator>
  <cp:lastModifiedBy>要你好看</cp:lastModifiedBy>
  <cp:lastPrinted>2026-06-10T07:56:00Z</cp:lastPrinted>
  <dcterms:modified xsi:type="dcterms:W3CDTF">2026-06-15T01:12:12Z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011BA056A04A4EDEBC392119C7199F45_13</vt:lpwstr>
  </property>
  <property fmtid="{D5CDD505-2E9C-101B-9397-08002B2CF9AE}" pid="4" name="KSOTemplateDocerSaveRecord">
    <vt:lpwstr>eyJoZGlkIjoiOGM5NTZjYTQwMTZlYjRkM2I3YWM2YjZhZjA1NjY1ODEiLCJ1c2VySWQiOiIzOTQyNzU4NzEifQ==</vt:lpwstr>
  </property>
</Properties>
</file>