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E3764">
      <w:pPr>
        <w:keepNext w:val="0"/>
        <w:keepLines w:val="0"/>
        <w:pageBreakBefore w:val="0"/>
        <w:widowControl/>
        <w:kinsoku/>
        <w:wordWrap/>
        <w:overflowPunct/>
        <w:topLinePunct w:val="0"/>
        <w:bidi w:val="0"/>
        <w:adjustRightInd w:val="0"/>
        <w:snapToGrid w:val="0"/>
        <w:spacing w:line="580" w:lineRule="exact"/>
        <w:jc w:val="both"/>
        <w:rPr>
          <w:rFonts w:hint="eastAsia" w:ascii="Times New Roman" w:hAnsi="Times New Roman" w:cs="Times New Roman"/>
          <w:lang w:val="en-US" w:eastAsia="zh-CN"/>
        </w:rPr>
      </w:pPr>
    </w:p>
    <w:p w14:paraId="5D725F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732723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0ADBD7C2">
      <w:pPr>
        <w:pStyle w:val="3"/>
        <w:pageBreakBefore w:val="0"/>
        <w:wordWrap/>
        <w:overflowPunct/>
        <w:topLinePunct w:val="0"/>
        <w:bidi w:val="0"/>
        <w:spacing w:line="580" w:lineRule="exact"/>
      </w:pPr>
    </w:p>
    <w:p w14:paraId="56347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sz w:val="32"/>
          <w:szCs w:val="32"/>
        </w:rPr>
      </w:pPr>
    </w:p>
    <w:p w14:paraId="2160F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sz w:val="32"/>
          <w:szCs w:val="32"/>
        </w:rPr>
      </w:pPr>
    </w:p>
    <w:p w14:paraId="5D99A397">
      <w:pPr>
        <w:spacing w:line="570" w:lineRule="exact"/>
        <w:jc w:val="center"/>
        <w:rPr>
          <w:rFonts w:hint="default" w:ascii="仿宋_GB2312" w:eastAsia="仿宋_GB2312"/>
          <w:sz w:val="32"/>
          <w:szCs w:val="32"/>
          <w:lang w:val="en-US"/>
        </w:rPr>
      </w:pPr>
      <w:r>
        <w:rPr>
          <w:rFonts w:hint="eastAsia" w:ascii="仿宋_GB2312" w:eastAsia="仿宋_GB2312"/>
          <w:sz w:val="32"/>
          <w:szCs w:val="32"/>
        </w:rPr>
        <w:t>德城管</w:t>
      </w:r>
      <w:r>
        <w:rPr>
          <w:rFonts w:hint="eastAsia" w:ascii="仿宋_GB2312" w:eastAsia="仿宋_GB2312"/>
          <w:sz w:val="32"/>
          <w:szCs w:val="32"/>
          <w:lang w:val="en-US" w:eastAsia="zh-CN"/>
        </w:rPr>
        <w:t>执法函</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90号</w:t>
      </w:r>
    </w:p>
    <w:p w14:paraId="054E05DC">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仿宋_GB2312" w:hAnsi="仿宋" w:eastAsia="仿宋_GB2312"/>
          <w:sz w:val="32"/>
          <w:szCs w:val="32"/>
          <w:lang w:val="en-US"/>
        </w:rPr>
      </w:pPr>
      <w:r>
        <w:rPr>
          <w:rFonts w:hint="eastAsia"/>
          <w:lang w:val="en-US" w:eastAsia="zh-CN"/>
        </w:rPr>
        <w:t xml:space="preserve">                                                   </w:t>
      </w:r>
      <w:r>
        <w:rPr>
          <w:rFonts w:hint="eastAsia" w:ascii="仿宋_GB2312" w:hAnsi="仿宋_GB2312" w:eastAsia="仿宋_GB2312" w:cs="仿宋_GB2312"/>
          <w:sz w:val="32"/>
          <w:szCs w:val="32"/>
        </w:rPr>
        <w:t>答复类型:</w:t>
      </w:r>
      <w:r>
        <w:rPr>
          <w:rFonts w:hint="eastAsia" w:ascii="仿宋_GB2312" w:hAnsi="仿宋_GB2312" w:eastAsia="仿宋_GB2312" w:cs="仿宋_GB2312"/>
          <w:sz w:val="32"/>
          <w:szCs w:val="32"/>
          <w:lang w:val="en-US" w:eastAsia="zh-CN"/>
        </w:rPr>
        <w:t>A</w:t>
      </w:r>
    </w:p>
    <w:p w14:paraId="7F34D4A6">
      <w:pPr>
        <w:keepNext w:val="0"/>
        <w:keepLines w:val="0"/>
        <w:pageBreakBefore w:val="0"/>
        <w:wordWrap/>
        <w:overflowPunct/>
        <w:topLinePunct w:val="0"/>
        <w:bidi w:val="0"/>
        <w:spacing w:line="600" w:lineRule="exact"/>
        <w:jc w:val="both"/>
        <w:rPr>
          <w:rFonts w:hint="eastAsia" w:ascii="宋体" w:hAnsi="宋体"/>
          <w:b/>
          <w:bCs/>
          <w:sz w:val="44"/>
          <w:szCs w:val="44"/>
        </w:rPr>
      </w:pPr>
    </w:p>
    <w:p w14:paraId="686C432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关于德化县十九届人大</w:t>
      </w:r>
      <w:r>
        <w:rPr>
          <w:rFonts w:hint="eastAsia" w:ascii="方正小标宋简体" w:hAnsi="方正小标宋简体" w:eastAsia="方正小标宋简体" w:cs="方正小标宋简体"/>
          <w:b w:val="0"/>
          <w:bCs w:val="0"/>
          <w:sz w:val="44"/>
          <w:szCs w:val="44"/>
          <w:lang w:eastAsia="zh-CN"/>
        </w:rPr>
        <w:t>六</w:t>
      </w:r>
      <w:r>
        <w:rPr>
          <w:rFonts w:hint="eastAsia" w:ascii="方正小标宋简体" w:hAnsi="方正小标宋简体" w:eastAsia="方正小标宋简体" w:cs="方正小标宋简体"/>
          <w:b w:val="0"/>
          <w:bCs w:val="0"/>
          <w:sz w:val="44"/>
          <w:szCs w:val="44"/>
        </w:rPr>
        <w:t>次会议</w:t>
      </w:r>
    </w:p>
    <w:p w14:paraId="7B989344">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b w:val="0"/>
          <w:bCs w:val="0"/>
          <w:sz w:val="44"/>
          <w:szCs w:val="44"/>
          <w:lang w:val="en-US" w:eastAsia="zh-CN"/>
        </w:rPr>
        <w:t>1194</w:t>
      </w:r>
      <w:r>
        <w:rPr>
          <w:rFonts w:hint="eastAsia" w:ascii="方正小标宋简体" w:hAnsi="方正小标宋简体" w:eastAsia="方正小标宋简体" w:cs="方正小标宋简体"/>
          <w:b w:val="0"/>
          <w:bCs w:val="0"/>
          <w:sz w:val="44"/>
          <w:szCs w:val="44"/>
        </w:rPr>
        <w:t>号建议答复的函</w:t>
      </w:r>
    </w:p>
    <w:p w14:paraId="09CE46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仿宋_GB2312" w:hAnsi="仿宋_GB2312" w:eastAsia="仿宋_GB2312" w:cs="仿宋_GB2312"/>
          <w:b/>
          <w:bCs/>
          <w:sz w:val="32"/>
          <w:szCs w:val="32"/>
        </w:rPr>
      </w:pPr>
    </w:p>
    <w:p w14:paraId="5A499D64">
      <w:pPr>
        <w:keepNext w:val="0"/>
        <w:keepLines w:val="0"/>
        <w:pageBreakBefore w:val="0"/>
        <w:wordWrap/>
        <w:overflowPunct/>
        <w:topLinePunct w:val="0"/>
        <w:bidi w:val="0"/>
        <w:spacing w:line="57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林仁贵</w:t>
      </w:r>
      <w:r>
        <w:rPr>
          <w:rFonts w:hint="eastAsia" w:ascii="仿宋_GB2312" w:hAnsi="Times New Roman" w:eastAsia="仿宋_GB2312" w:cs="Times New Roman"/>
          <w:sz w:val="32"/>
          <w:szCs w:val="32"/>
        </w:rPr>
        <w:t>等</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位代表：</w:t>
      </w:r>
    </w:p>
    <w:p w14:paraId="5C970B68">
      <w:pPr>
        <w:keepNext w:val="0"/>
        <w:keepLines w:val="0"/>
        <w:pageBreakBefore w:val="0"/>
        <w:wordWrap/>
        <w:overflowPunct/>
        <w:topLinePunct w:val="0"/>
        <w:bidi w:val="0"/>
        <w:spacing w:line="57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您</w:t>
      </w:r>
      <w:r>
        <w:rPr>
          <w:rFonts w:hint="eastAsia" w:ascii="仿宋_GB2312" w:eastAsia="仿宋_GB2312"/>
          <w:color w:val="000000"/>
          <w:sz w:val="32"/>
          <w:szCs w:val="32"/>
        </w:rPr>
        <w:t>提出的《关于规范建设乡村建筑垃圾堆放处置点的建议》收悉，现将办理情况答复如下：</w:t>
      </w:r>
    </w:p>
    <w:p w14:paraId="04F2FFB4">
      <w:pPr>
        <w:keepNext w:val="0"/>
        <w:keepLines w:val="0"/>
        <w:pageBreakBefore w:val="0"/>
        <w:wordWrap/>
        <w:overflowPunct/>
        <w:topLinePunct w:val="0"/>
        <w:bidi w:val="0"/>
        <w:spacing w:line="570" w:lineRule="exact"/>
        <w:ind w:firstLine="640" w:firstLineChars="200"/>
        <w:rPr>
          <w:rFonts w:hint="eastAsia" w:ascii="仿宋_GB2312" w:eastAsia="仿宋_GB2312"/>
          <w:color w:val="000000"/>
          <w:sz w:val="32"/>
          <w:szCs w:val="32"/>
        </w:rPr>
      </w:pPr>
      <w:r>
        <w:rPr>
          <w:rFonts w:hint="default" w:ascii="Times New Roman" w:hAnsi="Times New Roman" w:eastAsia="仿宋_GB2312" w:cs="Times New Roman"/>
          <w:sz w:val="32"/>
          <w:szCs w:val="32"/>
          <w:lang w:val="en-US" w:eastAsia="zh-CN"/>
        </w:rPr>
        <w:t>规范乡村建筑垃圾堆放处置点建设与管理</w:t>
      </w:r>
      <w:r>
        <w:rPr>
          <w:rFonts w:hint="eastAsia" w:ascii="Times New Roman" w:hAnsi="Times New Roman" w:eastAsia="仿宋_GB2312" w:cs="Times New Roman"/>
          <w:sz w:val="32"/>
          <w:szCs w:val="32"/>
          <w:lang w:val="en-US" w:eastAsia="zh-CN"/>
        </w:rPr>
        <w:t>这项工作，我们已开始着手推进。</w:t>
      </w:r>
      <w:r>
        <w:rPr>
          <w:rFonts w:hint="eastAsia" w:ascii="仿宋_GB2312" w:eastAsia="仿宋_GB2312"/>
          <w:color w:val="000000"/>
          <w:sz w:val="32"/>
          <w:szCs w:val="32"/>
          <w:lang w:eastAsia="zh-CN"/>
        </w:rPr>
        <w:t>为此</w:t>
      </w:r>
      <w:r>
        <w:rPr>
          <w:rFonts w:hint="eastAsia" w:ascii="仿宋_GB2312" w:eastAsia="仿宋_GB2312"/>
          <w:color w:val="000000"/>
          <w:sz w:val="32"/>
          <w:szCs w:val="32"/>
        </w:rPr>
        <w:t>，我们着重做好以下工作：</w:t>
      </w:r>
    </w:p>
    <w:p w14:paraId="7494E5AB">
      <w:pPr>
        <w:keepNext w:val="0"/>
        <w:keepLines w:val="0"/>
        <w:pageBreakBefore w:val="0"/>
        <w:numPr>
          <w:ilvl w:val="0"/>
          <w:numId w:val="1"/>
        </w:numPr>
        <w:wordWrap/>
        <w:overflowPunct/>
        <w:topLinePunct w:val="0"/>
        <w:bidi w:val="0"/>
        <w:spacing w:line="570" w:lineRule="exact"/>
        <w:ind w:firstLine="640" w:firstLineChars="200"/>
        <w:rPr>
          <w:rFonts w:hint="eastAsia" w:ascii="仿宋_GB2312" w:eastAsia="仿宋_GB2312"/>
          <w:color w:val="000000"/>
          <w:sz w:val="32"/>
          <w:szCs w:val="32"/>
          <w:lang w:val="en-US" w:eastAsia="zh-CN"/>
        </w:rPr>
      </w:pPr>
      <w:r>
        <w:rPr>
          <w:rFonts w:hint="eastAsia" w:ascii="黑体" w:hAnsi="黑体" w:eastAsia="黑体" w:cs="黑体"/>
          <w:b w:val="0"/>
          <w:bCs w:val="0"/>
          <w:color w:val="000000"/>
          <w:sz w:val="32"/>
          <w:szCs w:val="32"/>
          <w:lang w:val="en-US" w:eastAsia="zh-CN"/>
        </w:rPr>
        <w:t>推进</w:t>
      </w:r>
      <w:r>
        <w:rPr>
          <w:rFonts w:hint="default" w:ascii="黑体" w:hAnsi="黑体" w:eastAsia="黑体" w:cs="黑体"/>
          <w:b w:val="0"/>
          <w:bCs w:val="0"/>
          <w:color w:val="000000"/>
          <w:sz w:val="32"/>
          <w:szCs w:val="32"/>
          <w:lang w:val="en-US" w:eastAsia="zh-CN"/>
        </w:rPr>
        <w:t>建设建筑垃圾</w:t>
      </w:r>
      <w:r>
        <w:rPr>
          <w:rFonts w:hint="eastAsia" w:ascii="黑体" w:hAnsi="黑体" w:eastAsia="黑体" w:cs="黑体"/>
          <w:b w:val="0"/>
          <w:bCs w:val="0"/>
          <w:color w:val="000000"/>
          <w:sz w:val="32"/>
          <w:szCs w:val="32"/>
          <w:lang w:val="en-US" w:eastAsia="zh-CN"/>
        </w:rPr>
        <w:t>中转站。</w:t>
      </w:r>
      <w:r>
        <w:rPr>
          <w:rFonts w:hint="eastAsia" w:ascii="仿宋_GB2312" w:eastAsia="仿宋_GB2312"/>
          <w:color w:val="000000"/>
          <w:sz w:val="32"/>
          <w:szCs w:val="32"/>
          <w:lang w:eastAsia="zh-CN"/>
        </w:rPr>
        <w:t>去年来，我局</w:t>
      </w:r>
      <w:r>
        <w:rPr>
          <w:rFonts w:hint="eastAsia" w:ascii="仿宋_GB2312" w:eastAsia="仿宋_GB2312"/>
          <w:color w:val="000000"/>
          <w:sz w:val="32"/>
          <w:szCs w:val="32"/>
          <w:lang w:val="en-US" w:eastAsia="zh-CN"/>
        </w:rPr>
        <w:t>按照《泉州市城市管理局关于进一步加强建筑垃圾临时收集点和中转场(站)建设的通知》要求，部署各乡镇设置建筑垃圾临时收集点和中转站的工作，通过到各个乡镇实地查看，除城关两镇统一使用高内坑建筑垃圾中转场外，其他乡镇所在地都均已设置简易的建筑垃</w:t>
      </w:r>
      <w:r>
        <w:rPr>
          <w:rFonts w:hint="eastAsia" w:ascii="仿宋_GB2312" w:eastAsia="仿宋_GB2312"/>
          <w:color w:val="000000"/>
          <w:w w:val="97"/>
          <w:sz w:val="32"/>
          <w:szCs w:val="32"/>
          <w:lang w:val="en-US" w:eastAsia="zh-CN"/>
        </w:rPr>
        <w:t>圾临时堆放点，并设置公示牌（责任人、运输企业和处置场所）。</w:t>
      </w:r>
      <w:r>
        <w:rPr>
          <w:rFonts w:hint="eastAsia" w:ascii="仿宋_GB2312" w:eastAsia="仿宋_GB2312"/>
          <w:color w:val="000000"/>
          <w:sz w:val="32"/>
          <w:szCs w:val="32"/>
          <w:lang w:val="en-US" w:eastAsia="zh-CN"/>
        </w:rPr>
        <w:t>目前，我局正在推进建筑垃圾中转站建设，要求对简易的建筑垃圾临时堆放点进行升级改造，</w:t>
      </w:r>
      <w:r>
        <w:rPr>
          <w:rFonts w:hint="default" w:ascii="Times New Roman" w:hAnsi="Times New Roman" w:eastAsia="仿宋_GB2312" w:cs="Times New Roman"/>
          <w:sz w:val="32"/>
          <w:szCs w:val="32"/>
          <w:lang w:eastAsia="zh-CN"/>
        </w:rPr>
        <w:t>设置围墙或密闭围挡，地面硬化处理，配备喷淋降尘设施和分类标识牌</w:t>
      </w:r>
      <w:r>
        <w:rPr>
          <w:rFonts w:hint="eastAsia" w:ascii="Times New Roman" w:hAnsi="Times New Roman" w:eastAsia="仿宋_GB2312" w:cs="Times New Roman"/>
          <w:sz w:val="32"/>
          <w:szCs w:val="32"/>
          <w:lang w:eastAsia="zh-CN"/>
        </w:rPr>
        <w:t>，各村可结合实际情况，设置简易的临时收集点。目前，</w:t>
      </w:r>
      <w:r>
        <w:rPr>
          <w:rFonts w:hint="eastAsia" w:ascii="仿宋_GB2312" w:eastAsia="仿宋_GB2312"/>
          <w:color w:val="000000"/>
          <w:sz w:val="32"/>
          <w:szCs w:val="32"/>
          <w:lang w:val="en-US" w:eastAsia="zh-CN"/>
        </w:rPr>
        <w:t xml:space="preserve">全县除城关两镇外已有13个乡镇计划年底建成建筑垃圾中转站建设，我局将持续推进建设进度和指导建设，并将乡镇建设中转站和村居筑垃圾临时收集点完成情况列入年度绩效考评。 </w:t>
      </w:r>
    </w:p>
    <w:p w14:paraId="4FDBC114">
      <w:pPr>
        <w:keepNext w:val="0"/>
        <w:keepLines w:val="0"/>
        <w:pageBreakBefore w:val="0"/>
        <w:wordWrap/>
        <w:overflowPunct/>
        <w:topLinePunct w:val="0"/>
        <w:bidi w:val="0"/>
        <w:spacing w:line="570" w:lineRule="exact"/>
        <w:ind w:firstLine="640" w:firstLineChars="200"/>
        <w:rPr>
          <w:rFonts w:hint="eastAsia" w:ascii="仿宋_GB2312" w:eastAsia="仿宋_GB2312"/>
          <w:color w:val="000000"/>
          <w:sz w:val="32"/>
          <w:szCs w:val="32"/>
          <w:lang w:eastAsia="zh-CN"/>
        </w:rPr>
      </w:pP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lang w:val="en-US" w:eastAsia="zh-CN"/>
        </w:rPr>
        <w:t>规范建筑垃圾管理工作</w:t>
      </w:r>
      <w:r>
        <w:rPr>
          <w:rFonts w:hint="eastAsia" w:ascii="黑体" w:hAnsi="黑体" w:eastAsia="黑体" w:cs="黑体"/>
          <w:b w:val="0"/>
          <w:bCs w:val="0"/>
          <w:color w:val="000000"/>
          <w:sz w:val="32"/>
          <w:szCs w:val="32"/>
          <w:lang w:eastAsia="zh-CN"/>
        </w:rPr>
        <w:t>。</w:t>
      </w:r>
      <w:r>
        <w:rPr>
          <w:rFonts w:hint="eastAsia" w:ascii="仿宋_GB2312" w:eastAsia="仿宋_GB2312"/>
          <w:b w:val="0"/>
          <w:bCs w:val="0"/>
          <w:color w:val="000000"/>
          <w:sz w:val="32"/>
          <w:szCs w:val="32"/>
          <w:lang w:eastAsia="zh-CN"/>
        </w:rPr>
        <w:t>目前，</w:t>
      </w:r>
      <w:r>
        <w:rPr>
          <w:rFonts w:hint="eastAsia" w:ascii="仿宋_GB2312" w:eastAsia="仿宋_GB2312"/>
          <w:b w:val="0"/>
          <w:bCs w:val="0"/>
          <w:color w:val="000000"/>
          <w:sz w:val="32"/>
          <w:szCs w:val="32"/>
          <w:lang w:val="en-US" w:eastAsia="zh-CN"/>
        </w:rPr>
        <w:t>我</w:t>
      </w:r>
      <w:r>
        <w:rPr>
          <w:rFonts w:hint="eastAsia" w:ascii="仿宋_GB2312" w:eastAsia="仿宋_GB2312"/>
          <w:color w:val="000000"/>
          <w:sz w:val="32"/>
          <w:szCs w:val="32"/>
          <w:lang w:val="en-US" w:eastAsia="zh-CN"/>
        </w:rPr>
        <w:t xml:space="preserve">县较为规范化的建筑垃圾资源化处置场所有2个。分别为德化县固体废弃物资源化中心和泉州市美岭新型建材有限公司，能满足我县建筑垃圾资源化利用。我县要求各乡镇集中收集的建筑垃圾统一运往这2个消纳场所进行分拣处置，资源化利用，并要求使用在监管平台内登记的建筑垃圾车辆进行运输，通过加强监管，进一步规范了我县乡镇建筑垃圾帷、运输和处置管理。  </w:t>
      </w:r>
    </w:p>
    <w:p w14:paraId="6A1A01CB">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eastAsia="仿宋_GB2312"/>
          <w:color w:val="000000"/>
          <w:sz w:val="32"/>
          <w:szCs w:val="32"/>
        </w:rPr>
      </w:pPr>
      <w:r>
        <w:rPr>
          <w:rFonts w:hint="eastAsia" w:ascii="仿宋_GB2312" w:eastAsia="仿宋_GB2312"/>
          <w:color w:val="000000"/>
          <w:kern w:val="0"/>
          <w:sz w:val="32"/>
          <w:szCs w:val="32"/>
        </w:rPr>
        <w:t xml:space="preserve"> </w:t>
      </w:r>
    </w:p>
    <w:p w14:paraId="2FE4E63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 xml:space="preserve">分管领导：郑永峰      </w:t>
      </w:r>
      <w:r>
        <w:rPr>
          <w:rFonts w:hint="eastAsia" w:ascii="仿宋_GB2312" w:eastAsia="仿宋_GB2312"/>
          <w:color w:val="000000"/>
          <w:sz w:val="32"/>
          <w:szCs w:val="32"/>
          <w:lang w:val="en-US" w:eastAsia="zh-CN"/>
        </w:rPr>
        <w:t xml:space="preserve">        </w:t>
      </w:r>
    </w:p>
    <w:p w14:paraId="4F41FC1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经办人员：</w:t>
      </w:r>
      <w:r>
        <w:rPr>
          <w:rFonts w:hint="eastAsia" w:ascii="仿宋_GB2312" w:eastAsia="仿宋_GB2312"/>
          <w:color w:val="000000"/>
          <w:sz w:val="32"/>
          <w:szCs w:val="32"/>
          <w:lang w:val="en-US" w:eastAsia="zh-CN"/>
        </w:rPr>
        <w:t>郑绍义</w:t>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p>
    <w:p w14:paraId="204ADF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联系电话：</w:t>
      </w:r>
      <w:r>
        <w:rPr>
          <w:rFonts w:hint="eastAsia" w:ascii="仿宋_GB2312" w:eastAsia="仿宋_GB2312"/>
          <w:color w:val="000000"/>
          <w:sz w:val="32"/>
          <w:szCs w:val="32"/>
          <w:lang w:val="en-US" w:eastAsia="zh-CN"/>
        </w:rPr>
        <w:t>23592089</w:t>
      </w:r>
    </w:p>
    <w:p w14:paraId="118E18A2">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仿宋_GB2312" w:eastAsia="仿宋_GB2312"/>
          <w:color w:val="000000"/>
          <w:sz w:val="32"/>
          <w:szCs w:val="32"/>
          <w:lang w:val="en-US" w:eastAsia="zh-CN"/>
        </w:rPr>
      </w:pPr>
    </w:p>
    <w:p w14:paraId="1C0D9489">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仿宋_GB2312" w:eastAsia="仿宋_GB2312"/>
          <w:color w:val="000000"/>
          <w:sz w:val="32"/>
          <w:szCs w:val="32"/>
          <w:lang w:val="en-US" w:eastAsia="zh-CN"/>
        </w:rPr>
      </w:pPr>
    </w:p>
    <w:p w14:paraId="59E0EEE5">
      <w:pPr>
        <w:keepNext w:val="0"/>
        <w:keepLines w:val="0"/>
        <w:pageBreakBefore w:val="0"/>
        <w:widowControl/>
        <w:kinsoku w:val="0"/>
        <w:wordWrap/>
        <w:overflowPunct/>
        <w:topLinePunct w:val="0"/>
        <w:autoSpaceDE w:val="0"/>
        <w:autoSpaceDN w:val="0"/>
        <w:bidi w:val="0"/>
        <w:adjustRightInd w:val="0"/>
        <w:snapToGrid w:val="0"/>
        <w:spacing w:line="480" w:lineRule="exact"/>
        <w:ind w:firstLine="4160" w:firstLineChars="1300"/>
        <w:textAlignment w:val="baseline"/>
        <w:rPr>
          <w:rFonts w:hint="eastAsia" w:ascii="仿宋_GB2312" w:eastAsia="仿宋_GB2312"/>
          <w:snapToGrid w:val="0"/>
          <w:color w:val="000000" w:themeColor="text1"/>
          <w:sz w:val="32"/>
          <w:szCs w:val="32"/>
          <w14:textFill>
            <w14:solidFill>
              <w14:schemeClr w14:val="tx1"/>
            </w14:solidFill>
          </w14:textFill>
        </w:rPr>
      </w:pPr>
      <w:r>
        <w:rPr>
          <w:rFonts w:hint="eastAsia" w:ascii="仿宋_GB2312" w:eastAsia="仿宋_GB2312"/>
          <w:snapToGrid w:val="0"/>
          <w:color w:val="000000" w:themeColor="text1"/>
          <w:sz w:val="32"/>
          <w:szCs w:val="32"/>
          <w:lang w:val="en-US" w:eastAsia="zh-CN"/>
          <w14:textFill>
            <w14:solidFill>
              <w14:schemeClr w14:val="tx1"/>
            </w14:solidFill>
          </w14:textFill>
        </w:rPr>
        <w:t xml:space="preserve"> </w:t>
      </w:r>
      <w:r>
        <w:rPr>
          <w:rFonts w:hint="eastAsia" w:ascii="仿宋_GB2312" w:eastAsia="仿宋_GB2312"/>
          <w:snapToGrid w:val="0"/>
          <w:color w:val="000000" w:themeColor="text1"/>
          <w:sz w:val="32"/>
          <w:szCs w:val="32"/>
          <w14:textFill>
            <w14:solidFill>
              <w14:schemeClr w14:val="tx1"/>
            </w14:solidFill>
          </w14:textFill>
        </w:rPr>
        <w:t>德化县城市管理</w:t>
      </w:r>
      <w:r>
        <w:rPr>
          <w:rFonts w:hint="eastAsia" w:ascii="仿宋_GB2312" w:eastAsia="仿宋_GB2312"/>
          <w:snapToGrid w:val="0"/>
          <w:color w:val="000000" w:themeColor="text1"/>
          <w:sz w:val="32"/>
          <w:szCs w:val="32"/>
          <w:lang w:eastAsia="zh-CN"/>
          <w14:textFill>
            <w14:solidFill>
              <w14:schemeClr w14:val="tx1"/>
            </w14:solidFill>
          </w14:textFill>
        </w:rPr>
        <w:t>和综合执法</w:t>
      </w:r>
      <w:r>
        <w:rPr>
          <w:rFonts w:hint="eastAsia" w:ascii="仿宋_GB2312" w:eastAsia="仿宋_GB2312"/>
          <w:snapToGrid w:val="0"/>
          <w:color w:val="000000" w:themeColor="text1"/>
          <w:sz w:val="32"/>
          <w:szCs w:val="32"/>
          <w14:textFill>
            <w14:solidFill>
              <w14:schemeClr w14:val="tx1"/>
            </w14:solidFill>
          </w14:textFill>
        </w:rPr>
        <w:t>局</w:t>
      </w:r>
    </w:p>
    <w:p w14:paraId="7CFF8140">
      <w:pPr>
        <w:keepNext w:val="0"/>
        <w:keepLines w:val="0"/>
        <w:pageBreakBefore w:val="0"/>
        <w:widowControl/>
        <w:kinsoku w:val="0"/>
        <w:wordWrap/>
        <w:overflowPunct/>
        <w:topLinePunct w:val="0"/>
        <w:autoSpaceDE w:val="0"/>
        <w:autoSpaceDN w:val="0"/>
        <w:bidi w:val="0"/>
        <w:adjustRightInd w:val="0"/>
        <w:snapToGrid w:val="0"/>
        <w:spacing w:line="480" w:lineRule="exact"/>
        <w:ind w:firstLine="646"/>
        <w:jc w:val="left"/>
        <w:textAlignment w:val="baseline"/>
        <w:rPr>
          <w:rFonts w:hint="eastAsia" w:ascii="仿宋_GB2312" w:eastAsia="仿宋_GB2312"/>
          <w:snapToGrid w:val="0"/>
          <w:color w:val="000000" w:themeColor="text1"/>
          <w:sz w:val="32"/>
          <w:szCs w:val="32"/>
          <w14:textFill>
            <w14:solidFill>
              <w14:schemeClr w14:val="tx1"/>
            </w14:solidFill>
          </w14:textFill>
        </w:rPr>
      </w:pPr>
      <w:r>
        <w:rPr>
          <w:rFonts w:hint="eastAsia" w:ascii="仿宋_GB2312" w:eastAsia="仿宋_GB2312"/>
          <w:snapToGrid w:val="0"/>
          <w:color w:val="000000" w:themeColor="text1"/>
          <w:sz w:val="32"/>
          <w:szCs w:val="32"/>
          <w:lang w:val="en-US" w:eastAsia="zh-CN"/>
          <w14:textFill>
            <w14:solidFill>
              <w14:schemeClr w14:val="tx1"/>
            </w14:solidFill>
          </w14:textFill>
        </w:rPr>
        <w:t xml:space="preserve">                              </w:t>
      </w:r>
      <w:r>
        <w:rPr>
          <w:rFonts w:hint="eastAsia" w:ascii="仿宋_GB2312" w:eastAsia="仿宋_GB2312"/>
          <w:snapToGrid w:val="0"/>
          <w:color w:val="000000" w:themeColor="text1"/>
          <w:sz w:val="32"/>
          <w:szCs w:val="32"/>
          <w14:textFill>
            <w14:solidFill>
              <w14:schemeClr w14:val="tx1"/>
            </w14:solidFill>
          </w14:textFill>
        </w:rPr>
        <w:t>202</w:t>
      </w:r>
      <w:r>
        <w:rPr>
          <w:rFonts w:hint="eastAsia" w:ascii="仿宋_GB2312" w:eastAsia="仿宋_GB2312"/>
          <w:snapToGrid w:val="0"/>
          <w:color w:val="000000" w:themeColor="text1"/>
          <w:sz w:val="32"/>
          <w:szCs w:val="32"/>
          <w:lang w:val="en-US" w:eastAsia="zh-CN"/>
          <w14:textFill>
            <w14:solidFill>
              <w14:schemeClr w14:val="tx1"/>
            </w14:solidFill>
          </w14:textFill>
        </w:rPr>
        <w:t>6</w:t>
      </w:r>
      <w:r>
        <w:rPr>
          <w:rFonts w:hint="eastAsia" w:ascii="仿宋_GB2312" w:eastAsia="仿宋_GB2312"/>
          <w:snapToGrid w:val="0"/>
          <w:color w:val="000000" w:themeColor="text1"/>
          <w:sz w:val="32"/>
          <w:szCs w:val="32"/>
          <w14:textFill>
            <w14:solidFill>
              <w14:schemeClr w14:val="tx1"/>
            </w14:solidFill>
          </w14:textFill>
        </w:rPr>
        <w:t>年</w:t>
      </w:r>
      <w:r>
        <w:rPr>
          <w:rFonts w:hint="eastAsia" w:ascii="仿宋_GB2312" w:eastAsia="仿宋_GB2312"/>
          <w:snapToGrid w:val="0"/>
          <w:color w:val="000000" w:themeColor="text1"/>
          <w:sz w:val="32"/>
          <w:szCs w:val="32"/>
          <w:lang w:val="en-US" w:eastAsia="zh-CN"/>
          <w14:textFill>
            <w14:solidFill>
              <w14:schemeClr w14:val="tx1"/>
            </w14:solidFill>
          </w14:textFill>
        </w:rPr>
        <w:t>6</w:t>
      </w:r>
      <w:r>
        <w:rPr>
          <w:rFonts w:hint="eastAsia" w:ascii="仿宋_GB2312" w:eastAsia="仿宋_GB2312"/>
          <w:snapToGrid w:val="0"/>
          <w:color w:val="000000" w:themeColor="text1"/>
          <w:sz w:val="32"/>
          <w:szCs w:val="32"/>
          <w14:textFill>
            <w14:solidFill>
              <w14:schemeClr w14:val="tx1"/>
            </w14:solidFill>
          </w14:textFill>
        </w:rPr>
        <w:t>月</w:t>
      </w:r>
      <w:r>
        <w:rPr>
          <w:rFonts w:hint="eastAsia" w:ascii="仿宋_GB2312" w:eastAsia="仿宋_GB2312"/>
          <w:snapToGrid w:val="0"/>
          <w:color w:val="000000" w:themeColor="text1"/>
          <w:sz w:val="32"/>
          <w:szCs w:val="32"/>
          <w:lang w:val="en-US" w:eastAsia="zh-CN"/>
          <w14:textFill>
            <w14:solidFill>
              <w14:schemeClr w14:val="tx1"/>
            </w14:solidFill>
          </w14:textFill>
        </w:rPr>
        <w:t>12</w:t>
      </w:r>
      <w:bookmarkStart w:id="0" w:name="_GoBack"/>
      <w:bookmarkEnd w:id="0"/>
      <w:r>
        <w:rPr>
          <w:rFonts w:hint="eastAsia" w:ascii="仿宋_GB2312" w:eastAsia="仿宋_GB2312"/>
          <w:snapToGrid w:val="0"/>
          <w:color w:val="000000" w:themeColor="text1"/>
          <w:sz w:val="32"/>
          <w:szCs w:val="32"/>
          <w14:textFill>
            <w14:solidFill>
              <w14:schemeClr w14:val="tx1"/>
            </w14:solidFill>
          </w14:textFill>
        </w:rPr>
        <w:t>日</w:t>
      </w:r>
    </w:p>
    <w:p w14:paraId="36D729B5">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39D9BEA7">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49E01C4E">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4C837883">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7CBB4EC9">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0A88E750">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7897BA1C">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51EE2763">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371CBA14">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4F40E4DE">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p w14:paraId="33773109">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tbl>
      <w:tblPr>
        <w:tblStyle w:val="16"/>
        <w:tblpPr w:leftFromText="180" w:rightFromText="180" w:vertAnchor="text" w:horzAnchor="page" w:tblpX="1532" w:tblpY="6024"/>
        <w:tblOverlap w:val="never"/>
        <w:tblW w:w="90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9"/>
      </w:tblGrid>
      <w:tr w14:paraId="7ED6B8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059" w:type="dxa"/>
            <w:noWrap w:val="0"/>
            <w:vAlign w:val="top"/>
          </w:tcPr>
          <w:p w14:paraId="2D067D8A">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仿宋_GB2312" w:hAnsi="仿宋" w:eastAsia="仿宋_GB2312" w:cs="仿宋"/>
                <w:color w:val="000000" w:themeColor="text1"/>
                <w:w w:val="93"/>
                <w:sz w:val="28"/>
                <w:szCs w:val="28"/>
                <w14:textFill>
                  <w14:solidFill>
                    <w14:schemeClr w14:val="tx1"/>
                  </w14:solidFill>
                </w14:textFill>
              </w:rPr>
            </w:pPr>
            <w:r>
              <w:rPr>
                <w:rFonts w:hint="eastAsia" w:ascii="仿宋_GB2312" w:hAnsi="仿宋" w:eastAsia="仿宋_GB2312" w:cs="仿宋"/>
                <w:color w:val="000000" w:themeColor="text1"/>
                <w:w w:val="93"/>
                <w:sz w:val="28"/>
                <w:szCs w:val="28"/>
                <w14:textFill>
                  <w14:solidFill>
                    <w14:schemeClr w14:val="tx1"/>
                  </w14:solidFill>
                </w14:textFill>
              </w:rPr>
              <w:t>抄送：</w:t>
            </w:r>
            <w:r>
              <w:rPr>
                <w:rFonts w:hint="eastAsia" w:ascii="仿宋_GB2312" w:hAnsi="仿宋" w:eastAsia="仿宋_GB2312" w:cs="仿宋"/>
                <w:color w:val="000000" w:themeColor="text1"/>
                <w:w w:val="97"/>
                <w:sz w:val="28"/>
                <w:szCs w:val="28"/>
                <w14:textFill>
                  <w14:solidFill>
                    <w14:schemeClr w14:val="tx1"/>
                  </w14:solidFill>
                </w14:textFill>
              </w:rPr>
              <w:t>县人大</w:t>
            </w:r>
            <w:r>
              <w:rPr>
                <w:rFonts w:hint="eastAsia" w:ascii="仿宋_GB2312" w:hAnsi="仿宋" w:eastAsia="仿宋_GB2312" w:cs="仿宋"/>
                <w:color w:val="000000" w:themeColor="text1"/>
                <w:w w:val="97"/>
                <w:sz w:val="28"/>
                <w:szCs w:val="28"/>
                <w:lang w:eastAsia="zh-CN"/>
                <w14:textFill>
                  <w14:solidFill>
                    <w14:schemeClr w14:val="tx1"/>
                  </w14:solidFill>
                </w14:textFill>
              </w:rPr>
              <w:t>常委会</w:t>
            </w:r>
            <w:r>
              <w:rPr>
                <w:rFonts w:hint="eastAsia" w:ascii="仿宋_GB2312" w:hAnsi="仿宋" w:eastAsia="仿宋_GB2312" w:cs="仿宋"/>
                <w:color w:val="000000" w:themeColor="text1"/>
                <w:w w:val="97"/>
                <w:sz w:val="28"/>
                <w:szCs w:val="28"/>
                <w14:textFill>
                  <w14:solidFill>
                    <w14:schemeClr w14:val="tx1"/>
                  </w14:solidFill>
                </w14:textFill>
              </w:rPr>
              <w:t>代表工委，县政府督查室，</w:t>
            </w:r>
            <w:r>
              <w:rPr>
                <w:rFonts w:hint="eastAsia" w:ascii="仿宋_GB2312" w:hAnsi="仿宋" w:eastAsia="仿宋_GB2312" w:cs="仿宋"/>
                <w:color w:val="000000" w:themeColor="text1"/>
                <w:w w:val="97"/>
                <w:sz w:val="28"/>
                <w:szCs w:val="28"/>
                <w:lang w:val="en-US" w:eastAsia="zh-CN"/>
                <w14:textFill>
                  <w14:solidFill>
                    <w14:schemeClr w14:val="tx1"/>
                  </w14:solidFill>
                </w14:textFill>
              </w:rPr>
              <w:t>大铭乡</w:t>
            </w:r>
            <w:r>
              <w:rPr>
                <w:rFonts w:hint="eastAsia" w:ascii="仿宋_GB2312" w:hAnsi="仿宋" w:eastAsia="仿宋_GB2312" w:cs="仿宋"/>
                <w:color w:val="000000" w:themeColor="text1"/>
                <w:w w:val="97"/>
                <w:sz w:val="28"/>
                <w:szCs w:val="28"/>
                <w:lang w:eastAsia="zh-CN"/>
                <w14:textFill>
                  <w14:solidFill>
                    <w14:schemeClr w14:val="tx1"/>
                  </w14:solidFill>
                </w14:textFill>
              </w:rPr>
              <w:t>人大主席团，</w:t>
            </w:r>
            <w:r>
              <w:rPr>
                <w:rFonts w:hint="eastAsia" w:ascii="仿宋_GB2312" w:hAnsi="仿宋" w:eastAsia="仿宋_GB2312" w:cs="仿宋"/>
                <w:color w:val="000000" w:themeColor="text1"/>
                <w:w w:val="97"/>
                <w:sz w:val="28"/>
                <w:szCs w:val="28"/>
                <w14:textFill>
                  <w14:solidFill>
                    <w14:schemeClr w14:val="tx1"/>
                  </w14:solidFill>
                </w14:textFill>
              </w:rPr>
              <w:t>存档。</w:t>
            </w:r>
          </w:p>
        </w:tc>
      </w:tr>
      <w:tr w14:paraId="4E0246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59" w:type="dxa"/>
            <w:noWrap w:val="0"/>
            <w:vAlign w:val="top"/>
          </w:tcPr>
          <w:p w14:paraId="1015B7DF">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德化县城市管理</w:t>
            </w:r>
            <w:r>
              <w:rPr>
                <w:rFonts w:hint="eastAsia" w:ascii="仿宋_GB2312" w:hAnsi="仿宋" w:eastAsia="仿宋_GB2312" w:cs="仿宋"/>
                <w:color w:val="000000" w:themeColor="text1"/>
                <w:sz w:val="28"/>
                <w:szCs w:val="28"/>
                <w:lang w:eastAsia="zh-CN"/>
                <w14:textFill>
                  <w14:solidFill>
                    <w14:schemeClr w14:val="tx1"/>
                  </w14:solidFill>
                </w14:textFill>
              </w:rPr>
              <w:t>和</w:t>
            </w:r>
            <w:r>
              <w:rPr>
                <w:rFonts w:hint="eastAsia" w:ascii="仿宋_GB2312" w:hAnsi="仿宋" w:eastAsia="仿宋_GB2312" w:cs="仿宋"/>
                <w:color w:val="000000" w:themeColor="text1"/>
                <w:sz w:val="28"/>
                <w:szCs w:val="28"/>
                <w:lang w:val="en-US" w:eastAsia="zh-CN"/>
                <w14:textFill>
                  <w14:solidFill>
                    <w14:schemeClr w14:val="tx1"/>
                  </w14:solidFill>
                </w14:textFill>
              </w:rPr>
              <w:t>综合执法</w:t>
            </w:r>
            <w:r>
              <w:rPr>
                <w:rFonts w:hint="eastAsia" w:ascii="仿宋_GB2312" w:hAnsi="仿宋" w:eastAsia="仿宋_GB2312" w:cs="仿宋"/>
                <w:color w:val="000000" w:themeColor="text1"/>
                <w:sz w:val="28"/>
                <w:szCs w:val="28"/>
                <w14:textFill>
                  <w14:solidFill>
                    <w14:schemeClr w14:val="tx1"/>
                  </w14:solidFill>
                </w14:textFill>
              </w:rPr>
              <w:t xml:space="preserve">局      </w:t>
            </w:r>
            <w:r>
              <w:rPr>
                <w:rFonts w:hint="eastAsia" w:ascii="仿宋_GB2312" w:hAnsi="仿宋" w:eastAsia="仿宋_GB2312"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 xml:space="preserve"> </w:t>
            </w:r>
            <w:r>
              <w:rPr>
                <w:rFonts w:hint="eastAsia" w:ascii="仿宋_GB2312" w:hAnsi="仿宋"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202</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年</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月</w:t>
            </w:r>
            <w:r>
              <w:rPr>
                <w:rFonts w:hint="eastAsia" w:ascii="仿宋_GB2312" w:hAnsi="仿宋" w:eastAsia="仿宋_GB2312" w:cs="仿宋"/>
                <w:color w:val="000000" w:themeColor="text1"/>
                <w:sz w:val="28"/>
                <w:szCs w:val="28"/>
                <w:lang w:val="en-US" w:eastAsia="zh-CN"/>
                <w14:textFill>
                  <w14:solidFill>
                    <w14:schemeClr w14:val="tx1"/>
                  </w14:solidFill>
                </w14:textFill>
              </w:rPr>
              <w:t>12</w:t>
            </w:r>
            <w:r>
              <w:rPr>
                <w:rFonts w:hint="eastAsia" w:ascii="仿宋_GB2312" w:hAnsi="仿宋" w:eastAsia="仿宋_GB2312" w:cs="仿宋"/>
                <w:color w:val="000000" w:themeColor="text1"/>
                <w:sz w:val="28"/>
                <w:szCs w:val="28"/>
                <w14:textFill>
                  <w14:solidFill>
                    <w14:schemeClr w14:val="tx1"/>
                  </w14:solidFill>
                </w14:textFill>
              </w:rPr>
              <w:t>日印发</w:t>
            </w:r>
          </w:p>
        </w:tc>
      </w:tr>
    </w:tbl>
    <w:p w14:paraId="1FDF6CD3">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_GB2312" w:eastAsia="仿宋_GB2312"/>
          <w:snapToGrid w:val="0"/>
          <w:color w:val="000000" w:themeColor="text1"/>
          <w:sz w:val="32"/>
          <w:szCs w:val="32"/>
          <w:lang w:eastAsia="zh-CN"/>
          <w14:textFill>
            <w14:solidFill>
              <w14:schemeClr w14:val="tx1"/>
            </w14:solidFill>
          </w14:textFill>
        </w:rPr>
      </w:pPr>
    </w:p>
    <w:sectPr>
      <w:footerReference r:id="rId3" w:type="default"/>
      <w:pgSz w:w="11906" w:h="16838"/>
      <w:pgMar w:top="2098" w:right="1531" w:bottom="1984"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D7E479-1362-4993-A778-5A1BD0D0A0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5EDBE6D-CB56-4C55-8F62-3A9E2DEC360F}"/>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19142CFC-A16D-431D-86F0-8E47BE150583}"/>
  </w:font>
  <w:font w:name="方正小标宋简体">
    <w:panose1 w:val="03000509000000000000"/>
    <w:charset w:val="86"/>
    <w:family w:val="auto"/>
    <w:pitch w:val="default"/>
    <w:sig w:usb0="00000001" w:usb1="080E0000" w:usb2="00000000" w:usb3="00000000" w:csb0="00040000" w:csb1="00000000"/>
    <w:embedRegular r:id="rId4" w:fontKey="{89A0D8E0-F340-46E0-9109-A37F1D332A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1B62">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6AF32"/>
    <w:multiLevelType w:val="singleLevel"/>
    <w:tmpl w:val="F7B6AF32"/>
    <w:lvl w:ilvl="0" w:tentative="0">
      <w:start w:val="1"/>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8"/>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NTZjYTQwMTZlYjRkM2I3YWM2YjZhZjA1NjY1ODEifQ=="/>
  </w:docVars>
  <w:rsids>
    <w:rsidRoot w:val="59CC1E84"/>
    <w:rsid w:val="00103224"/>
    <w:rsid w:val="001728D2"/>
    <w:rsid w:val="001D4F69"/>
    <w:rsid w:val="00235E89"/>
    <w:rsid w:val="002A4317"/>
    <w:rsid w:val="003436D2"/>
    <w:rsid w:val="003E2CF8"/>
    <w:rsid w:val="003F2399"/>
    <w:rsid w:val="00694113"/>
    <w:rsid w:val="0079279A"/>
    <w:rsid w:val="00816AB0"/>
    <w:rsid w:val="0082365E"/>
    <w:rsid w:val="008353C5"/>
    <w:rsid w:val="008411F9"/>
    <w:rsid w:val="0089221E"/>
    <w:rsid w:val="008A21F9"/>
    <w:rsid w:val="00A8426F"/>
    <w:rsid w:val="00AB03F1"/>
    <w:rsid w:val="00B06B34"/>
    <w:rsid w:val="00C57134"/>
    <w:rsid w:val="00D86DF1"/>
    <w:rsid w:val="00EC5843"/>
    <w:rsid w:val="01610CCC"/>
    <w:rsid w:val="036803A4"/>
    <w:rsid w:val="04201C9E"/>
    <w:rsid w:val="058C00A9"/>
    <w:rsid w:val="06E076D6"/>
    <w:rsid w:val="08475D24"/>
    <w:rsid w:val="091266F1"/>
    <w:rsid w:val="0B7B69FA"/>
    <w:rsid w:val="0BBF1E6E"/>
    <w:rsid w:val="0C666A99"/>
    <w:rsid w:val="0CFC5C63"/>
    <w:rsid w:val="0D4A25DE"/>
    <w:rsid w:val="108F237B"/>
    <w:rsid w:val="10BA762A"/>
    <w:rsid w:val="10F86567"/>
    <w:rsid w:val="13DC3D21"/>
    <w:rsid w:val="14831037"/>
    <w:rsid w:val="14A03FE1"/>
    <w:rsid w:val="14C26912"/>
    <w:rsid w:val="152810E0"/>
    <w:rsid w:val="16297D1F"/>
    <w:rsid w:val="16795C6E"/>
    <w:rsid w:val="16A5698E"/>
    <w:rsid w:val="187B7CEC"/>
    <w:rsid w:val="1B1A79D6"/>
    <w:rsid w:val="1EB0494B"/>
    <w:rsid w:val="1F5C4703"/>
    <w:rsid w:val="202E11D8"/>
    <w:rsid w:val="20FF7332"/>
    <w:rsid w:val="21CF45BC"/>
    <w:rsid w:val="22012DB0"/>
    <w:rsid w:val="22700284"/>
    <w:rsid w:val="23DC3C37"/>
    <w:rsid w:val="247E5FEF"/>
    <w:rsid w:val="24E72883"/>
    <w:rsid w:val="25127997"/>
    <w:rsid w:val="267C2231"/>
    <w:rsid w:val="278E213E"/>
    <w:rsid w:val="296C76C3"/>
    <w:rsid w:val="2A544E00"/>
    <w:rsid w:val="2D1278E5"/>
    <w:rsid w:val="2D4A3E64"/>
    <w:rsid w:val="2DBE3BCF"/>
    <w:rsid w:val="2E3D56EB"/>
    <w:rsid w:val="2EF73267"/>
    <w:rsid w:val="2FCA39BD"/>
    <w:rsid w:val="31D54E46"/>
    <w:rsid w:val="31DD0B1F"/>
    <w:rsid w:val="32E6633A"/>
    <w:rsid w:val="33C0334B"/>
    <w:rsid w:val="35E56190"/>
    <w:rsid w:val="3D997236"/>
    <w:rsid w:val="3DAC2858"/>
    <w:rsid w:val="4109395A"/>
    <w:rsid w:val="415123CE"/>
    <w:rsid w:val="42872932"/>
    <w:rsid w:val="42E5074D"/>
    <w:rsid w:val="43776769"/>
    <w:rsid w:val="44AF103D"/>
    <w:rsid w:val="47C076C6"/>
    <w:rsid w:val="481C3B08"/>
    <w:rsid w:val="49AC05F5"/>
    <w:rsid w:val="49AF7B8B"/>
    <w:rsid w:val="4A1E76DB"/>
    <w:rsid w:val="4A3B55B5"/>
    <w:rsid w:val="4C2904FF"/>
    <w:rsid w:val="4D632E83"/>
    <w:rsid w:val="4D8D5BC8"/>
    <w:rsid w:val="4EDFC9B2"/>
    <w:rsid w:val="4EE83C25"/>
    <w:rsid w:val="53962D77"/>
    <w:rsid w:val="53E41AB0"/>
    <w:rsid w:val="552A46A0"/>
    <w:rsid w:val="557E7FBE"/>
    <w:rsid w:val="55CB1B59"/>
    <w:rsid w:val="571275A3"/>
    <w:rsid w:val="574E3A6A"/>
    <w:rsid w:val="59CC1E84"/>
    <w:rsid w:val="59D52770"/>
    <w:rsid w:val="5AE70E33"/>
    <w:rsid w:val="5AEF673F"/>
    <w:rsid w:val="5C47587E"/>
    <w:rsid w:val="5D230C5E"/>
    <w:rsid w:val="5D3A259D"/>
    <w:rsid w:val="5ECD383F"/>
    <w:rsid w:val="5ECF14ED"/>
    <w:rsid w:val="5FDA7144"/>
    <w:rsid w:val="603F056D"/>
    <w:rsid w:val="61174457"/>
    <w:rsid w:val="625F30F4"/>
    <w:rsid w:val="62B17864"/>
    <w:rsid w:val="63421168"/>
    <w:rsid w:val="63876BC5"/>
    <w:rsid w:val="63E257EE"/>
    <w:rsid w:val="641F5886"/>
    <w:rsid w:val="65033347"/>
    <w:rsid w:val="65101656"/>
    <w:rsid w:val="653F7DF8"/>
    <w:rsid w:val="6722055C"/>
    <w:rsid w:val="67885E71"/>
    <w:rsid w:val="67E27EFC"/>
    <w:rsid w:val="6B511288"/>
    <w:rsid w:val="6B5F1692"/>
    <w:rsid w:val="6B9FF4EB"/>
    <w:rsid w:val="6D164F86"/>
    <w:rsid w:val="6D18549A"/>
    <w:rsid w:val="6F645B89"/>
    <w:rsid w:val="6FE74513"/>
    <w:rsid w:val="7252741C"/>
    <w:rsid w:val="733F3BA1"/>
    <w:rsid w:val="735C3151"/>
    <w:rsid w:val="73C2417B"/>
    <w:rsid w:val="7426061C"/>
    <w:rsid w:val="74B36375"/>
    <w:rsid w:val="74F60CF4"/>
    <w:rsid w:val="75B54942"/>
    <w:rsid w:val="765C7139"/>
    <w:rsid w:val="766975F4"/>
    <w:rsid w:val="76891540"/>
    <w:rsid w:val="78580BB8"/>
    <w:rsid w:val="787074DA"/>
    <w:rsid w:val="78EE0914"/>
    <w:rsid w:val="791C2BF9"/>
    <w:rsid w:val="7F7FC462"/>
    <w:rsid w:val="7F9676DE"/>
    <w:rsid w:val="ADDA6E90"/>
    <w:rsid w:val="E9CD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正文样式1"/>
    <w:basedOn w:val="1"/>
    <w:autoRedefine/>
    <w:semiHidden/>
    <w:qFormat/>
    <w:uiPriority w:val="0"/>
    <w:pPr>
      <w:spacing w:line="288" w:lineRule="auto"/>
      <w:ind w:firstLine="360" w:firstLineChars="150"/>
    </w:pPr>
    <w:rPr>
      <w:sz w:val="24"/>
      <w:szCs w:val="20"/>
    </w:rPr>
  </w:style>
  <w:style w:type="paragraph" w:styleId="5">
    <w:name w:val="Normal Indent"/>
    <w:basedOn w:val="1"/>
    <w:next w:val="6"/>
    <w:qFormat/>
    <w:uiPriority w:val="99"/>
    <w:pPr>
      <w:wordWrap w:val="0"/>
      <w:ind w:left="3400"/>
    </w:pPr>
  </w:style>
  <w:style w:type="paragraph" w:styleId="6">
    <w:name w:val="envelope return"/>
    <w:basedOn w:val="1"/>
    <w:qFormat/>
    <w:uiPriority w:val="0"/>
  </w:style>
  <w:style w:type="paragraph" w:styleId="7">
    <w:name w:val="Body Text"/>
    <w:basedOn w:val="1"/>
    <w:link w:val="20"/>
    <w:semiHidden/>
    <w:qFormat/>
    <w:uiPriority w:val="99"/>
    <w:pPr>
      <w:kinsoku/>
      <w:autoSpaceDE/>
      <w:autoSpaceDN/>
      <w:spacing w:line="560" w:lineRule="exact"/>
      <w:jc w:val="right"/>
      <w:textAlignment w:val="auto"/>
    </w:pPr>
    <w:rPr>
      <w:rFonts w:ascii="仿宋_GB2312" w:hAnsi="Times New Roman" w:eastAsia="仿宋_GB2312" w:cs="Times New Roman"/>
      <w:sz w:val="32"/>
      <w:szCs w:val="32"/>
      <w:lang w:eastAsia="zh-CN"/>
    </w:rPr>
  </w:style>
  <w:style w:type="paragraph" w:styleId="8">
    <w:name w:val="Body Text Indent"/>
    <w:basedOn w:val="1"/>
    <w:qFormat/>
    <w:uiPriority w:val="99"/>
    <w:pPr>
      <w:ind w:left="420" w:leftChars="200"/>
    </w:pPr>
  </w:style>
  <w:style w:type="paragraph" w:styleId="9">
    <w:name w:val="HTML Address"/>
    <w:basedOn w:val="1"/>
    <w:qFormat/>
    <w:uiPriority w:val="99"/>
    <w:pPr>
      <w:ind w:firstLine="420"/>
    </w:pPr>
    <w:rPr>
      <w:rFonts w:cs="Times New Roman"/>
    </w:r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Normal (Web)"/>
    <w:basedOn w:val="1"/>
    <w:qFormat/>
    <w:uiPriority w:val="0"/>
    <w:pPr>
      <w:spacing w:before="100" w:beforeAutospacing="1" w:after="100" w:afterAutospacing="1"/>
    </w:pPr>
    <w:rPr>
      <w:rFonts w:cs="Times New Roman"/>
      <w:sz w:val="24"/>
      <w:lang w:eastAsia="zh-CN"/>
    </w:rPr>
  </w:style>
  <w:style w:type="paragraph" w:styleId="14">
    <w:name w:val="Title"/>
    <w:basedOn w:val="1"/>
    <w:next w:val="1"/>
    <w:link w:val="2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8"/>
    <w:qFormat/>
    <w:uiPriority w:val="99"/>
    <w:pPr>
      <w:spacing w:after="120"/>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customStyle="1" w:styleId="20">
    <w:name w:val="正文文本 Char"/>
    <w:basedOn w:val="18"/>
    <w:link w:val="7"/>
    <w:semiHidden/>
    <w:qFormat/>
    <w:uiPriority w:val="99"/>
    <w:rPr>
      <w:rFonts w:ascii="仿宋_GB2312" w:eastAsia="仿宋_GB2312"/>
      <w:color w:val="000000"/>
      <w:sz w:val="32"/>
      <w:szCs w:val="32"/>
    </w:rPr>
  </w:style>
  <w:style w:type="character" w:customStyle="1" w:styleId="21">
    <w:name w:val="标题 Char"/>
    <w:basedOn w:val="18"/>
    <w:link w:val="14"/>
    <w:qFormat/>
    <w:uiPriority w:val="0"/>
    <w:rPr>
      <w:rFonts w:asciiTheme="majorHAnsi" w:hAnsiTheme="majorHAnsi" w:cstheme="majorBidi"/>
      <w:b/>
      <w:bCs/>
      <w:color w:val="000000"/>
      <w:sz w:val="32"/>
      <w:szCs w:val="32"/>
      <w:lang w:eastAsia="en-US"/>
    </w:rPr>
  </w:style>
  <w:style w:type="paragraph" w:customStyle="1" w:styleId="22">
    <w:name w:val="Table Text"/>
    <w:basedOn w:val="1"/>
    <w:semiHidden/>
    <w:qFormat/>
    <w:uiPriority w:val="0"/>
    <w:rPr>
      <w:rFonts w:ascii="宋体" w:hAnsi="宋体" w:eastAsia="宋体" w:cs="宋体"/>
      <w:sz w:val="25"/>
      <w:szCs w:val="25"/>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Normal (Web)_eac72c85-4ef0-4895-bd8c-7d2bb49d1ee0"/>
    <w:basedOn w:val="1"/>
    <w:qFormat/>
    <w:uiPriority w:val="0"/>
    <w:pPr>
      <w:jc w:val="both"/>
    </w:pPr>
    <w:rPr>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734</Words>
  <Characters>790</Characters>
  <Lines>14</Lines>
  <Paragraphs>4</Paragraphs>
  <TotalTime>4</TotalTime>
  <ScaleCrop>false</ScaleCrop>
  <LinksUpToDate>false</LinksUpToDate>
  <CharactersWithSpaces>920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2024-01-30T16:44:00Z</dcterms:created>
  <dc:creator>吉祥平安</dc:creator>
  <cp:lastModifiedBy>要你好看</cp:lastModifiedBy>
  <cp:lastPrinted>2026-06-15T07:40:14Z</cp:lastPrinted>
  <dcterms:modified xsi:type="dcterms:W3CDTF">2026-06-15T07:41:13Z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D47755569F814B9CB9768FD7564B0605_13</vt:lpwstr>
  </property>
  <property fmtid="{D5CDD505-2E9C-101B-9397-08002B2CF9AE}" pid="4" name="KSOTemplateDocerSaveRecord">
    <vt:lpwstr>eyJoZGlkIjoiOGM5NTZjYTQwMTZlYjRkM2I3YWM2YjZhZjA1NjY1ODEiLCJ1c2VySWQiOiIzOTQyNzU4NzEifQ==</vt:lpwstr>
  </property>
</Properties>
</file>