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jc w:val="center"/>
        <w:rPr>
          <w:rFonts w:hint="eastAsia" w:ascii="黑体" w:hAnsi="黑体" w:eastAsia="黑体"/>
          <w:sz w:val="44"/>
          <w:szCs w:val="44"/>
        </w:rPr>
      </w:pPr>
      <w:r>
        <w:rPr>
          <w:rFonts w:hint="eastAsia" w:ascii="黑体" w:hAnsi="黑体" w:eastAsia="黑体"/>
          <w:sz w:val="44"/>
          <w:szCs w:val="44"/>
        </w:rPr>
        <w:t>2023年德化县应急广播体系建设专项资金</w:t>
      </w:r>
    </w:p>
    <w:p>
      <w:pPr>
        <w:jc w:val="center"/>
        <w:rPr>
          <w:rFonts w:hint="eastAsia" w:ascii="黑体" w:hAnsi="黑体" w:eastAsia="黑体"/>
          <w:sz w:val="44"/>
          <w:szCs w:val="44"/>
        </w:rPr>
      </w:pPr>
      <w:r>
        <w:rPr>
          <w:rFonts w:hint="eastAsia" w:ascii="黑体" w:hAnsi="黑体" w:eastAsia="黑体"/>
          <w:sz w:val="44"/>
          <w:szCs w:val="44"/>
        </w:rPr>
        <w:t>绩效评价报告</w:t>
      </w: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黑体" w:hAnsi="黑体" w:eastAsia="黑体"/>
          <w:sz w:val="32"/>
          <w:szCs w:val="32"/>
          <w:u w:val="single"/>
        </w:rPr>
      </w:pPr>
      <w:r>
        <w:rPr>
          <w:rFonts w:hint="eastAsia" w:ascii="黑体" w:hAnsi="黑体" w:eastAsia="黑体"/>
          <w:sz w:val="32"/>
          <w:szCs w:val="32"/>
        </w:rPr>
        <w:t>项目单位：</w:t>
      </w:r>
      <w:r>
        <w:rPr>
          <w:rFonts w:hint="eastAsia" w:ascii="黑体" w:hAnsi="黑体" w:eastAsia="黑体"/>
          <w:sz w:val="32"/>
          <w:szCs w:val="32"/>
          <w:u w:val="single"/>
        </w:rPr>
        <w:t xml:space="preserve">            德化县应急局              </w:t>
      </w:r>
    </w:p>
    <w:p>
      <w:pPr>
        <w:rPr>
          <w:rFonts w:hint="eastAsia" w:ascii="黑体" w:hAnsi="黑体" w:eastAsia="黑体"/>
          <w:sz w:val="32"/>
          <w:szCs w:val="32"/>
          <w:u w:val="single"/>
        </w:rPr>
      </w:pPr>
      <w:r>
        <w:rPr>
          <w:rFonts w:hint="eastAsia" w:ascii="黑体" w:hAnsi="黑体" w:eastAsia="黑体"/>
          <w:sz w:val="32"/>
          <w:szCs w:val="32"/>
        </w:rPr>
        <w:t>委托单位：</w:t>
      </w:r>
      <w:r>
        <w:rPr>
          <w:rFonts w:hint="eastAsia" w:ascii="黑体" w:hAnsi="黑体" w:eastAsia="黑体"/>
          <w:sz w:val="32"/>
          <w:szCs w:val="32"/>
          <w:u w:val="single"/>
        </w:rPr>
        <w:t xml:space="preserve">            德化县财政局              </w:t>
      </w:r>
    </w:p>
    <w:p>
      <w:pPr>
        <w:rPr>
          <w:rFonts w:hint="eastAsia" w:ascii="黑体" w:hAnsi="黑体" w:eastAsia="黑体"/>
          <w:sz w:val="32"/>
          <w:szCs w:val="32"/>
        </w:rPr>
      </w:pPr>
      <w:r>
        <w:rPr>
          <w:rFonts w:hint="eastAsia" w:ascii="黑体" w:hAnsi="黑体" w:eastAsia="黑体"/>
          <w:sz w:val="32"/>
          <w:szCs w:val="32"/>
        </w:rPr>
        <w:t>评价机构：</w:t>
      </w:r>
      <w:r>
        <w:rPr>
          <w:rFonts w:hint="eastAsia" w:ascii="黑体" w:hAnsi="黑体" w:eastAsia="黑体"/>
          <w:sz w:val="32"/>
          <w:szCs w:val="32"/>
          <w:u w:val="single"/>
        </w:rPr>
        <w:t xml:space="preserve">     泉州市启程财务咨询有限公司       </w:t>
      </w:r>
    </w:p>
    <w:p>
      <w:pPr>
        <w:rPr>
          <w:rFonts w:hint="eastAsia" w:ascii="黑体" w:hAnsi="黑体" w:eastAsia="黑体"/>
          <w:sz w:val="32"/>
          <w:szCs w:val="32"/>
          <w:u w:val="single"/>
        </w:rPr>
      </w:pPr>
      <w:r>
        <w:rPr>
          <w:rFonts w:hint="eastAsia" w:ascii="黑体" w:hAnsi="黑体" w:eastAsia="黑体"/>
          <w:sz w:val="32"/>
          <w:szCs w:val="32"/>
        </w:rPr>
        <w:t>评价时间：</w:t>
      </w:r>
      <w:r>
        <w:rPr>
          <w:rFonts w:hint="eastAsia" w:ascii="黑体" w:hAnsi="黑体" w:eastAsia="黑体"/>
          <w:sz w:val="32"/>
          <w:szCs w:val="32"/>
          <w:u w:val="single"/>
        </w:rPr>
        <w:t xml:space="preserve">            2024年</w:t>
      </w:r>
      <w:r>
        <w:rPr>
          <w:rFonts w:hint="eastAsia" w:ascii="黑体" w:hAnsi="黑体" w:eastAsia="黑体"/>
          <w:sz w:val="32"/>
          <w:szCs w:val="32"/>
          <w:u w:val="single"/>
          <w:lang w:val="en-US" w:eastAsia="zh-CN"/>
        </w:rPr>
        <w:t>8</w:t>
      </w:r>
      <w:r>
        <w:rPr>
          <w:rFonts w:hint="eastAsia" w:ascii="黑体" w:hAnsi="黑体" w:eastAsia="黑体"/>
          <w:sz w:val="32"/>
          <w:szCs w:val="32"/>
          <w:u w:val="single"/>
        </w:rPr>
        <w:t>-</w:t>
      </w:r>
      <w:r>
        <w:rPr>
          <w:rFonts w:hint="eastAsia" w:ascii="黑体" w:hAnsi="黑体" w:eastAsia="黑体"/>
          <w:sz w:val="32"/>
          <w:szCs w:val="32"/>
          <w:u w:val="single"/>
          <w:lang w:val="en-US" w:eastAsia="zh-CN"/>
        </w:rPr>
        <w:t>9</w:t>
      </w:r>
      <w:r>
        <w:rPr>
          <w:rFonts w:hint="eastAsia" w:ascii="黑体" w:hAnsi="黑体" w:eastAsia="黑体"/>
          <w:sz w:val="32"/>
          <w:szCs w:val="32"/>
          <w:u w:val="single"/>
        </w:rPr>
        <w:t xml:space="preserve">月              </w:t>
      </w: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jc w:val="center"/>
        <w:rPr>
          <w:rFonts w:hint="eastAsia" w:ascii="黑体" w:hAnsi="黑体" w:eastAsia="黑体"/>
          <w:sz w:val="32"/>
          <w:szCs w:val="32"/>
        </w:rPr>
      </w:pPr>
      <w:r>
        <w:rPr>
          <w:rFonts w:hint="eastAsia" w:ascii="黑体" w:hAnsi="黑体" w:eastAsia="黑体"/>
          <w:sz w:val="32"/>
          <w:szCs w:val="32"/>
        </w:rPr>
        <w:t>2024年</w:t>
      </w:r>
      <w:r>
        <w:rPr>
          <w:rFonts w:hint="eastAsia" w:ascii="黑体" w:hAnsi="黑体" w:eastAsia="黑体"/>
          <w:sz w:val="32"/>
          <w:szCs w:val="32"/>
          <w:lang w:val="en-US" w:eastAsia="zh-CN"/>
        </w:rPr>
        <w:t>9</w:t>
      </w:r>
      <w:r>
        <w:rPr>
          <w:rFonts w:hint="eastAsia" w:ascii="黑体" w:hAnsi="黑体" w:eastAsia="黑体"/>
          <w:sz w:val="32"/>
          <w:szCs w:val="32"/>
        </w:rPr>
        <w:t>月</w:t>
      </w:r>
      <w:r>
        <w:rPr>
          <w:rFonts w:hint="eastAsia" w:ascii="黑体" w:hAnsi="黑体" w:eastAsia="黑体"/>
          <w:sz w:val="32"/>
          <w:szCs w:val="32"/>
          <w:lang w:val="en-US" w:eastAsia="zh-CN"/>
        </w:rPr>
        <w:t>30</w:t>
      </w:r>
      <w:r>
        <w:rPr>
          <w:rFonts w:hint="eastAsia" w:ascii="黑体" w:hAnsi="黑体" w:eastAsia="黑体"/>
          <w:sz w:val="32"/>
          <w:szCs w:val="32"/>
        </w:rPr>
        <w:t>日</w:t>
      </w:r>
    </w:p>
    <w:p>
      <w:pPr>
        <w:pStyle w:val="261"/>
        <w:jc w:val="center"/>
        <w:rPr>
          <w:rFonts w:hint="eastAsia" w:asciiTheme="minorHAnsi" w:hAnsiTheme="minorHAnsi" w:eastAsiaTheme="minorEastAsia" w:cstheme="minorBidi"/>
          <w:color w:val="auto"/>
          <w:kern w:val="2"/>
          <w:sz w:val="22"/>
          <w:szCs w:val="24"/>
          <w14:ligatures w14:val="standardContextual"/>
        </w:rPr>
      </w:pPr>
    </w:p>
    <w:p>
      <w:pPr>
        <w:jc w:val="center"/>
        <w:rPr>
          <w:rFonts w:hint="eastAsia"/>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黑体" w:hAnsi="黑体" w:eastAsia="黑体"/>
          <w:sz w:val="32"/>
          <w:szCs w:val="32"/>
        </w:rPr>
      </w:pPr>
      <w:r>
        <w:rPr>
          <w:rFonts w:hint="eastAsia" w:ascii="黑体" w:hAnsi="黑体" w:eastAsia="黑体"/>
          <w:sz w:val="32"/>
          <w:szCs w:val="32"/>
        </w:rPr>
        <w:t>绩效评价工作组人员名单</w:t>
      </w:r>
    </w:p>
    <w:tbl>
      <w:tblPr>
        <w:tblStyle w:val="8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914"/>
        <w:gridCol w:w="191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b/>
                <w:bCs/>
                <w:sz w:val="28"/>
                <w:szCs w:val="28"/>
                <w:lang w:val="zh-CN"/>
              </w:rPr>
            </w:pPr>
            <w:r>
              <w:rPr>
                <w:rFonts w:hint="eastAsia" w:ascii="仿宋" w:hAnsi="仿宋" w:eastAsia="仿宋"/>
                <w:b/>
                <w:bCs/>
                <w:sz w:val="28"/>
                <w:szCs w:val="28"/>
                <w:lang w:val="zh-CN"/>
              </w:rPr>
              <w:t>序号</w:t>
            </w:r>
          </w:p>
        </w:tc>
        <w:tc>
          <w:tcPr>
            <w:tcW w:w="1123" w:type="pct"/>
          </w:tcPr>
          <w:p>
            <w:pPr>
              <w:jc w:val="center"/>
              <w:rPr>
                <w:rFonts w:hint="eastAsia" w:ascii="仿宋" w:hAnsi="仿宋" w:eastAsia="仿宋"/>
                <w:b/>
                <w:bCs/>
                <w:sz w:val="28"/>
                <w:szCs w:val="28"/>
                <w:lang w:val="zh-CN"/>
              </w:rPr>
            </w:pPr>
            <w:r>
              <w:rPr>
                <w:rFonts w:hint="eastAsia" w:ascii="仿宋" w:hAnsi="仿宋" w:eastAsia="仿宋"/>
                <w:b/>
                <w:bCs/>
                <w:sz w:val="28"/>
                <w:szCs w:val="28"/>
                <w:lang w:val="zh-CN"/>
              </w:rPr>
              <w:t>职务</w:t>
            </w:r>
          </w:p>
        </w:tc>
        <w:tc>
          <w:tcPr>
            <w:tcW w:w="1123" w:type="pct"/>
          </w:tcPr>
          <w:p>
            <w:pPr>
              <w:jc w:val="center"/>
              <w:rPr>
                <w:rFonts w:hint="eastAsia" w:ascii="仿宋" w:hAnsi="仿宋" w:eastAsia="仿宋"/>
                <w:b/>
                <w:bCs/>
                <w:sz w:val="28"/>
                <w:szCs w:val="28"/>
                <w:lang w:val="zh-CN"/>
              </w:rPr>
            </w:pPr>
            <w:r>
              <w:rPr>
                <w:rFonts w:hint="eastAsia" w:ascii="仿宋" w:hAnsi="仿宋" w:eastAsia="仿宋"/>
                <w:b/>
                <w:bCs/>
                <w:sz w:val="28"/>
                <w:szCs w:val="28"/>
                <w:lang w:val="zh-CN"/>
              </w:rPr>
              <w:t>姓名</w:t>
            </w:r>
          </w:p>
        </w:tc>
        <w:tc>
          <w:tcPr>
            <w:tcW w:w="1912" w:type="pct"/>
          </w:tcPr>
          <w:p>
            <w:pPr>
              <w:jc w:val="center"/>
              <w:rPr>
                <w:rFonts w:hint="eastAsia" w:ascii="仿宋" w:hAnsi="仿宋" w:eastAsia="仿宋"/>
                <w:b/>
                <w:bCs/>
                <w:sz w:val="28"/>
                <w:szCs w:val="28"/>
                <w:lang w:val="zh-CN"/>
              </w:rPr>
            </w:pPr>
            <w:r>
              <w:rPr>
                <w:rFonts w:hint="eastAsia" w:ascii="仿宋" w:hAnsi="仿宋" w:eastAsia="仿宋"/>
                <w:b/>
                <w:bCs/>
                <w:sz w:val="28"/>
                <w:szCs w:val="28"/>
                <w:lang w:val="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1</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组长</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徐本玉</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18606955277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2</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副组长</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卢婉芳</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15060965456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3</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副组长</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黄诚永</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15559037665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4</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陈晓彬</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15960567231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5</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刘凤阳</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13348313607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6</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李英</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19959520670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7</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施沛芸</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13960474685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8</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林善英</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18650271107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9</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王燕燕</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17850999589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 w:type="pct"/>
          </w:tcPr>
          <w:p>
            <w:pPr>
              <w:jc w:val="center"/>
              <w:rPr>
                <w:rFonts w:hint="eastAsia" w:ascii="仿宋" w:hAnsi="仿宋" w:eastAsia="仿宋"/>
                <w:sz w:val="28"/>
                <w:szCs w:val="28"/>
                <w:lang w:val="zh-CN"/>
              </w:rPr>
            </w:pPr>
            <w:r>
              <w:rPr>
                <w:rFonts w:hint="eastAsia" w:ascii="仿宋" w:hAnsi="仿宋" w:eastAsia="仿宋"/>
                <w:sz w:val="28"/>
                <w:szCs w:val="28"/>
                <w:lang w:val="zh-CN"/>
              </w:rPr>
              <w:t>10</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组员</w:t>
            </w:r>
          </w:p>
        </w:tc>
        <w:tc>
          <w:tcPr>
            <w:tcW w:w="1123" w:type="pct"/>
          </w:tcPr>
          <w:p>
            <w:pPr>
              <w:jc w:val="center"/>
              <w:rPr>
                <w:rFonts w:hint="eastAsia" w:ascii="仿宋" w:hAnsi="仿宋" w:eastAsia="仿宋"/>
                <w:sz w:val="28"/>
                <w:szCs w:val="28"/>
                <w:lang w:val="zh-CN"/>
              </w:rPr>
            </w:pPr>
            <w:r>
              <w:rPr>
                <w:rFonts w:hint="eastAsia" w:ascii="仿宋" w:hAnsi="仿宋" w:eastAsia="仿宋"/>
                <w:sz w:val="28"/>
                <w:szCs w:val="28"/>
                <w:lang w:val="zh-CN"/>
              </w:rPr>
              <w:t>吴劲榕</w:t>
            </w:r>
          </w:p>
        </w:tc>
        <w:tc>
          <w:tcPr>
            <w:tcW w:w="1912" w:type="pct"/>
          </w:tcPr>
          <w:p>
            <w:pPr>
              <w:jc w:val="center"/>
              <w:rPr>
                <w:rFonts w:hint="eastAsia" w:ascii="仿宋" w:hAnsi="仿宋" w:eastAsia="仿宋"/>
                <w:sz w:val="28"/>
                <w:szCs w:val="28"/>
                <w:lang w:val="zh-CN"/>
              </w:rPr>
            </w:pPr>
            <w:r>
              <w:rPr>
                <w:rFonts w:hint="eastAsia" w:ascii="仿宋" w:hAnsi="仿宋" w:eastAsia="仿宋"/>
                <w:sz w:val="28"/>
                <w:szCs w:val="28"/>
                <w:lang w:val="zh-CN"/>
              </w:rPr>
              <w:t>19859000926</w:t>
            </w:r>
          </w:p>
        </w:tc>
      </w:tr>
    </w:tbl>
    <w:p>
      <w:pPr>
        <w:rPr>
          <w:rFonts w:hint="eastAsia"/>
          <w:lang w:val="zh-CN"/>
        </w:rPr>
      </w:pPr>
    </w:p>
    <w:p>
      <w:pPr>
        <w:rPr>
          <w:rFonts w:hint="eastAsia"/>
          <w:lang w:val="zh-CN"/>
        </w:rPr>
      </w:pPr>
    </w:p>
    <w:p>
      <w:pPr>
        <w:rPr>
          <w:rFonts w:hint="eastAsia"/>
          <w:lang w:val="zh-CN"/>
        </w:rPr>
      </w:pPr>
    </w:p>
    <w:p>
      <w:pPr>
        <w:rPr>
          <w:rFonts w:hint="eastAsia"/>
          <w:lang w:val="zh-CN"/>
        </w:rPr>
      </w:pPr>
    </w:p>
    <w:p>
      <w:pPr>
        <w:widowControl/>
        <w:spacing w:after="0" w:line="240" w:lineRule="auto"/>
        <w:rPr>
          <w:rFonts w:hint="eastAsia"/>
          <w:lang w:val="zh-CN"/>
        </w:rPr>
      </w:pPr>
      <w:r>
        <w:rPr>
          <w:rFonts w:hint="eastAsia"/>
          <w:lang w:val="zh-CN"/>
        </w:rPr>
        <w:br w:type="page"/>
      </w:r>
    </w:p>
    <w:sdt>
      <w:sdtPr>
        <w:rPr>
          <w:rFonts w:asciiTheme="minorHAnsi" w:hAnsiTheme="minorHAnsi" w:eastAsiaTheme="minorEastAsia" w:cstheme="minorBidi"/>
          <w:color w:val="auto"/>
          <w:kern w:val="2"/>
          <w:sz w:val="22"/>
          <w:szCs w:val="24"/>
          <w:lang w:val="zh-CN"/>
          <w14:ligatures w14:val="standardContextual"/>
        </w:rPr>
        <w:id w:val="1142317531"/>
        <w:docPartObj>
          <w:docPartGallery w:val="Table of Contents"/>
          <w:docPartUnique/>
        </w:docPartObj>
      </w:sdtPr>
      <w:sdtEndPr>
        <w:rPr>
          <w:rFonts w:ascii="仿宋" w:hAnsi="仿宋" w:eastAsia="仿宋" w:cstheme="minorBidi"/>
          <w:color w:val="auto"/>
          <w:kern w:val="2"/>
          <w:sz w:val="24"/>
          <w:szCs w:val="24"/>
          <w:lang w:val="zh-CN"/>
          <w14:ligatures w14:val="standardContextual"/>
        </w:rPr>
      </w:sdtEndPr>
      <w:sdtContent>
        <w:p>
          <w:pPr>
            <w:pStyle w:val="261"/>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b/>
              <w:bCs/>
              <w:color w:val="auto"/>
              <w:sz w:val="24"/>
              <w:szCs w:val="24"/>
            </w:rPr>
          </w:pPr>
          <w:r>
            <w:rPr>
              <w:rFonts w:ascii="仿宋" w:hAnsi="仿宋" w:eastAsia="仿宋"/>
              <w:b/>
              <w:bCs/>
              <w:color w:val="auto"/>
              <w:sz w:val="24"/>
              <w:szCs w:val="24"/>
              <w:lang w:val="zh-CN"/>
            </w:rPr>
            <w:t>目录</w:t>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fldChar w:fldCharType="begin"/>
          </w:r>
          <w:r>
            <w:instrText xml:space="preserve"> HYPERLINK \l "_Toc177992422" </w:instrText>
          </w:r>
          <w:r>
            <w:fldChar w:fldCharType="separate"/>
          </w:r>
          <w:r>
            <w:rPr>
              <w:rStyle w:val="242"/>
              <w:rFonts w:hint="eastAsia" w:ascii="仿宋" w:hAnsi="仿宋" w:eastAsia="仿宋"/>
              <w:sz w:val="24"/>
            </w:rPr>
            <w:t>一、项目概况</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_Toc177992422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"_Toc177992423" </w:instrText>
          </w:r>
          <w:r>
            <w:fldChar w:fldCharType="separate"/>
          </w:r>
          <w:r>
            <w:rPr>
              <w:rStyle w:val="242"/>
              <w:rFonts w:hint="eastAsia" w:ascii="仿宋" w:hAnsi="仿宋" w:eastAsia="仿宋"/>
              <w:sz w:val="24"/>
            </w:rPr>
            <w:t>（一）项目背景</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_Toc177992423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"_Toc177992424" </w:instrText>
          </w:r>
          <w:r>
            <w:fldChar w:fldCharType="separate"/>
          </w:r>
          <w:r>
            <w:rPr>
              <w:rStyle w:val="242"/>
              <w:rFonts w:hint="eastAsia" w:ascii="仿宋" w:hAnsi="仿宋" w:eastAsia="仿宋"/>
              <w:sz w:val="24"/>
            </w:rPr>
            <w:t>（二）作用和意义</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_Toc177992424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"_Toc177992425" </w:instrText>
          </w:r>
          <w:r>
            <w:fldChar w:fldCharType="separate"/>
          </w:r>
          <w:r>
            <w:rPr>
              <w:rStyle w:val="242"/>
              <w:rFonts w:hint="eastAsia" w:ascii="仿宋" w:hAnsi="仿宋" w:eastAsia="仿宋"/>
              <w:sz w:val="24"/>
            </w:rPr>
            <w:t>（三）项目的内容</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_Toc177992425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"_Toc177992426" </w:instrText>
          </w:r>
          <w:r>
            <w:fldChar w:fldCharType="separate"/>
          </w:r>
          <w:r>
            <w:rPr>
              <w:rStyle w:val="242"/>
              <w:rFonts w:hint="eastAsia" w:ascii="仿宋" w:hAnsi="仿宋" w:eastAsia="仿宋"/>
              <w:sz w:val="24"/>
            </w:rPr>
            <w:t>1.县应急广播体系建设专项资金的用途</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_Toc177992426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"_Toc177992427" </w:instrText>
          </w:r>
          <w:r>
            <w:fldChar w:fldCharType="separate"/>
          </w:r>
          <w:r>
            <w:rPr>
              <w:rStyle w:val="242"/>
              <w:rFonts w:hint="eastAsia" w:ascii="仿宋" w:hAnsi="仿宋" w:eastAsia="仿宋"/>
              <w:sz w:val="24"/>
            </w:rPr>
            <w:t>2.项目采购的内容</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_Toc177992427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3</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"_Toc177992428" </w:instrText>
          </w:r>
          <w:r>
            <w:fldChar w:fldCharType="separate"/>
          </w:r>
          <w:r>
            <w:rPr>
              <w:rStyle w:val="242"/>
              <w:rFonts w:hint="eastAsia" w:ascii="仿宋" w:hAnsi="仿宋" w:eastAsia="仿宋"/>
              <w:sz w:val="24"/>
            </w:rPr>
            <w:t>3.预算编制、批复和执行</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_Toc177992428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3</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"_Toc177992429" </w:instrText>
          </w:r>
          <w:r>
            <w:fldChar w:fldCharType="separate"/>
          </w:r>
          <w:r>
            <w:rPr>
              <w:rStyle w:val="242"/>
              <w:rFonts w:hint="eastAsia" w:ascii="仿宋" w:hAnsi="仿宋" w:eastAsia="仿宋"/>
              <w:sz w:val="24"/>
            </w:rPr>
            <w:t>二、项目实施情况</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_Toc177992429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3</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"_Toc177992430" </w:instrText>
          </w:r>
          <w:r>
            <w:fldChar w:fldCharType="separate"/>
          </w:r>
          <w:r>
            <w:rPr>
              <w:rStyle w:val="242"/>
              <w:rFonts w:hint="eastAsia" w:ascii="仿宋" w:hAnsi="仿宋" w:eastAsia="仿宋"/>
              <w:sz w:val="24"/>
            </w:rPr>
            <w:t>（一）资金来源及使用情况</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_Toc177992430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3</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"_Toc177992431" </w:instrText>
          </w:r>
          <w:r>
            <w:fldChar w:fldCharType="separate"/>
          </w:r>
          <w:r>
            <w:rPr>
              <w:rStyle w:val="242"/>
              <w:rFonts w:hint="eastAsia" w:ascii="仿宋" w:hAnsi="仿宋" w:eastAsia="仿宋"/>
              <w:sz w:val="24"/>
            </w:rPr>
            <w:t>（二）实施组织及管理情况</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_Toc177992431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4</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"_Toc177992432" </w:instrText>
          </w:r>
          <w:r>
            <w:fldChar w:fldCharType="separate"/>
          </w:r>
          <w:r>
            <w:rPr>
              <w:rStyle w:val="242"/>
              <w:rFonts w:hint="eastAsia" w:ascii="仿宋" w:hAnsi="仿宋" w:eastAsia="仿宋"/>
              <w:sz w:val="24"/>
            </w:rPr>
            <w:t>（三）总体目标</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_Toc177992432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4</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"_Toc177992433" </w:instrText>
          </w:r>
          <w:r>
            <w:fldChar w:fldCharType="separate"/>
          </w:r>
          <w:r>
            <w:rPr>
              <w:rStyle w:val="242"/>
              <w:rFonts w:hint="eastAsia" w:ascii="仿宋" w:hAnsi="仿宋" w:eastAsia="仿宋"/>
              <w:sz w:val="24"/>
            </w:rPr>
            <w:t>三、绩效评价工作开展情况</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_Toc177992433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"_Toc177992434" </w:instrText>
          </w:r>
          <w:r>
            <w:fldChar w:fldCharType="separate"/>
          </w:r>
          <w:r>
            <w:rPr>
              <w:rStyle w:val="242"/>
              <w:rFonts w:hint="eastAsia" w:ascii="仿宋" w:hAnsi="仿宋" w:eastAsia="仿宋"/>
              <w:sz w:val="24"/>
            </w:rPr>
            <w:t>（一）绩效评价目的和作用</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_Toc177992434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"_Toc177992435" </w:instrText>
          </w:r>
          <w:r>
            <w:fldChar w:fldCharType="separate"/>
          </w:r>
          <w:r>
            <w:rPr>
              <w:rStyle w:val="242"/>
              <w:rFonts w:hint="eastAsia" w:ascii="仿宋" w:hAnsi="仿宋" w:eastAsia="仿宋"/>
              <w:sz w:val="24"/>
            </w:rPr>
            <w:t>（二）评价对象和范围</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_Toc177992435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"_Toc177992436" </w:instrText>
          </w:r>
          <w:r>
            <w:fldChar w:fldCharType="separate"/>
          </w:r>
          <w:r>
            <w:rPr>
              <w:rStyle w:val="242"/>
              <w:rFonts w:hint="eastAsia" w:ascii="仿宋" w:hAnsi="仿宋" w:eastAsia="仿宋"/>
              <w:sz w:val="24"/>
            </w:rPr>
            <w:t>（三）绩效评价依据</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_Toc177992436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"_Toc177992437" </w:instrText>
          </w:r>
          <w:r>
            <w:fldChar w:fldCharType="separate"/>
          </w:r>
          <w:r>
            <w:rPr>
              <w:rStyle w:val="242"/>
              <w:rFonts w:hint="eastAsia" w:ascii="仿宋" w:hAnsi="仿宋" w:eastAsia="仿宋"/>
              <w:sz w:val="24"/>
            </w:rPr>
            <w:t>（四）绩效评价原则</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_Toc177992437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"_Toc177992438" </w:instrText>
          </w:r>
          <w:r>
            <w:fldChar w:fldCharType="separate"/>
          </w:r>
          <w:r>
            <w:rPr>
              <w:rStyle w:val="242"/>
              <w:rFonts w:hint="eastAsia" w:ascii="仿宋" w:hAnsi="仿宋" w:eastAsia="仿宋"/>
              <w:sz w:val="24"/>
            </w:rPr>
            <w:t>（五）绩效评价方法</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_Toc177992438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7</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"_Toc177992439" </w:instrText>
          </w:r>
          <w:r>
            <w:fldChar w:fldCharType="separate"/>
          </w:r>
          <w:r>
            <w:rPr>
              <w:rStyle w:val="242"/>
              <w:rFonts w:hint="eastAsia" w:ascii="仿宋" w:hAnsi="仿宋" w:eastAsia="仿宋"/>
              <w:sz w:val="24"/>
            </w:rPr>
            <w:t>（六）绩效评价过程</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_Toc177992439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7</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"_Toc177992440" </w:instrText>
          </w:r>
          <w:r>
            <w:fldChar w:fldCharType="separate"/>
          </w:r>
          <w:r>
            <w:rPr>
              <w:rStyle w:val="242"/>
              <w:rFonts w:hint="eastAsia" w:ascii="仿宋" w:hAnsi="仿宋" w:eastAsia="仿宋"/>
              <w:sz w:val="24"/>
            </w:rPr>
            <w:t>（七）绩效评价指标体系</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_Toc177992440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8</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"_Toc177992441" </w:instrText>
          </w:r>
          <w:r>
            <w:fldChar w:fldCharType="separate"/>
          </w:r>
          <w:r>
            <w:rPr>
              <w:rStyle w:val="242"/>
              <w:rFonts w:hint="eastAsia" w:ascii="仿宋" w:hAnsi="仿宋" w:eastAsia="仿宋"/>
              <w:sz w:val="24"/>
            </w:rPr>
            <w:t>四、综合评价情况及评价结论</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_Toc177992441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13</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"_Toc177992442" </w:instrText>
          </w:r>
          <w:r>
            <w:fldChar w:fldCharType="separate"/>
          </w:r>
          <w:r>
            <w:rPr>
              <w:rStyle w:val="242"/>
              <w:rFonts w:hint="eastAsia" w:ascii="仿宋" w:hAnsi="仿宋" w:eastAsia="仿宋"/>
              <w:sz w:val="24"/>
            </w:rPr>
            <w:t>（一）项目决策投入情况（权重为21%，得分17分）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_Toc177992442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13</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"_Toc177992443" </w:instrText>
          </w:r>
          <w:r>
            <w:fldChar w:fldCharType="separate"/>
          </w:r>
          <w:r>
            <w:rPr>
              <w:rStyle w:val="242"/>
              <w:rFonts w:hint="eastAsia" w:ascii="仿宋" w:hAnsi="仿宋" w:eastAsia="仿宋"/>
              <w:sz w:val="24"/>
            </w:rPr>
            <w:t>1.项目立项（分值为6分）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_Toc177992443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13</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"_Toc177992444" </w:instrText>
          </w:r>
          <w:r>
            <w:fldChar w:fldCharType="separate"/>
          </w:r>
          <w:r>
            <w:rPr>
              <w:rStyle w:val="242"/>
              <w:rFonts w:hint="eastAsia" w:ascii="仿宋" w:hAnsi="仿宋" w:eastAsia="仿宋"/>
              <w:sz w:val="24"/>
            </w:rPr>
            <w:t>2.绩效目标（分值为7分）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_Toc177992444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14</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"_Toc177992445" </w:instrText>
          </w:r>
          <w:r>
            <w:fldChar w:fldCharType="separate"/>
          </w:r>
          <w:r>
            <w:rPr>
              <w:rStyle w:val="242"/>
              <w:rFonts w:hint="eastAsia" w:ascii="仿宋" w:hAnsi="仿宋" w:eastAsia="仿宋"/>
              <w:sz w:val="24"/>
            </w:rPr>
            <w:t>3.资金投入（分值为8分）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_Toc177992445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"_Toc177992446" </w:instrText>
          </w:r>
          <w:r>
            <w:fldChar w:fldCharType="separate"/>
          </w:r>
          <w:r>
            <w:rPr>
              <w:rStyle w:val="242"/>
              <w:rFonts w:hint="eastAsia" w:ascii="仿宋" w:hAnsi="仿宋" w:eastAsia="仿宋"/>
              <w:sz w:val="24"/>
            </w:rPr>
            <w:t>（二）项目过程情况（权重为32%，得分30分）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_Toc177992446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16</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"_Toc177992447" </w:instrText>
          </w:r>
          <w:r>
            <w:fldChar w:fldCharType="separate"/>
          </w:r>
          <w:r>
            <w:rPr>
              <w:rStyle w:val="242"/>
              <w:rFonts w:hint="eastAsia" w:ascii="仿宋" w:hAnsi="仿宋" w:eastAsia="仿宋"/>
              <w:sz w:val="24"/>
            </w:rPr>
            <w:t>1.采购方式和程序合规性（分值为8分）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_Toc177992447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16</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"_Toc177992448" </w:instrText>
          </w:r>
          <w:r>
            <w:fldChar w:fldCharType="separate"/>
          </w:r>
          <w:r>
            <w:rPr>
              <w:rStyle w:val="242"/>
              <w:rFonts w:hint="eastAsia" w:ascii="仿宋" w:hAnsi="仿宋" w:eastAsia="仿宋"/>
              <w:sz w:val="24"/>
            </w:rPr>
            <w:t>2.绩效管理（12分）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_Toc177992448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17</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"_Toc177992449" </w:instrText>
          </w:r>
          <w:r>
            <w:fldChar w:fldCharType="separate"/>
          </w:r>
          <w:r>
            <w:rPr>
              <w:rStyle w:val="242"/>
              <w:rFonts w:hint="eastAsia" w:ascii="仿宋" w:hAnsi="仿宋" w:eastAsia="仿宋"/>
              <w:sz w:val="24"/>
            </w:rPr>
            <w:t>3.组织实施（12分）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_Toc177992449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18</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"_Toc177992450" </w:instrText>
          </w:r>
          <w:r>
            <w:fldChar w:fldCharType="separate"/>
          </w:r>
          <w:r>
            <w:rPr>
              <w:rStyle w:val="242"/>
              <w:rFonts w:hint="eastAsia" w:ascii="仿宋" w:hAnsi="仿宋" w:eastAsia="仿宋"/>
              <w:sz w:val="24"/>
            </w:rPr>
            <w:t>（三）项目产出情况（权重为25%，得分24分）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_Toc177992450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20</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"_Toc177992451" </w:instrText>
          </w:r>
          <w:r>
            <w:fldChar w:fldCharType="separate"/>
          </w:r>
          <w:r>
            <w:rPr>
              <w:rStyle w:val="242"/>
              <w:rFonts w:hint="eastAsia" w:ascii="仿宋" w:hAnsi="仿宋" w:eastAsia="仿宋"/>
              <w:sz w:val="24"/>
            </w:rPr>
            <w:t>1.产出数量（分值为13分）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_Toc177992451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20</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"_Toc177992452" </w:instrText>
          </w:r>
          <w:r>
            <w:fldChar w:fldCharType="separate"/>
          </w:r>
          <w:r>
            <w:rPr>
              <w:rStyle w:val="242"/>
              <w:rFonts w:hint="eastAsia" w:ascii="仿宋" w:hAnsi="仿宋" w:eastAsia="仿宋"/>
              <w:sz w:val="24"/>
            </w:rPr>
            <w:t>2.产出质量（分值为12分）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_Toc177992452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21</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"_Toc177992453" </w:instrText>
          </w:r>
          <w:r>
            <w:fldChar w:fldCharType="separate"/>
          </w:r>
          <w:r>
            <w:rPr>
              <w:rStyle w:val="242"/>
              <w:rFonts w:hint="eastAsia" w:ascii="仿宋" w:hAnsi="仿宋" w:eastAsia="仿宋"/>
              <w:sz w:val="24"/>
            </w:rPr>
            <w:t>（四）项目效益情况（权重为22%，得分22分）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_Toc177992453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22</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"_Toc177992454" </w:instrText>
          </w:r>
          <w:r>
            <w:fldChar w:fldCharType="separate"/>
          </w:r>
          <w:r>
            <w:rPr>
              <w:rStyle w:val="242"/>
              <w:rFonts w:hint="eastAsia" w:ascii="仿宋" w:hAnsi="仿宋" w:eastAsia="仿宋"/>
              <w:sz w:val="24"/>
            </w:rPr>
            <w:t>1.社会效益（11分）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_Toc177992454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23</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"_Toc177992455" </w:instrText>
          </w:r>
          <w:r>
            <w:fldChar w:fldCharType="separate"/>
          </w:r>
          <w:r>
            <w:rPr>
              <w:rStyle w:val="242"/>
              <w:rFonts w:hint="eastAsia" w:ascii="仿宋" w:hAnsi="仿宋" w:eastAsia="仿宋"/>
              <w:sz w:val="24"/>
            </w:rPr>
            <w:t>2.经济效益（4分）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_Toc177992455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24</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"_Toc177992456" </w:instrText>
          </w:r>
          <w:r>
            <w:fldChar w:fldCharType="separate"/>
          </w:r>
          <w:r>
            <w:rPr>
              <w:rStyle w:val="242"/>
              <w:rFonts w:hint="eastAsia" w:ascii="仿宋" w:hAnsi="仿宋" w:eastAsia="仿宋"/>
              <w:sz w:val="24"/>
            </w:rPr>
            <w:t>3.可持续性指标（3分）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_Toc177992456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24</w:t>
          </w:r>
          <w:r>
            <w:rPr>
              <w:rFonts w:hint="eastAsia" w:ascii="仿宋" w:hAnsi="仿宋" w:eastAsia="仿宋"/>
              <w:sz w:val="24"/>
            </w:rPr>
            <w:fldChar w:fldCharType="end"/>
          </w:r>
          <w:r>
            <w:rPr>
              <w:rFonts w:hint="eastAsia" w:ascii="仿宋" w:hAnsi="仿宋" w:eastAsia="仿宋"/>
              <w:sz w:val="24"/>
            </w:rPr>
            <w:fldChar w:fldCharType="end"/>
          </w:r>
        </w:p>
        <w:p>
          <w:pPr>
            <w:pStyle w:val="44"/>
            <w:pageBreakBefore w:val="0"/>
            <w:tabs>
              <w:tab w:val="right" w:leader="dot" w:pos="8296"/>
            </w:tabs>
            <w:kinsoku/>
            <w:wordWrap/>
            <w:overflowPunct/>
            <w:topLinePunct w:val="0"/>
            <w:autoSpaceDE/>
            <w:autoSpaceDN/>
            <w:bidi w:val="0"/>
            <w:adjustRightInd/>
            <w:snapToGrid/>
            <w:spacing w:line="276" w:lineRule="auto"/>
            <w:ind w:left="880"/>
            <w:textAlignment w:val="auto"/>
            <w:rPr>
              <w:rFonts w:hint="eastAsia" w:ascii="仿宋" w:hAnsi="仿宋" w:eastAsia="仿宋"/>
              <w:sz w:val="24"/>
            </w:rPr>
          </w:pPr>
          <w:r>
            <w:fldChar w:fldCharType="begin"/>
          </w:r>
          <w:r>
            <w:instrText xml:space="preserve"> HYPERLINK \l "_Toc177992457" </w:instrText>
          </w:r>
          <w:r>
            <w:fldChar w:fldCharType="separate"/>
          </w:r>
          <w:r>
            <w:rPr>
              <w:rStyle w:val="242"/>
              <w:rFonts w:hint="eastAsia" w:ascii="仿宋" w:hAnsi="仿宋" w:eastAsia="仿宋"/>
              <w:sz w:val="24"/>
            </w:rPr>
            <w:t>4.满意度指标（4分）</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_Toc177992457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"_Toc177992458" </w:instrText>
          </w:r>
          <w:r>
            <w:fldChar w:fldCharType="separate"/>
          </w:r>
          <w:r>
            <w:rPr>
              <w:rStyle w:val="242"/>
              <w:rFonts w:hint="eastAsia" w:ascii="仿宋" w:hAnsi="仿宋" w:eastAsia="仿宋"/>
              <w:sz w:val="24"/>
            </w:rPr>
            <w:t>（五）主要成效</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_Toc177992458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25</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"_Toc177992459" </w:instrText>
          </w:r>
          <w:r>
            <w:fldChar w:fldCharType="separate"/>
          </w:r>
          <w:r>
            <w:rPr>
              <w:rStyle w:val="242"/>
              <w:rFonts w:hint="eastAsia" w:ascii="仿宋" w:hAnsi="仿宋" w:eastAsia="仿宋"/>
              <w:sz w:val="24"/>
            </w:rPr>
            <w:t>（六）绩效评价结论</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_Toc177992459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25</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"_Toc177992460" </w:instrText>
          </w:r>
          <w:r>
            <w:fldChar w:fldCharType="separate"/>
          </w:r>
          <w:r>
            <w:rPr>
              <w:rStyle w:val="242"/>
              <w:rFonts w:hint="eastAsia" w:ascii="仿宋" w:hAnsi="仿宋" w:eastAsia="仿宋"/>
              <w:sz w:val="24"/>
            </w:rPr>
            <w:t>五、存在的问题</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_Toc177992460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"_Toc177992461" </w:instrText>
          </w:r>
          <w:r>
            <w:fldChar w:fldCharType="separate"/>
          </w:r>
          <w:r>
            <w:rPr>
              <w:rStyle w:val="242"/>
              <w:rFonts w:hint="eastAsia" w:ascii="仿宋" w:hAnsi="仿宋" w:eastAsia="仿宋"/>
              <w:sz w:val="24"/>
            </w:rPr>
            <w:t>（一）资金未按合同约定及时拨付</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_Toc177992461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"_Toc177992462" </w:instrText>
          </w:r>
          <w:r>
            <w:fldChar w:fldCharType="separate"/>
          </w:r>
          <w:r>
            <w:rPr>
              <w:rStyle w:val="242"/>
              <w:rFonts w:hint="eastAsia" w:ascii="仿宋" w:hAnsi="仿宋" w:eastAsia="仿宋"/>
              <w:sz w:val="24"/>
            </w:rPr>
            <w:t>（二）预算编制不合理，预算执行率偏低</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_Toc177992462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"_Toc177992463" </w:instrText>
          </w:r>
          <w:r>
            <w:fldChar w:fldCharType="separate"/>
          </w:r>
          <w:r>
            <w:rPr>
              <w:rStyle w:val="242"/>
              <w:rFonts w:hint="eastAsia" w:ascii="仿宋" w:hAnsi="仿宋" w:eastAsia="仿宋"/>
              <w:sz w:val="24"/>
            </w:rPr>
            <w:t>（三）各个部门协调合作力度较低</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_Toc177992463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"_Toc177992464" </w:instrText>
          </w:r>
          <w:r>
            <w:fldChar w:fldCharType="separate"/>
          </w:r>
          <w:r>
            <w:rPr>
              <w:rStyle w:val="242"/>
              <w:rFonts w:hint="eastAsia" w:ascii="仿宋" w:hAnsi="仿宋" w:eastAsia="仿宋"/>
              <w:sz w:val="24"/>
            </w:rPr>
            <w:t>六、有关建议</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_Toc177992464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"_Toc177992465" </w:instrText>
          </w:r>
          <w:r>
            <w:fldChar w:fldCharType="separate"/>
          </w:r>
          <w:r>
            <w:rPr>
              <w:rStyle w:val="242"/>
              <w:rFonts w:hint="eastAsia" w:ascii="仿宋" w:hAnsi="仿宋" w:eastAsia="仿宋"/>
              <w:sz w:val="24"/>
            </w:rPr>
            <w:t>（一）强化合同履约管理，严格按照合同约定执行</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_Toc177992465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26</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"_Toc177992466" </w:instrText>
          </w:r>
          <w:r>
            <w:fldChar w:fldCharType="separate"/>
          </w:r>
          <w:r>
            <w:rPr>
              <w:rStyle w:val="242"/>
              <w:rFonts w:hint="eastAsia" w:ascii="仿宋" w:hAnsi="仿宋" w:eastAsia="仿宋"/>
              <w:sz w:val="24"/>
            </w:rPr>
            <w:t>（二）加强预算的科学性，加强预算执行力度。</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_Toc177992466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27</w:t>
          </w:r>
          <w:r>
            <w:rPr>
              <w:rFonts w:hint="eastAsia" w:ascii="仿宋" w:hAnsi="仿宋" w:eastAsia="仿宋"/>
              <w:sz w:val="24"/>
            </w:rPr>
            <w:fldChar w:fldCharType="end"/>
          </w:r>
          <w:r>
            <w:rPr>
              <w:rFonts w:hint="eastAsia" w:ascii="仿宋" w:hAnsi="仿宋" w:eastAsia="仿宋"/>
              <w:sz w:val="24"/>
            </w:rPr>
            <w:fldChar w:fldCharType="end"/>
          </w:r>
        </w:p>
        <w:p>
          <w:pPr>
            <w:pStyle w:val="74"/>
            <w:pageBreakBefore w:val="0"/>
            <w:tabs>
              <w:tab w:val="right" w:leader="dot" w:pos="8296"/>
            </w:tabs>
            <w:kinsoku/>
            <w:wordWrap/>
            <w:overflowPunct/>
            <w:topLinePunct w:val="0"/>
            <w:autoSpaceDE/>
            <w:autoSpaceDN/>
            <w:bidi w:val="0"/>
            <w:adjustRightInd/>
            <w:snapToGrid/>
            <w:spacing w:line="276" w:lineRule="auto"/>
            <w:ind w:left="440"/>
            <w:textAlignment w:val="auto"/>
            <w:rPr>
              <w:rFonts w:hint="eastAsia" w:ascii="仿宋" w:hAnsi="仿宋" w:eastAsia="仿宋"/>
              <w:sz w:val="24"/>
            </w:rPr>
          </w:pPr>
          <w:r>
            <w:fldChar w:fldCharType="begin"/>
          </w:r>
          <w:r>
            <w:instrText xml:space="preserve"> HYPERLINK \l "_Toc177992467" </w:instrText>
          </w:r>
          <w:r>
            <w:fldChar w:fldCharType="separate"/>
          </w:r>
          <w:r>
            <w:rPr>
              <w:rStyle w:val="242"/>
              <w:rFonts w:hint="eastAsia" w:ascii="仿宋" w:hAnsi="仿宋" w:eastAsia="仿宋"/>
              <w:sz w:val="24"/>
            </w:rPr>
            <w:t>（三）加强跨部门协作，跨乡镇的协作</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_Toc177992467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27</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"_Toc177992468" </w:instrText>
          </w:r>
          <w:r>
            <w:fldChar w:fldCharType="separate"/>
          </w:r>
          <w:r>
            <w:rPr>
              <w:rStyle w:val="242"/>
              <w:rFonts w:hint="eastAsia" w:ascii="仿宋" w:hAnsi="仿宋" w:eastAsia="仿宋"/>
              <w:sz w:val="24"/>
            </w:rPr>
            <w:t>七、其他需要说明的问题</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_Toc177992468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27</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"_Toc177992469" </w:instrText>
          </w:r>
          <w:r>
            <w:fldChar w:fldCharType="separate"/>
          </w:r>
          <w:r>
            <w:rPr>
              <w:rStyle w:val="242"/>
              <w:rFonts w:hint="eastAsia" w:ascii="仿宋" w:hAnsi="仿宋" w:eastAsia="仿宋"/>
              <w:sz w:val="24"/>
            </w:rPr>
            <w:t>附件一：调查问卷</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_Toc177992469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28</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"_Toc177992470" </w:instrText>
          </w:r>
          <w:r>
            <w:fldChar w:fldCharType="separate"/>
          </w:r>
          <w:r>
            <w:rPr>
              <w:rStyle w:val="242"/>
              <w:rFonts w:hint="eastAsia" w:ascii="仿宋" w:hAnsi="仿宋" w:eastAsia="仿宋"/>
              <w:sz w:val="24"/>
            </w:rPr>
            <w:t>附件二：访谈相关照片</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_Toc177992470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29</w:t>
          </w:r>
          <w:r>
            <w:rPr>
              <w:rFonts w:hint="eastAsia" w:ascii="仿宋" w:hAnsi="仿宋" w:eastAsia="仿宋"/>
              <w:sz w:val="24"/>
            </w:rPr>
            <w:fldChar w:fldCharType="end"/>
          </w:r>
          <w:r>
            <w:rPr>
              <w:rFonts w:hint="eastAsia" w:ascii="仿宋" w:hAnsi="仿宋" w:eastAsia="仿宋"/>
              <w:sz w:val="24"/>
            </w:rPr>
            <w:fldChar w:fldCharType="end"/>
          </w:r>
        </w:p>
        <w:p>
          <w:pPr>
            <w:pStyle w:val="59"/>
            <w:pageBreakBefore w:val="0"/>
            <w:tabs>
              <w:tab w:val="right" w:leader="dot" w:pos="8296"/>
            </w:tabs>
            <w:kinsoku/>
            <w:wordWrap/>
            <w:overflowPunct/>
            <w:topLinePunct w:val="0"/>
            <w:autoSpaceDE/>
            <w:autoSpaceDN/>
            <w:bidi w:val="0"/>
            <w:adjustRightInd/>
            <w:snapToGrid/>
            <w:spacing w:line="276" w:lineRule="auto"/>
            <w:textAlignment w:val="auto"/>
            <w:rPr>
              <w:rFonts w:hint="eastAsia" w:ascii="仿宋" w:hAnsi="仿宋" w:eastAsia="仿宋"/>
              <w:sz w:val="24"/>
            </w:rPr>
          </w:pPr>
          <w:r>
            <w:fldChar w:fldCharType="begin"/>
          </w:r>
          <w:r>
            <w:instrText xml:space="preserve"> HYPERLINK \l "_Toc177992471" </w:instrText>
          </w:r>
          <w:r>
            <w:fldChar w:fldCharType="separate"/>
          </w:r>
          <w:r>
            <w:rPr>
              <w:rStyle w:val="242"/>
              <w:rFonts w:hint="eastAsia" w:ascii="仿宋" w:hAnsi="仿宋" w:eastAsia="仿宋"/>
              <w:sz w:val="24"/>
            </w:rPr>
            <w:t>附件二：绩效评价指标体系及得分情况表</w:t>
          </w:r>
          <w:r>
            <w:rPr>
              <w:rFonts w:hint="eastAsia" w:ascii="仿宋" w:hAnsi="仿宋" w:eastAsia="仿宋"/>
              <w:sz w:val="24"/>
            </w:rPr>
            <w:tab/>
          </w:r>
          <w:r>
            <w:rPr>
              <w:rFonts w:hint="eastAsia" w:ascii="仿宋" w:hAnsi="仿宋" w:eastAsia="仿宋"/>
              <w:sz w:val="24"/>
            </w:rPr>
            <w:fldChar w:fldCharType="begin"/>
          </w:r>
          <w:r>
            <w:rPr>
              <w:rFonts w:hint="eastAsia" w:ascii="仿宋" w:hAnsi="仿宋" w:eastAsia="仿宋"/>
              <w:sz w:val="24"/>
            </w:rPr>
            <w:instrText xml:space="preserve"> </w:instrText>
          </w:r>
          <w:r>
            <w:rPr>
              <w:rFonts w:ascii="仿宋" w:hAnsi="仿宋" w:eastAsia="仿宋"/>
              <w:sz w:val="24"/>
            </w:rPr>
            <w:instrText xml:space="preserve">PAGEREF _Toc177992471 \h</w:instrText>
          </w:r>
          <w:r>
            <w:rPr>
              <w:rFonts w:hint="eastAsia" w:ascii="仿宋" w:hAnsi="仿宋" w:eastAsia="仿宋"/>
              <w:sz w:val="24"/>
            </w:rPr>
            <w:instrText xml:space="preserve"> </w:instrText>
          </w:r>
          <w:r>
            <w:rPr>
              <w:rFonts w:hint="eastAsia" w:ascii="仿宋" w:hAnsi="仿宋" w:eastAsia="仿宋"/>
              <w:sz w:val="24"/>
            </w:rPr>
            <w:fldChar w:fldCharType="separate"/>
          </w:r>
          <w:r>
            <w:rPr>
              <w:rFonts w:hint="eastAsia" w:ascii="仿宋" w:hAnsi="仿宋" w:eastAsia="仿宋"/>
              <w:sz w:val="24"/>
            </w:rPr>
            <w:t>30</w:t>
          </w:r>
          <w:r>
            <w:rPr>
              <w:rFonts w:hint="eastAsia" w:ascii="仿宋" w:hAnsi="仿宋" w:eastAsia="仿宋"/>
              <w:sz w:val="24"/>
            </w:rPr>
            <w:fldChar w:fldCharType="end"/>
          </w:r>
          <w:r>
            <w:rPr>
              <w:rFonts w:hint="eastAsia" w:ascii="仿宋" w:hAnsi="仿宋" w:eastAsia="仿宋"/>
              <w:sz w:val="24"/>
            </w:rPr>
            <w:fldChar w:fldCharType="end"/>
          </w:r>
        </w:p>
        <w:p>
          <w:pPr>
            <w:pageBreakBefore w:val="0"/>
            <w:kinsoku/>
            <w:wordWrap/>
            <w:overflowPunct/>
            <w:topLinePunct w:val="0"/>
            <w:autoSpaceDE/>
            <w:autoSpaceDN/>
            <w:bidi w:val="0"/>
            <w:adjustRightInd/>
            <w:snapToGrid/>
            <w:spacing w:line="276" w:lineRule="auto"/>
            <w:textAlignment w:val="auto"/>
            <w:rPr>
              <w:rFonts w:hint="eastAsia" w:ascii="宋体" w:hAnsi="宋体" w:eastAsia="宋体"/>
              <w:b/>
              <w:bCs/>
              <w:sz w:val="36"/>
              <w:szCs w:val="44"/>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ascii="仿宋" w:hAnsi="仿宋" w:eastAsia="仿宋"/>
              <w:sz w:val="24"/>
              <w:lang w:val="zh-CN"/>
            </w:rPr>
            <w:fldChar w:fldCharType="end"/>
          </w:r>
        </w:p>
      </w:sdtContent>
    </w:sdt>
    <w:p>
      <w:pPr>
        <w:spacing w:after="0" w:line="408" w:lineRule="auto"/>
        <w:jc w:val="center"/>
        <w:rPr>
          <w:rFonts w:hint="eastAsia" w:ascii="仿宋" w:hAnsi="仿宋" w:eastAsia="仿宋"/>
          <w:b/>
          <w:sz w:val="28"/>
          <w:szCs w:val="44"/>
        </w:rPr>
      </w:pPr>
      <w:r>
        <w:rPr>
          <w:rFonts w:hint="eastAsia" w:ascii="仿宋" w:hAnsi="仿宋" w:eastAsia="仿宋"/>
          <w:b/>
          <w:sz w:val="28"/>
          <w:szCs w:val="44"/>
        </w:rPr>
        <w:t>2023年德化</w:t>
      </w:r>
      <w:bookmarkStart w:id="0" w:name="_Hlk174973448"/>
      <w:r>
        <w:rPr>
          <w:rFonts w:hint="eastAsia" w:ascii="仿宋" w:hAnsi="仿宋" w:eastAsia="仿宋"/>
          <w:b/>
          <w:sz w:val="28"/>
          <w:szCs w:val="44"/>
        </w:rPr>
        <w:t>县应急广播体系建设专项资金</w:t>
      </w:r>
      <w:bookmarkEnd w:id="0"/>
      <w:r>
        <w:rPr>
          <w:rFonts w:hint="eastAsia" w:ascii="仿宋" w:hAnsi="仿宋" w:eastAsia="仿宋"/>
          <w:b/>
          <w:sz w:val="28"/>
          <w:szCs w:val="44"/>
        </w:rPr>
        <w:t>绩效评价报告</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为全面实施预算绩效管理，提高财政资金使用效益，建立科学、合理的财政支出绩效评价管理体系，根据《德化县财政局关于开展预算绩效项目重点评价工作的通知》（德财〔2024〕54号）要求，泉州市启程财务咨询有限公司受德化县财政局委托对2023年德化县应急广播体系建设专项资金996万元实施绩效评价，并形成《2023年德化县应急广播体系建设专项资金绩效评价报告》。</w:t>
      </w:r>
    </w:p>
    <w:p>
      <w:pPr>
        <w:spacing w:after="0" w:line="408" w:lineRule="auto"/>
        <w:ind w:firstLine="562" w:firstLineChars="200"/>
        <w:outlineLvl w:val="0"/>
        <w:rPr>
          <w:rFonts w:hint="eastAsia" w:ascii="仿宋" w:hAnsi="仿宋" w:eastAsia="仿宋"/>
          <w:b/>
          <w:sz w:val="28"/>
          <w:szCs w:val="21"/>
        </w:rPr>
      </w:pPr>
      <w:bookmarkStart w:id="1" w:name="_Toc177992422"/>
      <w:r>
        <w:rPr>
          <w:rFonts w:hint="eastAsia" w:ascii="仿宋" w:hAnsi="仿宋" w:eastAsia="仿宋"/>
          <w:b/>
          <w:sz w:val="28"/>
          <w:szCs w:val="21"/>
        </w:rPr>
        <w:t>一、项目概况</w:t>
      </w:r>
      <w:bookmarkEnd w:id="1"/>
    </w:p>
    <w:p>
      <w:pPr>
        <w:spacing w:after="0" w:line="408" w:lineRule="auto"/>
        <w:ind w:firstLine="562" w:firstLineChars="200"/>
        <w:jc w:val="both"/>
        <w:outlineLvl w:val="1"/>
        <w:rPr>
          <w:rFonts w:hint="eastAsia" w:ascii="仿宋" w:hAnsi="仿宋" w:eastAsia="仿宋"/>
          <w:b/>
          <w:sz w:val="28"/>
          <w:szCs w:val="21"/>
        </w:rPr>
      </w:pPr>
      <w:bookmarkStart w:id="2" w:name="_Toc177992423"/>
      <w:r>
        <w:rPr>
          <w:rFonts w:hint="eastAsia" w:ascii="仿宋" w:hAnsi="仿宋" w:eastAsia="仿宋"/>
          <w:b/>
          <w:sz w:val="28"/>
          <w:szCs w:val="21"/>
        </w:rPr>
        <w:t>（一）项目背景</w:t>
      </w:r>
      <w:bookmarkEnd w:id="2"/>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德化县人民政府关于全县应急广播体系建设推进专题会议纪要》〔2022〕101号文件的指示，为及时落实上级部署广播体系建设的要求,确保我县广播体系建设在2024年初步建成，即从2022年11月开始实施县应急广播体系建设工作。建成后当发生各类应急情况时可及时通过本套系统快速发布各类预警信息和应急对策，大幅提升宣传效率和应急信息发布效能。系统具备应急预警信息发布需求接入、辖区应急广播资源管理、应急广播发布流程控制、发布资源调度、应急广播信息分发传输等主要功能;系统能接收国家、省、市和其他(如水利、地震、气象等)部门发送的应急广播信息并完成播发;提供对外接口，允许视频监控、融媒体等进行认证和系统互联:能够管理所有应急广播终端或广播适配器，可存储各类相关数据;能够通过权限设置，对不同部门授予不同权限，实现多部门共同使用，发挥资源利用最大化。2023年度县应急广播体系建设专项资金预算996万元。</w:t>
      </w:r>
    </w:p>
    <w:p>
      <w:pPr>
        <w:spacing w:after="0" w:line="408" w:lineRule="auto"/>
        <w:ind w:firstLine="562" w:firstLineChars="200"/>
        <w:jc w:val="both"/>
        <w:outlineLvl w:val="1"/>
        <w:rPr>
          <w:rFonts w:hint="eastAsia" w:ascii="仿宋" w:hAnsi="仿宋" w:eastAsia="仿宋"/>
          <w:b/>
          <w:sz w:val="28"/>
          <w:szCs w:val="21"/>
        </w:rPr>
      </w:pPr>
      <w:bookmarkStart w:id="3" w:name="_Toc177992424"/>
      <w:r>
        <w:rPr>
          <w:rFonts w:hint="eastAsia" w:ascii="仿宋" w:hAnsi="仿宋" w:eastAsia="仿宋"/>
          <w:b/>
          <w:sz w:val="28"/>
          <w:szCs w:val="21"/>
        </w:rPr>
        <w:t>（二）作用和意义</w:t>
      </w:r>
      <w:bookmarkEnd w:id="3"/>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应急广播体系建设的作用与意义主要体现在提升信息服务能力</w:t>
      </w:r>
      <w:r>
        <w:rPr>
          <w:rFonts w:ascii="Courier New" w:hAnsi="Courier New" w:eastAsia="仿宋" w:cs="Courier New"/>
          <w:sz w:val="28"/>
          <w:szCs w:val="21"/>
        </w:rPr>
        <w:t>‌</w:t>
      </w:r>
      <w:r>
        <w:rPr>
          <w:rFonts w:hint="eastAsia" w:ascii="仿宋" w:hAnsi="仿宋" w:eastAsia="仿宋"/>
          <w:sz w:val="28"/>
          <w:szCs w:val="21"/>
        </w:rPr>
        <w:t>、</w:t>
      </w:r>
      <w:r>
        <w:rPr>
          <w:rFonts w:ascii="仿宋" w:hAnsi="仿宋" w:eastAsia="仿宋" w:cs="Times New Roman"/>
          <w:sz w:val="28"/>
          <w:szCs w:val="21"/>
        </w:rPr>
        <w:t>‌</w:t>
      </w:r>
      <w:r>
        <w:rPr>
          <w:rFonts w:hint="eastAsia" w:ascii="仿宋" w:hAnsi="仿宋" w:eastAsia="仿宋" w:cs="宋体"/>
          <w:sz w:val="28"/>
          <w:szCs w:val="21"/>
        </w:rPr>
        <w:t>保障人民群众生命财产安全、强化应急信息的传播、强化社会治理和公共服务。</w:t>
      </w:r>
      <w:r>
        <w:rPr>
          <w:rFonts w:ascii="仿宋" w:hAnsi="仿宋" w:eastAsia="仿宋" w:cs="Times New Roman"/>
          <w:sz w:val="28"/>
          <w:szCs w:val="21"/>
        </w:rPr>
        <w:t>‌</w:t>
      </w:r>
      <w:r>
        <w:rPr>
          <w:rFonts w:hint="eastAsia" w:ascii="仿宋" w:hAnsi="仿宋" w:eastAsia="仿宋" w:cs="Times New Roman"/>
          <w:sz w:val="28"/>
          <w:szCs w:val="21"/>
        </w:rPr>
        <w:t>具体表现如下：</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提升信息服务能力方面</w:t>
      </w:r>
      <w:r>
        <w:rPr>
          <w:rFonts w:ascii="Courier New" w:hAnsi="Courier New" w:eastAsia="仿宋" w:cs="Courier New"/>
          <w:sz w:val="28"/>
          <w:szCs w:val="21"/>
        </w:rPr>
        <w:t>‌</w:t>
      </w:r>
      <w:r>
        <w:rPr>
          <w:rFonts w:hint="eastAsia" w:ascii="仿宋" w:hAnsi="仿宋" w:eastAsia="仿宋" w:cs="仿宋"/>
          <w:sz w:val="28"/>
          <w:szCs w:val="21"/>
        </w:rPr>
        <w:t>：应急广播能够有效地提升基层应急广播新闻宣传、公共服务、社会治理、应急管理的能力和水平，通过建立传输网络科学合理、信息发布机制健全的应急广播体系，实现全天候、全方位发布应急信息，确保人民群众及时知情，为成功应对各种突发事件提供强而有力的信息舆论支持</w:t>
      </w:r>
      <w:r>
        <w:rPr>
          <w:rFonts w:ascii="Courier New" w:hAnsi="Courier New" w:eastAsia="仿宋" w:cs="Courier New"/>
          <w:sz w:val="28"/>
          <w:szCs w:val="21"/>
        </w:rPr>
        <w:t>‌</w:t>
      </w:r>
      <w:r>
        <w:rPr>
          <w:rFonts w:hint="eastAsia" w:ascii="仿宋" w:hAnsi="仿宋" w:eastAsia="仿宋"/>
          <w:sz w:val="28"/>
          <w:szCs w:val="21"/>
        </w:rPr>
        <w:t>。</w:t>
      </w:r>
    </w:p>
    <w:p>
      <w:pPr>
        <w:spacing w:after="0" w:line="408" w:lineRule="auto"/>
        <w:ind w:firstLine="560" w:firstLineChars="200"/>
        <w:jc w:val="both"/>
        <w:rPr>
          <w:rFonts w:hint="eastAsia" w:ascii="仿宋" w:hAnsi="仿宋" w:eastAsia="仿宋"/>
          <w:sz w:val="28"/>
          <w:szCs w:val="21"/>
        </w:rPr>
      </w:pPr>
      <w:r>
        <w:rPr>
          <w:rFonts w:ascii="仿宋" w:hAnsi="仿宋" w:eastAsia="仿宋"/>
          <w:sz w:val="28"/>
          <w:szCs w:val="21"/>
        </w:rPr>
        <w:t>保障人民群众生命财产安全</w:t>
      </w:r>
      <w:r>
        <w:rPr>
          <w:rFonts w:hint="eastAsia" w:ascii="仿宋" w:hAnsi="仿宋" w:eastAsia="仿宋"/>
          <w:sz w:val="28"/>
          <w:szCs w:val="21"/>
        </w:rPr>
        <w:t>方面</w:t>
      </w:r>
      <w:r>
        <w:rPr>
          <w:rFonts w:ascii="Courier New" w:hAnsi="Courier New" w:eastAsia="仿宋" w:cs="Courier New"/>
          <w:sz w:val="28"/>
          <w:szCs w:val="21"/>
        </w:rPr>
        <w:t>‌</w:t>
      </w:r>
      <w:r>
        <w:rPr>
          <w:rFonts w:ascii="仿宋" w:hAnsi="仿宋" w:eastAsia="仿宋"/>
          <w:sz w:val="28"/>
          <w:szCs w:val="21"/>
        </w:rPr>
        <w:t>：通过及时发布消息，应急广播能够很大程度上确保人民群众生命财产安全，降低政府救灾、维稳经费的投入，确保社会平安、繁荣、稳定</w:t>
      </w:r>
      <w:r>
        <w:rPr>
          <w:rFonts w:ascii="Courier New" w:hAnsi="Courier New" w:eastAsia="仿宋" w:cs="Courier New"/>
          <w:sz w:val="28"/>
          <w:szCs w:val="21"/>
        </w:rPr>
        <w:t>‌</w:t>
      </w:r>
      <w:r>
        <w:rPr>
          <w:rFonts w:ascii="仿宋" w:hAnsi="仿宋" w:eastAsia="仿宋"/>
          <w:sz w:val="28"/>
          <w:szCs w:val="21"/>
        </w:rPr>
        <w:t>。</w:t>
      </w:r>
    </w:p>
    <w:p>
      <w:pPr>
        <w:spacing w:after="0" w:line="408" w:lineRule="auto"/>
        <w:ind w:firstLine="560" w:firstLineChars="200"/>
        <w:jc w:val="both"/>
        <w:rPr>
          <w:rFonts w:hint="eastAsia" w:ascii="仿宋" w:hAnsi="仿宋" w:eastAsia="仿宋"/>
          <w:sz w:val="28"/>
          <w:szCs w:val="21"/>
        </w:rPr>
      </w:pPr>
      <w:r>
        <w:rPr>
          <w:rFonts w:ascii="仿宋" w:hAnsi="仿宋" w:eastAsia="仿宋"/>
          <w:sz w:val="28"/>
          <w:szCs w:val="21"/>
        </w:rPr>
        <w:t>强化应急信息的传播</w:t>
      </w:r>
      <w:r>
        <w:rPr>
          <w:rFonts w:ascii="Courier New" w:hAnsi="Courier New" w:eastAsia="仿宋" w:cs="Courier New"/>
          <w:sz w:val="28"/>
          <w:szCs w:val="21"/>
        </w:rPr>
        <w:t>‌</w:t>
      </w:r>
      <w:r>
        <w:rPr>
          <w:rFonts w:hint="eastAsia" w:ascii="Courier New" w:hAnsi="Courier New" w:eastAsia="仿宋" w:cs="Courier New"/>
          <w:sz w:val="28"/>
          <w:szCs w:val="21"/>
        </w:rPr>
        <w:t>方面</w:t>
      </w:r>
      <w:r>
        <w:rPr>
          <w:rFonts w:ascii="仿宋" w:hAnsi="仿宋" w:eastAsia="仿宋"/>
          <w:sz w:val="28"/>
          <w:szCs w:val="21"/>
        </w:rPr>
        <w:t>：应急广播不仅是灾害应急中的重要职责，还通过创新拓展更多的传播渠道，充分发挥其在保障人民生命财产安全方面的不可替代作用。通过广播电视、网络视听等信息传送方式，向公众或特定区域、特定人群发布应急信息，实现信息的快速传播</w:t>
      </w:r>
      <w:r>
        <w:rPr>
          <w:rFonts w:ascii="Courier New" w:hAnsi="Courier New" w:eastAsia="仿宋" w:cs="Courier New"/>
          <w:sz w:val="28"/>
          <w:szCs w:val="21"/>
        </w:rPr>
        <w:t>‌</w:t>
      </w:r>
      <w:r>
        <w:rPr>
          <w:rFonts w:ascii="仿宋" w:hAnsi="仿宋" w:eastAsia="仿宋"/>
          <w:sz w:val="28"/>
          <w:szCs w:val="21"/>
        </w:rPr>
        <w:t>。</w:t>
      </w:r>
    </w:p>
    <w:p>
      <w:pPr>
        <w:spacing w:after="0" w:line="408" w:lineRule="auto"/>
        <w:ind w:firstLine="560" w:firstLineChars="200"/>
        <w:jc w:val="both"/>
        <w:rPr>
          <w:rFonts w:hint="eastAsia" w:ascii="仿宋" w:hAnsi="仿宋" w:eastAsia="仿宋"/>
          <w:sz w:val="28"/>
          <w:szCs w:val="21"/>
        </w:rPr>
      </w:pPr>
      <w:r>
        <w:rPr>
          <w:rFonts w:ascii="Courier New" w:hAnsi="Courier New" w:eastAsia="仿宋" w:cs="Courier New"/>
          <w:sz w:val="28"/>
          <w:szCs w:val="21"/>
        </w:rPr>
        <w:t>‌</w:t>
      </w:r>
      <w:r>
        <w:rPr>
          <w:rFonts w:ascii="仿宋" w:hAnsi="仿宋" w:eastAsia="仿宋"/>
          <w:sz w:val="28"/>
          <w:szCs w:val="21"/>
        </w:rPr>
        <w:t>强化社会治理和公共服务</w:t>
      </w:r>
      <w:r>
        <w:rPr>
          <w:rFonts w:hint="eastAsia" w:ascii="仿宋" w:hAnsi="仿宋" w:eastAsia="仿宋"/>
          <w:sz w:val="28"/>
          <w:szCs w:val="21"/>
        </w:rPr>
        <w:t>方面</w:t>
      </w:r>
      <w:r>
        <w:rPr>
          <w:rFonts w:ascii="Courier New" w:hAnsi="Courier New" w:eastAsia="仿宋" w:cs="Courier New"/>
          <w:sz w:val="28"/>
          <w:szCs w:val="21"/>
        </w:rPr>
        <w:t>‌</w:t>
      </w:r>
      <w:r>
        <w:rPr>
          <w:rFonts w:ascii="仿宋" w:hAnsi="仿宋" w:eastAsia="仿宋"/>
          <w:sz w:val="28"/>
          <w:szCs w:val="21"/>
        </w:rPr>
        <w:t>：应急广播体系的建设能够加强运行管理，推动应急广播平台、网络、提升基础能力，运用新技术，加强队伍建设，确保应急广播信息服务到村、到户、到人</w:t>
      </w:r>
      <w:r>
        <w:rPr>
          <w:rFonts w:ascii="Courier New" w:hAnsi="Courier New" w:eastAsia="仿宋" w:cs="Courier New"/>
          <w:sz w:val="28"/>
          <w:szCs w:val="21"/>
        </w:rPr>
        <w:t>‌</w:t>
      </w:r>
      <w:r>
        <w:rPr>
          <w:rFonts w:hint="eastAsia" w:ascii="仿宋" w:hAnsi="仿宋" w:eastAsia="仿宋" w:cs="宋体"/>
          <w:sz w:val="28"/>
          <w:szCs w:val="21"/>
        </w:rPr>
        <w:t>。</w:t>
      </w:r>
      <w:r>
        <w:rPr>
          <w:rFonts w:ascii="仿宋" w:hAnsi="仿宋" w:eastAsia="仿宋" w:cs="Times New Roman"/>
          <w:sz w:val="28"/>
          <w:szCs w:val="21"/>
        </w:rPr>
        <w:t>‌</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综上所述，应急广播建设通过提升信息服务能力、保障人民群众生命财产安全、强化应急信息的传播、强化社会治理和公共服务有着重要的意义。</w:t>
      </w:r>
    </w:p>
    <w:p>
      <w:pPr>
        <w:spacing w:after="0" w:line="408" w:lineRule="auto"/>
        <w:ind w:firstLine="562" w:firstLineChars="200"/>
        <w:jc w:val="both"/>
        <w:outlineLvl w:val="1"/>
        <w:rPr>
          <w:rFonts w:hint="eastAsia" w:ascii="仿宋" w:hAnsi="仿宋" w:eastAsia="仿宋"/>
          <w:b/>
          <w:sz w:val="28"/>
          <w:szCs w:val="21"/>
        </w:rPr>
      </w:pPr>
      <w:bookmarkStart w:id="4" w:name="_Toc177992425"/>
      <w:r>
        <w:rPr>
          <w:rFonts w:hint="eastAsia" w:ascii="仿宋" w:hAnsi="仿宋" w:eastAsia="仿宋"/>
          <w:b/>
          <w:sz w:val="28"/>
          <w:szCs w:val="21"/>
        </w:rPr>
        <w:t>（三）项目的内容</w:t>
      </w:r>
      <w:bookmarkEnd w:id="4"/>
    </w:p>
    <w:p>
      <w:pPr>
        <w:spacing w:after="0" w:line="408" w:lineRule="auto"/>
        <w:ind w:firstLine="560" w:firstLineChars="200"/>
        <w:jc w:val="both"/>
        <w:outlineLvl w:val="2"/>
        <w:rPr>
          <w:rFonts w:hint="eastAsia" w:ascii="仿宋" w:hAnsi="仿宋" w:eastAsia="仿宋"/>
          <w:sz w:val="28"/>
          <w:szCs w:val="21"/>
        </w:rPr>
      </w:pPr>
      <w:bookmarkStart w:id="5" w:name="_Toc177992426"/>
      <w:r>
        <w:rPr>
          <w:rFonts w:hint="eastAsia" w:ascii="仿宋" w:hAnsi="仿宋" w:eastAsia="仿宋"/>
          <w:sz w:val="28"/>
          <w:szCs w:val="21"/>
        </w:rPr>
        <w:t>1.</w:t>
      </w:r>
      <w:bookmarkStart w:id="6" w:name="_Hlk174973894"/>
      <w:r>
        <w:rPr>
          <w:rFonts w:hint="eastAsia" w:ascii="仿宋" w:hAnsi="仿宋" w:eastAsia="仿宋"/>
          <w:sz w:val="28"/>
          <w:szCs w:val="21"/>
        </w:rPr>
        <w:t>县应急广播体系建设专项资金</w:t>
      </w:r>
      <w:bookmarkEnd w:id="6"/>
      <w:r>
        <w:rPr>
          <w:rFonts w:hint="eastAsia" w:ascii="仿宋" w:hAnsi="仿宋" w:eastAsia="仿宋"/>
          <w:sz w:val="28"/>
          <w:szCs w:val="21"/>
        </w:rPr>
        <w:t>的用途</w:t>
      </w:r>
      <w:bookmarkEnd w:id="5"/>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根据《关于全县应急广播体系建设推进专题会议纪要》及《关于开展德化县应急广播体系建设的请示》文件所示，县应急广播体系建设专项资金的用途主要是用于县应急广播体系的建设。具体建设目标如下：</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主要建设1个县级应急广播平台、18个乡镇级分控平台、222个村（居）级分控平台、约1004个广播终端、传输覆盖网络适配系统改造的建设，基本实现应急广播100%覆盖至乡镇行政村(居)所在地，以及覆盖到人口较为密集的区域，如学校医院、住宅小区、重点景区、公园、广场、矿山企业、工业园区等，基本形成德化县应急广播体系。</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2022年11月-2023年6月:开展方案设计、立项，完成项目招投标。</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2023年7月-2023年12月:开展县级应急广播平台、龙浔镇和浔中镇以及下属村(居)平台和340个广播终端的建设。</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2024年1月-2024年6月:完成所有乡镇、村（居）的设备安装、调试；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2024年7月-2024年12月：对整个应急广播体系软、硬件设备进行整体调试及试运行，完成验收、整个项目投入运行。</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后期可根据资金和任务安排继续建设，加大应急广播接收终端建设，实现对边远自然村落的广播覆盖，对学校、住宅小区、景区、公园等公共场所应用广播接入，形成全方位覆盖的应急广播体系;同时，可利用系统提供的对外接口，实现与其他信息工程的互联互通，如新时代文明实践中心系统、县级融媒体系统地震预警系统、视频会议系统、视频监控、户外LED大屏等对接进一步拓展应急广播功能。</w:t>
      </w:r>
    </w:p>
    <w:p>
      <w:pPr>
        <w:spacing w:after="0" w:line="408" w:lineRule="auto"/>
        <w:ind w:firstLine="560" w:firstLineChars="200"/>
        <w:jc w:val="both"/>
        <w:outlineLvl w:val="2"/>
        <w:rPr>
          <w:rFonts w:hint="eastAsia" w:ascii="仿宋" w:hAnsi="仿宋" w:eastAsia="仿宋"/>
          <w:sz w:val="28"/>
          <w:szCs w:val="21"/>
        </w:rPr>
      </w:pPr>
      <w:bookmarkStart w:id="7" w:name="_Toc177992427"/>
      <w:r>
        <w:rPr>
          <w:rFonts w:hint="eastAsia" w:ascii="仿宋" w:hAnsi="仿宋" w:eastAsia="仿宋"/>
          <w:sz w:val="28"/>
          <w:szCs w:val="21"/>
        </w:rPr>
        <w:t>2.项目采购的内容</w:t>
      </w:r>
      <w:bookmarkEnd w:id="7"/>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根据德化县应急局所提供的资料所示，2023年度该项目的采购标的为“德化县应急广播体系建设项目”，供应商为</w:t>
      </w:r>
      <w:bookmarkStart w:id="8" w:name="_Hlk174975321"/>
      <w:r>
        <w:rPr>
          <w:rFonts w:hint="eastAsia" w:ascii="仿宋" w:hAnsi="仿宋" w:eastAsia="仿宋"/>
          <w:sz w:val="28"/>
          <w:szCs w:val="21"/>
        </w:rPr>
        <w:t>福建广电网络集团股份有限公司德化分公司</w:t>
      </w:r>
      <w:bookmarkEnd w:id="8"/>
      <w:r>
        <w:rPr>
          <w:rFonts w:hint="eastAsia" w:ascii="仿宋" w:hAnsi="仿宋" w:eastAsia="仿宋"/>
          <w:sz w:val="28"/>
          <w:szCs w:val="21"/>
        </w:rPr>
        <w:t>，项目总金额9,668,900.00元。采购内容为应急广播体系平台搭建所需要的各类硬件及软件的设备。合同中并约定于2023年底，完成县级应急广播平台、龙浔镇浔中镇、三班镇以及下属村(居)平台和广播终端的建设并投入使用，于2024年底建成全县应急广播体系并验收合格完成交付。</w:t>
      </w:r>
    </w:p>
    <w:p>
      <w:pPr>
        <w:spacing w:after="0" w:line="408" w:lineRule="auto"/>
        <w:ind w:firstLine="560" w:firstLineChars="200"/>
        <w:jc w:val="both"/>
        <w:outlineLvl w:val="2"/>
        <w:rPr>
          <w:rFonts w:hint="eastAsia" w:ascii="仿宋" w:hAnsi="仿宋" w:eastAsia="仿宋"/>
          <w:sz w:val="28"/>
          <w:szCs w:val="21"/>
        </w:rPr>
      </w:pPr>
      <w:bookmarkStart w:id="9" w:name="_Toc177992428"/>
      <w:r>
        <w:rPr>
          <w:rFonts w:hint="eastAsia" w:ascii="仿宋" w:hAnsi="仿宋" w:eastAsia="仿宋"/>
          <w:sz w:val="28"/>
          <w:szCs w:val="21"/>
        </w:rPr>
        <w:t>3.预算编制、批复和执行</w:t>
      </w:r>
      <w:bookmarkEnd w:id="9"/>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德化县应急局关于应急广播体系建设资金项目2023年度全年预算金额为996.00万元。2023年度预算执行金额为447.10万，预算执行率为44.89%。（预算执行率=实际执行金额/全年预算金额*100%=447.10/996.00*100%=44.89%）。</w:t>
      </w:r>
    </w:p>
    <w:p>
      <w:pPr>
        <w:spacing w:after="0" w:line="408" w:lineRule="auto"/>
        <w:ind w:firstLine="562" w:firstLineChars="200"/>
        <w:outlineLvl w:val="0"/>
        <w:rPr>
          <w:rFonts w:hint="eastAsia" w:ascii="仿宋" w:hAnsi="仿宋" w:eastAsia="仿宋"/>
          <w:b/>
          <w:sz w:val="28"/>
          <w:szCs w:val="21"/>
        </w:rPr>
      </w:pPr>
      <w:bookmarkStart w:id="10" w:name="_Toc177992429"/>
      <w:r>
        <w:rPr>
          <w:rFonts w:hint="eastAsia" w:ascii="仿宋" w:hAnsi="仿宋" w:eastAsia="仿宋"/>
          <w:b/>
          <w:sz w:val="28"/>
          <w:szCs w:val="21"/>
        </w:rPr>
        <w:t>二、项目实施情况</w:t>
      </w:r>
      <w:bookmarkEnd w:id="10"/>
    </w:p>
    <w:p>
      <w:pPr>
        <w:spacing w:after="0" w:line="408" w:lineRule="auto"/>
        <w:ind w:firstLine="562" w:firstLineChars="200"/>
        <w:jc w:val="both"/>
        <w:outlineLvl w:val="1"/>
        <w:rPr>
          <w:rFonts w:hint="eastAsia" w:ascii="仿宋" w:hAnsi="仿宋" w:eastAsia="仿宋"/>
          <w:b/>
          <w:sz w:val="28"/>
          <w:szCs w:val="21"/>
        </w:rPr>
      </w:pPr>
      <w:bookmarkStart w:id="11" w:name="_Toc177992430"/>
      <w:r>
        <w:rPr>
          <w:rFonts w:hint="eastAsia" w:ascii="仿宋" w:hAnsi="仿宋" w:eastAsia="仿宋"/>
          <w:b/>
          <w:sz w:val="28"/>
          <w:szCs w:val="21"/>
        </w:rPr>
        <w:t>（一）资金来源及使用情况</w:t>
      </w:r>
      <w:bookmarkEnd w:id="11"/>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关于开展德化县应急广播体系建设的请示》文件指示，2023年度应急广播体系建设专项资金预算为996.00万。2023年度德化县应急局向供应商福建广电网络集团股份有限公司德化分公司支付广播体系建设进度款435.10万元。2023年度德化县应急局向供应商中浙信科技咨询有限公司支付设计费12万元，合计2023年共支付447.1万元。</w:t>
      </w:r>
    </w:p>
    <w:p>
      <w:pPr>
        <w:spacing w:after="0" w:line="408" w:lineRule="auto"/>
        <w:ind w:firstLine="562" w:firstLineChars="200"/>
        <w:jc w:val="both"/>
        <w:outlineLvl w:val="1"/>
        <w:rPr>
          <w:rFonts w:hint="eastAsia" w:ascii="仿宋" w:hAnsi="仿宋" w:eastAsia="仿宋"/>
          <w:b/>
          <w:sz w:val="28"/>
          <w:szCs w:val="21"/>
        </w:rPr>
      </w:pPr>
      <w:bookmarkStart w:id="12" w:name="_Toc177992431"/>
      <w:r>
        <w:rPr>
          <w:rFonts w:hint="eastAsia" w:ascii="仿宋" w:hAnsi="仿宋" w:eastAsia="仿宋"/>
          <w:b/>
          <w:sz w:val="28"/>
          <w:szCs w:val="21"/>
        </w:rPr>
        <w:t>（二）实施组织及管理情况</w:t>
      </w:r>
      <w:bookmarkEnd w:id="12"/>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德化县应急局在</w:t>
      </w:r>
      <w:bookmarkStart w:id="13" w:name="_Hlk174976033"/>
      <w:r>
        <w:rPr>
          <w:rFonts w:hint="eastAsia" w:ascii="仿宋" w:hAnsi="仿宋" w:eastAsia="仿宋"/>
          <w:sz w:val="28"/>
          <w:szCs w:val="21"/>
        </w:rPr>
        <w:t>应急广播体系建设专项资金</w:t>
      </w:r>
      <w:bookmarkEnd w:id="13"/>
      <w:r>
        <w:rPr>
          <w:rFonts w:hint="eastAsia" w:ascii="仿宋" w:hAnsi="仿宋" w:eastAsia="仿宋"/>
          <w:sz w:val="28"/>
          <w:szCs w:val="21"/>
        </w:rPr>
        <w:t>项目中符合政府采购需求管理办法，符合招投标等相关的规定，符合国家财经法规和财务管理制度以及有关专项资金管理办法的规定。应急广播体系建设专项资金项目中资金的使用符合《关于开展德化县应急广播体系建设的请示》的文件规定，具备合法、合规、完整的财务和业务管理制度。</w:t>
      </w:r>
    </w:p>
    <w:p>
      <w:pPr>
        <w:spacing w:after="0" w:line="408" w:lineRule="auto"/>
        <w:ind w:firstLine="562" w:firstLineChars="200"/>
        <w:jc w:val="both"/>
        <w:outlineLvl w:val="1"/>
        <w:rPr>
          <w:rFonts w:hint="eastAsia" w:ascii="仿宋" w:hAnsi="仿宋" w:eastAsia="仿宋"/>
          <w:b/>
          <w:sz w:val="28"/>
          <w:szCs w:val="21"/>
        </w:rPr>
      </w:pPr>
      <w:bookmarkStart w:id="14" w:name="_Toc177992432"/>
      <w:r>
        <w:rPr>
          <w:rFonts w:hint="eastAsia" w:ascii="仿宋" w:hAnsi="仿宋" w:eastAsia="仿宋"/>
          <w:b/>
          <w:sz w:val="28"/>
          <w:szCs w:val="21"/>
        </w:rPr>
        <w:t>（三）总体目标</w:t>
      </w:r>
      <w:bookmarkEnd w:id="14"/>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为认真贯彻《关于全县应急广播体系建设推进专题会议纪要》及《关于开展德化县应急广播体系建设的请示》的文件指示，做好应急广播体系建设工作。2023年德化县应急广播体系建设专项资金绩效指标如下表1所示：</w:t>
      </w:r>
    </w:p>
    <w:p>
      <w:pPr>
        <w:spacing w:after="0" w:line="408" w:lineRule="auto"/>
        <w:jc w:val="center"/>
        <w:rPr>
          <w:rFonts w:hint="eastAsia" w:ascii="仿宋" w:hAnsi="仿宋" w:eastAsia="仿宋"/>
          <w:b/>
          <w:bCs/>
          <w:sz w:val="24"/>
          <w:szCs w:val="20"/>
        </w:rPr>
      </w:pPr>
      <w:r>
        <w:rPr>
          <w:rFonts w:hint="eastAsia" w:ascii="仿宋" w:hAnsi="仿宋" w:eastAsia="仿宋"/>
          <w:b/>
          <w:bCs/>
          <w:sz w:val="24"/>
          <w:szCs w:val="20"/>
        </w:rPr>
        <w:t>表1  2023年德化县应急广播体系建设专项资金绩效目标表</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770"/>
        <w:gridCol w:w="4191"/>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序号</w:t>
            </w:r>
          </w:p>
        </w:tc>
        <w:tc>
          <w:tcPr>
            <w:tcW w:w="709" w:type="dxa"/>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一级指标</w:t>
            </w:r>
          </w:p>
        </w:tc>
        <w:tc>
          <w:tcPr>
            <w:tcW w:w="770" w:type="dxa"/>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二级指标</w:t>
            </w:r>
          </w:p>
        </w:tc>
        <w:tc>
          <w:tcPr>
            <w:tcW w:w="4191" w:type="dxa"/>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三级指标</w:t>
            </w:r>
          </w:p>
        </w:tc>
        <w:tc>
          <w:tcPr>
            <w:tcW w:w="4167" w:type="dxa"/>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1</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成本指标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经济成本指标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资金投入</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996万元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2</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产出指标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数量指标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完成1个县级应急广播平台、18个乡镇级分控平台、216个村（居）级分控平台</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完成1个县级应急广播平台、18个乡镇级分控平台、216个村（居）级分控平台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3</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产出指标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质量指标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建成县、乡（镇）、村（居）三级应急广播体系</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依托广播电视传输覆盖网络资源形成省、市、县、乡、村五级贯通、可管可控、综合覆盖，与各级预警信息发布系统有效对接的应急广播体系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4</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产出指标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时效指标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完成时间</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2024年12月底完成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5</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效益指标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经济效益指标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建设应急广播体系，快速发布各类预警信息和应急对策</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建设应急广播体系，快速发布各类预警信息和应急对策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shd w:val="clear" w:color="auto" w:fill="auto"/>
            <w:vAlign w:val="center"/>
          </w:tcPr>
          <w:p>
            <w:pPr>
              <w:adjustRightInd w:val="0"/>
              <w:snapToGrid w:val="0"/>
              <w:spacing w:after="0" w:line="408" w:lineRule="auto"/>
              <w:jc w:val="center"/>
              <w:rPr>
                <w:rFonts w:hint="eastAsia" w:ascii="仿宋" w:hAnsi="仿宋" w:eastAsia="仿宋"/>
                <w:snapToGrid w:val="0"/>
                <w:kern w:val="0"/>
                <w:sz w:val="18"/>
                <w:szCs w:val="21"/>
              </w:rPr>
            </w:pPr>
            <w:r>
              <w:rPr>
                <w:rFonts w:hint="eastAsia" w:ascii="仿宋" w:hAnsi="仿宋" w:eastAsia="仿宋"/>
                <w:snapToGrid w:val="0"/>
                <w:kern w:val="0"/>
                <w:sz w:val="18"/>
                <w:szCs w:val="21"/>
              </w:rPr>
              <w:t>6</w:t>
            </w:r>
          </w:p>
        </w:tc>
        <w:tc>
          <w:tcPr>
            <w:tcW w:w="709"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满意度指标</w:t>
            </w:r>
          </w:p>
        </w:tc>
        <w:tc>
          <w:tcPr>
            <w:tcW w:w="770"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服务对象满意度指标</w:t>
            </w:r>
          </w:p>
        </w:tc>
        <w:tc>
          <w:tcPr>
            <w:tcW w:w="4191"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满意度</w:t>
            </w:r>
          </w:p>
        </w:tc>
        <w:tc>
          <w:tcPr>
            <w:tcW w:w="4167" w:type="dxa"/>
            <w:shd w:val="clear" w:color="auto" w:fill="auto"/>
            <w:vAlign w:val="center"/>
          </w:tcPr>
          <w:p>
            <w:pPr>
              <w:adjustRightInd w:val="0"/>
              <w:snapToGrid w:val="0"/>
              <w:spacing w:after="0" w:line="408" w:lineRule="auto"/>
              <w:rPr>
                <w:rFonts w:hint="eastAsia" w:ascii="仿宋" w:hAnsi="仿宋" w:eastAsia="仿宋"/>
                <w:snapToGrid w:val="0"/>
                <w:kern w:val="0"/>
                <w:sz w:val="18"/>
                <w:szCs w:val="21"/>
              </w:rPr>
            </w:pPr>
            <w:r>
              <w:rPr>
                <w:rFonts w:hint="eastAsia" w:ascii="仿宋" w:hAnsi="仿宋" w:eastAsia="仿宋"/>
                <w:snapToGrid w:val="0"/>
                <w:kern w:val="0"/>
                <w:sz w:val="18"/>
                <w:szCs w:val="21"/>
              </w:rPr>
              <w:t>≥85%</w:t>
            </w:r>
          </w:p>
        </w:tc>
      </w:tr>
    </w:tbl>
    <w:p>
      <w:pPr>
        <w:spacing w:after="0" w:line="408" w:lineRule="auto"/>
        <w:ind w:firstLine="562" w:firstLineChars="200"/>
        <w:outlineLvl w:val="0"/>
        <w:rPr>
          <w:rFonts w:hint="eastAsia" w:ascii="仿宋" w:hAnsi="仿宋" w:eastAsia="仿宋"/>
          <w:b/>
          <w:sz w:val="28"/>
          <w:szCs w:val="21"/>
        </w:rPr>
      </w:pPr>
      <w:bookmarkStart w:id="15" w:name="_Toc177992433"/>
      <w:r>
        <w:rPr>
          <w:rFonts w:hint="eastAsia" w:ascii="仿宋" w:hAnsi="仿宋" w:eastAsia="仿宋"/>
          <w:b/>
          <w:sz w:val="28"/>
          <w:szCs w:val="21"/>
        </w:rPr>
        <w:t>三、绩效评价工作开展情况</w:t>
      </w:r>
      <w:bookmarkEnd w:id="15"/>
    </w:p>
    <w:p>
      <w:pPr>
        <w:spacing w:after="0" w:line="408" w:lineRule="auto"/>
        <w:ind w:firstLine="562" w:firstLineChars="200"/>
        <w:jc w:val="both"/>
        <w:outlineLvl w:val="1"/>
        <w:rPr>
          <w:rFonts w:hint="eastAsia" w:ascii="仿宋" w:hAnsi="仿宋" w:eastAsia="仿宋"/>
          <w:b/>
          <w:sz w:val="28"/>
          <w:szCs w:val="21"/>
        </w:rPr>
      </w:pPr>
      <w:bookmarkStart w:id="16" w:name="_Toc177992434"/>
      <w:r>
        <w:rPr>
          <w:rFonts w:hint="eastAsia" w:ascii="仿宋" w:hAnsi="仿宋" w:eastAsia="仿宋"/>
          <w:b/>
          <w:sz w:val="28"/>
          <w:szCs w:val="21"/>
        </w:rPr>
        <w:t>（一）绩效评价目的和作用</w:t>
      </w:r>
      <w:bookmarkEnd w:id="16"/>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绩效评价的目的是提升相关部门的预算管理水平、</w:t>
      </w:r>
      <w:r>
        <w:rPr>
          <w:rFonts w:ascii="仿宋" w:hAnsi="仿宋" w:eastAsia="仿宋" w:cs="Times New Roman"/>
          <w:sz w:val="28"/>
          <w:szCs w:val="21"/>
        </w:rPr>
        <w:t>‌</w:t>
      </w:r>
      <w:r>
        <w:rPr>
          <w:rFonts w:hint="eastAsia" w:ascii="仿宋" w:hAnsi="仿宋" w:eastAsia="仿宋" w:cs="宋体"/>
          <w:sz w:val="28"/>
          <w:szCs w:val="21"/>
        </w:rPr>
        <w:t>增强项目单位资金支出责任、</w:t>
      </w:r>
      <w:r>
        <w:rPr>
          <w:rFonts w:ascii="仿宋" w:hAnsi="仿宋" w:eastAsia="仿宋" w:cs="Times New Roman"/>
          <w:sz w:val="28"/>
          <w:szCs w:val="21"/>
        </w:rPr>
        <w:t>‌</w:t>
      </w:r>
      <w:r>
        <w:rPr>
          <w:rFonts w:hint="eastAsia" w:ascii="仿宋" w:hAnsi="仿宋" w:eastAsia="仿宋" w:cs="宋体"/>
          <w:sz w:val="28"/>
          <w:szCs w:val="21"/>
        </w:rPr>
        <w:t>优化公共资源配置、</w:t>
      </w:r>
      <w:r>
        <w:rPr>
          <w:rFonts w:ascii="仿宋" w:hAnsi="仿宋" w:eastAsia="仿宋" w:cs="Times New Roman"/>
          <w:sz w:val="28"/>
          <w:szCs w:val="21"/>
        </w:rPr>
        <w:t>‌</w:t>
      </w:r>
      <w:r>
        <w:rPr>
          <w:rFonts w:hint="eastAsia" w:ascii="仿宋" w:hAnsi="仿宋" w:eastAsia="仿宋" w:cs="宋体"/>
          <w:sz w:val="28"/>
          <w:szCs w:val="21"/>
        </w:rPr>
        <w:t>节约公共支出成本，</w:t>
      </w:r>
      <w:r>
        <w:rPr>
          <w:rFonts w:ascii="仿宋" w:hAnsi="仿宋" w:eastAsia="仿宋" w:cs="Times New Roman"/>
          <w:sz w:val="28"/>
          <w:szCs w:val="21"/>
        </w:rPr>
        <w:t>‌</w:t>
      </w:r>
      <w:r>
        <w:rPr>
          <w:rFonts w:hint="eastAsia" w:ascii="仿宋" w:hAnsi="仿宋" w:eastAsia="仿宋" w:cs="宋体"/>
          <w:sz w:val="28"/>
          <w:szCs w:val="21"/>
        </w:rPr>
        <w:t>进而促进财政资金的合理配置和提高公共产品的服务质量。</w:t>
      </w:r>
      <w:r>
        <w:rPr>
          <w:rFonts w:ascii="仿宋" w:hAnsi="仿宋" w:eastAsia="仿宋" w:cs="Times New Roman"/>
          <w:sz w:val="28"/>
          <w:szCs w:val="21"/>
        </w:rPr>
        <w:t>‌</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绩效评价可以为相关部门的决策制定提供科学依据：</w:t>
      </w:r>
      <w:r>
        <w:rPr>
          <w:rFonts w:ascii="仿宋" w:hAnsi="仿宋" w:eastAsia="仿宋" w:cs="Times New Roman"/>
          <w:sz w:val="28"/>
          <w:szCs w:val="21"/>
        </w:rPr>
        <w:t>‌</w:t>
      </w:r>
      <w:r>
        <w:rPr>
          <w:rFonts w:hint="eastAsia" w:ascii="仿宋" w:hAnsi="仿宋" w:eastAsia="仿宋" w:cs="宋体"/>
          <w:sz w:val="28"/>
          <w:szCs w:val="21"/>
        </w:rPr>
        <w:t>高质量的绩效评价带来的可靠结果可以放心使用和引用，</w:t>
      </w:r>
      <w:r>
        <w:rPr>
          <w:rFonts w:ascii="仿宋" w:hAnsi="仿宋" w:eastAsia="仿宋" w:cs="Times New Roman"/>
          <w:sz w:val="28"/>
          <w:szCs w:val="21"/>
        </w:rPr>
        <w:t>‌</w:t>
      </w:r>
      <w:r>
        <w:rPr>
          <w:rFonts w:hint="eastAsia" w:ascii="仿宋" w:hAnsi="仿宋" w:eastAsia="仿宋" w:cs="宋体"/>
          <w:sz w:val="28"/>
          <w:szCs w:val="21"/>
        </w:rPr>
        <w:t>有助于改进决策水平。</w:t>
      </w:r>
      <w:r>
        <w:rPr>
          <w:rFonts w:ascii="仿宋" w:hAnsi="仿宋" w:eastAsia="仿宋" w:cs="Times New Roman"/>
          <w:sz w:val="28"/>
          <w:szCs w:val="21"/>
        </w:rPr>
        <w:t>‌</w:t>
      </w:r>
      <w:r>
        <w:rPr>
          <w:rFonts w:hint="eastAsia" w:ascii="仿宋" w:hAnsi="仿宋" w:eastAsia="仿宋" w:cs="宋体"/>
          <w:sz w:val="28"/>
          <w:szCs w:val="21"/>
        </w:rPr>
        <w:t>可以节约资源，</w:t>
      </w:r>
      <w:r>
        <w:rPr>
          <w:rFonts w:ascii="仿宋" w:hAnsi="仿宋" w:eastAsia="仿宋" w:cs="Times New Roman"/>
          <w:sz w:val="28"/>
          <w:szCs w:val="21"/>
        </w:rPr>
        <w:t>‌</w:t>
      </w:r>
      <w:r>
        <w:rPr>
          <w:rFonts w:hint="eastAsia" w:ascii="仿宋" w:hAnsi="仿宋" w:eastAsia="仿宋" w:cs="宋体"/>
          <w:sz w:val="28"/>
          <w:szCs w:val="21"/>
        </w:rPr>
        <w:t>指出相关政策是否按计划实施以及资源是否有效利用，</w:t>
      </w:r>
      <w:r>
        <w:rPr>
          <w:rFonts w:ascii="仿宋" w:hAnsi="仿宋" w:eastAsia="仿宋" w:cs="Times New Roman"/>
          <w:sz w:val="28"/>
          <w:szCs w:val="21"/>
        </w:rPr>
        <w:t>‌</w:t>
      </w:r>
      <w:r>
        <w:rPr>
          <w:rFonts w:hint="eastAsia" w:ascii="仿宋" w:hAnsi="仿宋" w:eastAsia="仿宋" w:cs="宋体"/>
          <w:sz w:val="28"/>
          <w:szCs w:val="21"/>
        </w:rPr>
        <w:t>为制定和执行政府优先发展领域和目标、</w:t>
      </w:r>
      <w:r>
        <w:rPr>
          <w:rFonts w:ascii="仿宋" w:hAnsi="仿宋" w:eastAsia="仿宋" w:cs="Times New Roman"/>
          <w:sz w:val="28"/>
          <w:szCs w:val="21"/>
        </w:rPr>
        <w:t>‌</w:t>
      </w:r>
      <w:r>
        <w:rPr>
          <w:rFonts w:hint="eastAsia" w:ascii="仿宋" w:hAnsi="仿宋" w:eastAsia="仿宋" w:cs="宋体"/>
          <w:sz w:val="28"/>
          <w:szCs w:val="21"/>
        </w:rPr>
        <w:t>展示责任以及为独立审查程序提供证据，</w:t>
      </w:r>
      <w:r>
        <w:rPr>
          <w:rFonts w:ascii="仿宋" w:hAnsi="仿宋" w:eastAsia="仿宋" w:cs="Times New Roman"/>
          <w:sz w:val="28"/>
          <w:szCs w:val="21"/>
        </w:rPr>
        <w:t>‌</w:t>
      </w:r>
      <w:r>
        <w:rPr>
          <w:rFonts w:hint="eastAsia" w:ascii="仿宋" w:hAnsi="仿宋" w:eastAsia="仿宋" w:cs="宋体"/>
          <w:sz w:val="28"/>
          <w:szCs w:val="21"/>
        </w:rPr>
        <w:t>同时也为以证据为基础的政策提供宝贵信息，</w:t>
      </w:r>
      <w:r>
        <w:rPr>
          <w:rFonts w:ascii="仿宋" w:hAnsi="仿宋" w:eastAsia="仿宋" w:cs="Times New Roman"/>
          <w:sz w:val="28"/>
          <w:szCs w:val="21"/>
        </w:rPr>
        <w:t>‌</w:t>
      </w:r>
      <w:r>
        <w:rPr>
          <w:rFonts w:hint="eastAsia" w:ascii="仿宋" w:hAnsi="仿宋" w:eastAsia="仿宋" w:cs="宋体"/>
          <w:sz w:val="28"/>
          <w:szCs w:val="21"/>
        </w:rPr>
        <w:t>有利于未来政策的制定。</w:t>
      </w:r>
      <w:r>
        <w:rPr>
          <w:rFonts w:ascii="仿宋" w:hAnsi="仿宋" w:eastAsia="仿宋" w:cs="Times New Roman"/>
          <w:sz w:val="28"/>
          <w:szCs w:val="21"/>
        </w:rPr>
        <w:t>‌</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绩效评价可以总结经验，</w:t>
      </w:r>
      <w:r>
        <w:rPr>
          <w:rFonts w:ascii="仿宋" w:hAnsi="仿宋" w:eastAsia="仿宋" w:cs="Times New Roman"/>
          <w:sz w:val="28"/>
          <w:szCs w:val="21"/>
        </w:rPr>
        <w:t>‌</w:t>
      </w:r>
      <w:r>
        <w:rPr>
          <w:rFonts w:hint="eastAsia" w:ascii="仿宋" w:hAnsi="仿宋" w:eastAsia="仿宋" w:cs="宋体"/>
          <w:sz w:val="28"/>
          <w:szCs w:val="21"/>
        </w:rPr>
        <w:t>为改善政府管理、</w:t>
      </w:r>
      <w:r>
        <w:rPr>
          <w:rFonts w:ascii="仿宋" w:hAnsi="仿宋" w:eastAsia="仿宋" w:cs="Times New Roman"/>
          <w:sz w:val="28"/>
          <w:szCs w:val="21"/>
        </w:rPr>
        <w:t>‌</w:t>
      </w:r>
      <w:r>
        <w:rPr>
          <w:rFonts w:hint="eastAsia" w:ascii="仿宋" w:hAnsi="仿宋" w:eastAsia="仿宋" w:cs="宋体"/>
          <w:sz w:val="28"/>
          <w:szCs w:val="21"/>
        </w:rPr>
        <w:t>纠正目标与实际的偏差提供依据：</w:t>
      </w:r>
      <w:r>
        <w:rPr>
          <w:rFonts w:ascii="仿宋" w:hAnsi="仿宋" w:eastAsia="仿宋" w:cs="Times New Roman"/>
          <w:sz w:val="28"/>
          <w:szCs w:val="21"/>
        </w:rPr>
        <w:t>‌</w:t>
      </w:r>
      <w:r>
        <w:rPr>
          <w:rFonts w:hint="eastAsia" w:ascii="仿宋" w:hAnsi="仿宋" w:eastAsia="仿宋" w:cs="宋体"/>
          <w:sz w:val="28"/>
          <w:szCs w:val="21"/>
        </w:rPr>
        <w:t>绩效评价通过验证目标指标，</w:t>
      </w:r>
      <w:r>
        <w:rPr>
          <w:rFonts w:ascii="仿宋" w:hAnsi="仿宋" w:eastAsia="仿宋" w:cs="Times New Roman"/>
          <w:sz w:val="28"/>
          <w:szCs w:val="21"/>
        </w:rPr>
        <w:t>‌</w:t>
      </w:r>
      <w:r>
        <w:rPr>
          <w:rFonts w:hint="eastAsia" w:ascii="仿宋" w:hAnsi="仿宋" w:eastAsia="仿宋" w:cs="宋体"/>
          <w:sz w:val="28"/>
          <w:szCs w:val="21"/>
        </w:rPr>
        <w:t>确定目标与现实之间的差异程度，</w:t>
      </w:r>
      <w:r>
        <w:rPr>
          <w:rFonts w:ascii="仿宋" w:hAnsi="仿宋" w:eastAsia="仿宋" w:cs="Times New Roman"/>
          <w:sz w:val="28"/>
          <w:szCs w:val="21"/>
        </w:rPr>
        <w:t>‌</w:t>
      </w:r>
      <w:r>
        <w:rPr>
          <w:rFonts w:hint="eastAsia" w:ascii="仿宋" w:hAnsi="仿宋" w:eastAsia="仿宋" w:cs="宋体"/>
          <w:sz w:val="28"/>
          <w:szCs w:val="21"/>
        </w:rPr>
        <w:t>分析产生问题的原因，</w:t>
      </w:r>
      <w:r>
        <w:rPr>
          <w:rFonts w:ascii="仿宋" w:hAnsi="仿宋" w:eastAsia="仿宋" w:cs="Times New Roman"/>
          <w:sz w:val="28"/>
          <w:szCs w:val="21"/>
        </w:rPr>
        <w:t>‌</w:t>
      </w:r>
      <w:r>
        <w:rPr>
          <w:rFonts w:hint="eastAsia" w:ascii="仿宋" w:hAnsi="仿宋" w:eastAsia="仿宋" w:cs="宋体"/>
          <w:sz w:val="28"/>
          <w:szCs w:val="21"/>
        </w:rPr>
        <w:t>提出合理的建议，</w:t>
      </w:r>
      <w:r>
        <w:rPr>
          <w:rFonts w:ascii="仿宋" w:hAnsi="仿宋" w:eastAsia="仿宋" w:cs="Times New Roman"/>
          <w:sz w:val="28"/>
          <w:szCs w:val="21"/>
        </w:rPr>
        <w:t>‌</w:t>
      </w:r>
      <w:r>
        <w:rPr>
          <w:rFonts w:hint="eastAsia" w:ascii="仿宋" w:hAnsi="仿宋" w:eastAsia="仿宋" w:cs="宋体"/>
          <w:sz w:val="28"/>
          <w:szCs w:val="21"/>
        </w:rPr>
        <w:t>从而为纠偏决策提供依据，</w:t>
      </w:r>
      <w:r>
        <w:rPr>
          <w:rFonts w:ascii="仿宋" w:hAnsi="仿宋" w:eastAsia="仿宋" w:cs="Times New Roman"/>
          <w:sz w:val="28"/>
          <w:szCs w:val="21"/>
        </w:rPr>
        <w:t>‌</w:t>
      </w:r>
      <w:r>
        <w:rPr>
          <w:rFonts w:hint="eastAsia" w:ascii="仿宋" w:hAnsi="仿宋" w:eastAsia="仿宋" w:cs="宋体"/>
          <w:sz w:val="28"/>
          <w:szCs w:val="21"/>
        </w:rPr>
        <w:t>改善政府管理，</w:t>
      </w:r>
      <w:r>
        <w:rPr>
          <w:rFonts w:ascii="仿宋" w:hAnsi="仿宋" w:eastAsia="仿宋" w:cs="Times New Roman"/>
          <w:sz w:val="28"/>
          <w:szCs w:val="21"/>
        </w:rPr>
        <w:t>‌</w:t>
      </w:r>
      <w:r>
        <w:rPr>
          <w:rFonts w:hint="eastAsia" w:ascii="仿宋" w:hAnsi="仿宋" w:eastAsia="仿宋" w:cs="宋体"/>
          <w:sz w:val="28"/>
          <w:szCs w:val="21"/>
        </w:rPr>
        <w:t>纠正目标与实际的偏差。</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绩效评价可以为财政部门对各单位提供问责依据：</w:t>
      </w:r>
      <w:r>
        <w:rPr>
          <w:rFonts w:ascii="仿宋" w:hAnsi="仿宋" w:eastAsia="仿宋" w:cs="Times New Roman"/>
          <w:sz w:val="28"/>
          <w:szCs w:val="21"/>
        </w:rPr>
        <w:t>‌</w:t>
      </w:r>
      <w:r>
        <w:rPr>
          <w:rFonts w:hint="eastAsia" w:ascii="仿宋" w:hAnsi="仿宋" w:eastAsia="仿宋" w:cs="宋体"/>
          <w:sz w:val="28"/>
          <w:szCs w:val="21"/>
        </w:rPr>
        <w:t>随着公共财政管理体制的日趋完善，</w:t>
      </w:r>
      <w:r>
        <w:rPr>
          <w:rFonts w:ascii="仿宋" w:hAnsi="仿宋" w:eastAsia="仿宋" w:cs="Times New Roman"/>
          <w:sz w:val="28"/>
          <w:szCs w:val="21"/>
        </w:rPr>
        <w:t>‌</w:t>
      </w:r>
      <w:r>
        <w:rPr>
          <w:rFonts w:hint="eastAsia" w:ascii="仿宋" w:hAnsi="仿宋" w:eastAsia="仿宋" w:cs="宋体"/>
          <w:sz w:val="28"/>
          <w:szCs w:val="21"/>
        </w:rPr>
        <w:t>“花钱必问效，</w:t>
      </w:r>
      <w:r>
        <w:rPr>
          <w:rFonts w:ascii="仿宋" w:hAnsi="仿宋" w:eastAsia="仿宋" w:cs="Times New Roman"/>
          <w:sz w:val="28"/>
          <w:szCs w:val="21"/>
        </w:rPr>
        <w:t>‌</w:t>
      </w:r>
      <w:r>
        <w:rPr>
          <w:rFonts w:hint="eastAsia" w:ascii="仿宋" w:hAnsi="仿宋" w:eastAsia="仿宋" w:cs="宋体"/>
          <w:sz w:val="28"/>
          <w:szCs w:val="21"/>
        </w:rPr>
        <w:t>无效必问责”的理念已经成为财政部门加强预算管理的基本原则。</w:t>
      </w:r>
      <w:r>
        <w:rPr>
          <w:rFonts w:ascii="仿宋" w:hAnsi="仿宋" w:eastAsia="仿宋" w:cs="Times New Roman"/>
          <w:sz w:val="28"/>
          <w:szCs w:val="21"/>
        </w:rPr>
        <w:t>‌</w:t>
      </w:r>
      <w:r>
        <w:rPr>
          <w:rFonts w:hint="eastAsia" w:ascii="仿宋" w:hAnsi="仿宋" w:eastAsia="仿宋" w:cs="宋体"/>
          <w:sz w:val="28"/>
          <w:szCs w:val="21"/>
        </w:rPr>
        <w:t>高质量的绩效评价及其提供的可靠证据，</w:t>
      </w:r>
      <w:r>
        <w:rPr>
          <w:rFonts w:ascii="仿宋" w:hAnsi="仿宋" w:eastAsia="仿宋" w:cs="Times New Roman"/>
          <w:sz w:val="28"/>
          <w:szCs w:val="21"/>
        </w:rPr>
        <w:t>‌</w:t>
      </w:r>
      <w:r>
        <w:rPr>
          <w:rFonts w:hint="eastAsia" w:ascii="仿宋" w:hAnsi="仿宋" w:eastAsia="仿宋" w:cs="宋体"/>
          <w:sz w:val="28"/>
          <w:szCs w:val="21"/>
        </w:rPr>
        <w:t>将成为财政部门对各预算实施主体绩效目标未达成进行问责的客观依据，</w:t>
      </w:r>
      <w:r>
        <w:rPr>
          <w:rFonts w:ascii="仿宋" w:hAnsi="仿宋" w:eastAsia="仿宋" w:cs="Times New Roman"/>
          <w:sz w:val="28"/>
          <w:szCs w:val="21"/>
        </w:rPr>
        <w:t>‌</w:t>
      </w:r>
      <w:r>
        <w:rPr>
          <w:rFonts w:hint="eastAsia" w:ascii="仿宋" w:hAnsi="仿宋" w:eastAsia="仿宋" w:cs="宋体"/>
          <w:sz w:val="28"/>
          <w:szCs w:val="21"/>
        </w:rPr>
        <w:t>能促进政策的执行、</w:t>
      </w:r>
      <w:r>
        <w:rPr>
          <w:rFonts w:ascii="仿宋" w:hAnsi="仿宋" w:eastAsia="仿宋" w:cs="Times New Roman"/>
          <w:sz w:val="28"/>
          <w:szCs w:val="21"/>
        </w:rPr>
        <w:t>‌</w:t>
      </w:r>
      <w:r>
        <w:rPr>
          <w:rFonts w:hint="eastAsia" w:ascii="仿宋" w:hAnsi="仿宋" w:eastAsia="仿宋" w:cs="宋体"/>
          <w:sz w:val="28"/>
          <w:szCs w:val="21"/>
        </w:rPr>
        <w:t>提高政策执行的绩效和有效性。</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绩效评价不仅是评估政府工作的手段，</w:t>
      </w:r>
      <w:r>
        <w:rPr>
          <w:rFonts w:ascii="仿宋" w:hAnsi="仿宋" w:eastAsia="仿宋" w:cs="Times New Roman"/>
          <w:sz w:val="28"/>
          <w:szCs w:val="21"/>
        </w:rPr>
        <w:t>‌</w:t>
      </w:r>
      <w:r>
        <w:rPr>
          <w:rFonts w:hint="eastAsia" w:ascii="仿宋" w:hAnsi="仿宋" w:eastAsia="仿宋" w:cs="宋体"/>
          <w:sz w:val="28"/>
          <w:szCs w:val="21"/>
        </w:rPr>
        <w:t>也是提高政府工作效率和服务质量的重要工具，</w:t>
      </w:r>
      <w:r>
        <w:rPr>
          <w:rFonts w:ascii="仿宋" w:hAnsi="仿宋" w:eastAsia="仿宋" w:cs="Times New Roman"/>
          <w:sz w:val="28"/>
          <w:szCs w:val="21"/>
        </w:rPr>
        <w:t>‌</w:t>
      </w:r>
      <w:r>
        <w:rPr>
          <w:rFonts w:hint="eastAsia" w:ascii="仿宋" w:hAnsi="仿宋" w:eastAsia="仿宋" w:cs="宋体"/>
          <w:sz w:val="28"/>
          <w:szCs w:val="21"/>
        </w:rPr>
        <w:t>对于推动政府管理的科学化、</w:t>
      </w:r>
      <w:r>
        <w:rPr>
          <w:rFonts w:ascii="仿宋" w:hAnsi="仿宋" w:eastAsia="仿宋" w:cs="Times New Roman"/>
          <w:sz w:val="28"/>
          <w:szCs w:val="21"/>
        </w:rPr>
        <w:t>‌</w:t>
      </w:r>
      <w:r>
        <w:rPr>
          <w:rFonts w:hint="eastAsia" w:ascii="仿宋" w:hAnsi="仿宋" w:eastAsia="仿宋" w:cs="宋体"/>
          <w:sz w:val="28"/>
          <w:szCs w:val="21"/>
        </w:rPr>
        <w:t>规范化具有重要意义</w:t>
      </w:r>
      <w:r>
        <w:rPr>
          <w:rFonts w:hint="eastAsia" w:ascii="仿宋" w:hAnsi="仿宋" w:eastAsia="仿宋"/>
          <w:sz w:val="28"/>
          <w:szCs w:val="21"/>
        </w:rPr>
        <w:t>。</w:t>
      </w:r>
    </w:p>
    <w:p>
      <w:pPr>
        <w:spacing w:after="0" w:line="408" w:lineRule="auto"/>
        <w:ind w:firstLine="562" w:firstLineChars="200"/>
        <w:jc w:val="both"/>
        <w:outlineLvl w:val="1"/>
        <w:rPr>
          <w:rFonts w:hint="eastAsia" w:ascii="仿宋" w:hAnsi="仿宋" w:eastAsia="仿宋"/>
          <w:b/>
          <w:sz w:val="28"/>
          <w:szCs w:val="21"/>
        </w:rPr>
      </w:pPr>
      <w:bookmarkStart w:id="17" w:name="_Toc177992435"/>
      <w:r>
        <w:rPr>
          <w:rFonts w:hint="eastAsia" w:ascii="仿宋" w:hAnsi="仿宋" w:eastAsia="仿宋"/>
          <w:b/>
          <w:sz w:val="28"/>
          <w:szCs w:val="21"/>
        </w:rPr>
        <w:t>（二）评价对象和范围</w:t>
      </w:r>
      <w:bookmarkEnd w:id="17"/>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本次绩效评价的评价范围为2023年德化县应急广播体系建设专项资金。</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绩效评价期间为：2023年1月1日至2023年12月31日</w:t>
      </w:r>
    </w:p>
    <w:p>
      <w:pPr>
        <w:spacing w:after="0" w:line="408" w:lineRule="auto"/>
        <w:ind w:firstLine="562" w:firstLineChars="200"/>
        <w:jc w:val="both"/>
        <w:outlineLvl w:val="1"/>
        <w:rPr>
          <w:rFonts w:hint="eastAsia" w:ascii="仿宋" w:hAnsi="仿宋" w:eastAsia="仿宋"/>
          <w:b/>
          <w:sz w:val="28"/>
          <w:szCs w:val="21"/>
        </w:rPr>
      </w:pPr>
      <w:bookmarkStart w:id="18" w:name="_Toc177992436"/>
      <w:r>
        <w:rPr>
          <w:rFonts w:hint="eastAsia" w:ascii="仿宋" w:hAnsi="仿宋" w:eastAsia="仿宋"/>
          <w:b/>
          <w:sz w:val="28"/>
          <w:szCs w:val="21"/>
        </w:rPr>
        <w:t>（三）绩效评价依据</w:t>
      </w:r>
      <w:bookmarkEnd w:id="18"/>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（1）《中共中央国务院关于全面实施预算绩效管理的意见》（中发〔2018〕34号）；</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（2）财政部关于印发《项目支出绩效评价管理办法》的通知（财预〔2022〕10号）；</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（3）《福建省财政厅关于印发财政支出绩效评价指标体系及使用指南的通知》（闽财绩〔2012〕13号）；</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（4）福建省财政厅关于印发《福建省财政支出绩效评价管理暂行办法》的通知（闽财绩〔2015〕4号）；</w:t>
      </w:r>
    </w:p>
    <w:p>
      <w:pPr>
        <w:spacing w:after="0" w:line="408" w:lineRule="auto"/>
        <w:ind w:firstLine="560" w:firstLineChars="200"/>
        <w:jc w:val="both"/>
        <w:rPr>
          <w:rFonts w:hint="eastAsia" w:ascii="仿宋" w:hAnsi="仿宋" w:eastAsia="仿宋"/>
          <w:sz w:val="28"/>
          <w:szCs w:val="21"/>
        </w:rPr>
      </w:pPr>
      <w:bookmarkStart w:id="19" w:name="_Hlk173142957"/>
      <w:r>
        <w:rPr>
          <w:rFonts w:hint="eastAsia" w:ascii="仿宋" w:hAnsi="仿宋" w:eastAsia="仿宋"/>
          <w:sz w:val="28"/>
          <w:szCs w:val="21"/>
        </w:rPr>
        <w:t>（5）</w:t>
      </w:r>
      <w:bookmarkEnd w:id="19"/>
      <w:r>
        <w:rPr>
          <w:rFonts w:hint="eastAsia" w:ascii="仿宋" w:hAnsi="仿宋" w:eastAsia="仿宋"/>
          <w:sz w:val="28"/>
          <w:szCs w:val="21"/>
        </w:rPr>
        <w:t>《中华人民共和国招标投标法》；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（6）《中华人民共和国招标投标法实施条例》；</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（7）《中华人民共和国政府采购法》；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（8）《中华人民共和国政府采购法实施条例》；</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（9）财政部关于印发《预算绩效评价共性指标体系框架》的通知；</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（10）《项目支出绩效评价管理办法》；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（11）</w:t>
      </w:r>
      <w:r>
        <w:rPr>
          <w:rFonts w:ascii="仿宋" w:hAnsi="仿宋" w:eastAsia="仿宋"/>
          <w:sz w:val="28"/>
          <w:szCs w:val="21"/>
        </w:rPr>
        <w:t>《中华人民共和国预算法》</w:t>
      </w:r>
      <w:r>
        <w:rPr>
          <w:rFonts w:hint="eastAsia" w:ascii="仿宋" w:hAnsi="仿宋" w:eastAsia="仿宋"/>
          <w:sz w:val="28"/>
          <w:szCs w:val="21"/>
        </w:rPr>
        <w:t>；</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（12）《德化县人民政府关于全县应急广播体系建设推进专题会议纪要》〔2022〕101号；</w:t>
      </w:r>
    </w:p>
    <w:p>
      <w:pPr>
        <w:spacing w:after="0" w:line="408" w:lineRule="auto"/>
        <w:ind w:firstLine="560" w:firstLineChars="200"/>
        <w:jc w:val="both"/>
        <w:rPr>
          <w:rFonts w:hint="eastAsia" w:ascii="仿宋" w:hAnsi="仿宋" w:eastAsia="仿宋"/>
          <w:sz w:val="28"/>
          <w:szCs w:val="21"/>
          <w:lang w:val="en-US" w:eastAsia="zh-CN"/>
        </w:rPr>
      </w:pPr>
      <w:r>
        <w:rPr>
          <w:rFonts w:hint="eastAsia" w:ascii="仿宋" w:hAnsi="仿宋" w:eastAsia="仿宋"/>
          <w:sz w:val="28"/>
          <w:szCs w:val="21"/>
        </w:rPr>
        <w:t>（13）《关于开展德化县应急广播体系建设的请示》</w:t>
      </w:r>
      <w:r>
        <w:rPr>
          <w:rFonts w:hint="eastAsia" w:ascii="仿宋" w:hAnsi="仿宋" w:eastAsia="仿宋"/>
          <w:sz w:val="28"/>
          <w:szCs w:val="21"/>
          <w:lang w:eastAsia="zh-CN"/>
        </w:rPr>
        <w:t>。</w:t>
      </w:r>
    </w:p>
    <w:p>
      <w:pPr>
        <w:spacing w:after="0" w:line="408" w:lineRule="auto"/>
        <w:ind w:firstLine="562" w:firstLineChars="200"/>
        <w:jc w:val="both"/>
        <w:outlineLvl w:val="1"/>
        <w:rPr>
          <w:rFonts w:hint="eastAsia" w:ascii="仿宋" w:hAnsi="仿宋" w:eastAsia="仿宋"/>
          <w:b/>
          <w:sz w:val="28"/>
          <w:szCs w:val="21"/>
        </w:rPr>
      </w:pPr>
      <w:bookmarkStart w:id="20" w:name="_Toc177992437"/>
      <w:r>
        <w:rPr>
          <w:rFonts w:hint="eastAsia" w:ascii="仿宋" w:hAnsi="仿宋" w:eastAsia="仿宋"/>
          <w:b/>
          <w:sz w:val="28"/>
          <w:szCs w:val="21"/>
        </w:rPr>
        <w:t>（四）绩效评价原则</w:t>
      </w:r>
      <w:bookmarkEnd w:id="20"/>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（1）相关性原则。确定的绩效评价指标应当与绩效目标有直接的联系能够恰当反映目标的实现程度，而与绩效目标无关的指标不应列入评价体系；</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重要性原则。应当优先使用最具评价对象代表性、最能反映评价要求的核心指标，而对于那些无足轻重、可有可无的指标应该舍弃，否则，可能造成评价体系过于庞杂，可操作性不强，且不能突出反映问题；</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（3）可比性原则。对同类评价对象要设定共性的绩效评价指标，以便于评价结果可以相互比较。如，项目立项、资金落实、项目管理、财务管理等就属于共性指标；</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（4）经济性原则。绩效评价指标不是设计得越复杂越好，应当通俗易懂、简便易行，数据的获得应当考虑现实条件和可操作性。</w:t>
      </w:r>
    </w:p>
    <w:p>
      <w:pPr>
        <w:spacing w:after="0" w:line="408" w:lineRule="auto"/>
        <w:ind w:firstLine="562" w:firstLineChars="200"/>
        <w:jc w:val="both"/>
        <w:outlineLvl w:val="1"/>
        <w:rPr>
          <w:rFonts w:hint="eastAsia" w:ascii="仿宋" w:hAnsi="仿宋" w:eastAsia="仿宋"/>
          <w:b/>
          <w:sz w:val="28"/>
          <w:szCs w:val="21"/>
        </w:rPr>
      </w:pPr>
      <w:bookmarkStart w:id="21" w:name="_Toc177992438"/>
      <w:r>
        <w:rPr>
          <w:rFonts w:hint="eastAsia" w:ascii="仿宋" w:hAnsi="仿宋" w:eastAsia="仿宋"/>
          <w:b/>
          <w:sz w:val="28"/>
          <w:szCs w:val="21"/>
        </w:rPr>
        <w:t>（五）绩效评价方法</w:t>
      </w:r>
      <w:bookmarkEnd w:id="21"/>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根据《财政支出绩效评价管理暂行办法》（财预〔2011〕第285号），绩效评价指标确定应当遵循以下绩效评价方法：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（1）比较法。是指通过实际支出、实施效果等与绩效目标、历史情况、不同地区同类支出等的比较，综合分析绩效目标实现程度；</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（2）成本效益分析法。是指将一定时期内的支出与效益进行对比分析，以评价绩效目标实现程度；</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（3）服务对象评判法。是指通过对服务对象进行问卷及抽样调查等对财政支出的效果进行评判，评价绩效目标实现程度。</w:t>
      </w:r>
    </w:p>
    <w:p>
      <w:pPr>
        <w:spacing w:after="0" w:line="408" w:lineRule="auto"/>
        <w:ind w:firstLine="562" w:firstLineChars="200"/>
        <w:jc w:val="both"/>
        <w:outlineLvl w:val="1"/>
        <w:rPr>
          <w:rFonts w:hint="eastAsia" w:ascii="仿宋" w:hAnsi="仿宋" w:eastAsia="仿宋"/>
          <w:b/>
          <w:sz w:val="28"/>
          <w:szCs w:val="21"/>
        </w:rPr>
      </w:pPr>
      <w:bookmarkStart w:id="22" w:name="_Toc177992439"/>
      <w:r>
        <w:rPr>
          <w:rFonts w:hint="eastAsia" w:ascii="仿宋" w:hAnsi="仿宋" w:eastAsia="仿宋"/>
          <w:b/>
          <w:sz w:val="28"/>
          <w:szCs w:val="21"/>
        </w:rPr>
        <w:t>（六）绩效评价过程</w:t>
      </w:r>
      <w:bookmarkEnd w:id="22"/>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根据《德化县财政局关于开展预算绩效项目重点评价工作的通知》德财〔2024〕54号的要求，受德化县财政局委托，评价组进行现场评价工作，主要采取以下方式：</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1）前期准备工作，成立绩效评价小组，对绩效评价工作调研，与项目实施单位负责人进行沟通、询问，了解有关资金使用管理及项目组织实施管理等情况。了解资金使用取得的成效、存在的主要问题及建议等，进行方案设计；</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（2）绩效材料收集，对预算部门和项目实施单位的档案材料进行案卷研究评价，对绩效评价专项资金相关政策文件和制度等资料进行收集，并核实项目申报资金拨付、管理及验收情况、绩效目标实现程度等；</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（3）指标体系手稿设计阶段，评价工作小组通过对相关业务部门采集回来的项目资料进行整理，提取绩效指标，确定指标标准、指标解释、评分标准及评分规则，设计绩效指标体系初始手稿，设计调查问卷；</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（4）实地走访。评价组对项目进行实地调研；</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（5）绩效指标体系初稿阶段，拟写指标体系，完成指标体系初稿设计；</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（6）部门反馈意见阶段，征求预算部门和项目实施单位及委托单位的意见，并向预算单位下发补充资料清单；</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（7）提交绩效评价报告，完成专项资金绩效评价报告，装订成册。</w:t>
      </w:r>
    </w:p>
    <w:p>
      <w:pPr>
        <w:spacing w:after="0" w:line="408" w:lineRule="auto"/>
        <w:ind w:firstLine="562" w:firstLineChars="200"/>
        <w:jc w:val="both"/>
        <w:outlineLvl w:val="1"/>
        <w:rPr>
          <w:rFonts w:hint="eastAsia" w:ascii="仿宋" w:hAnsi="仿宋" w:eastAsia="仿宋"/>
          <w:b/>
          <w:sz w:val="28"/>
          <w:szCs w:val="21"/>
        </w:rPr>
      </w:pPr>
      <w:bookmarkStart w:id="23" w:name="_Toc177992440"/>
      <w:r>
        <w:rPr>
          <w:rFonts w:hint="eastAsia" w:ascii="仿宋" w:hAnsi="仿宋" w:eastAsia="仿宋"/>
          <w:b/>
          <w:sz w:val="28"/>
          <w:szCs w:val="21"/>
        </w:rPr>
        <w:t>（七）绩效评价指标体系</w:t>
      </w:r>
      <w:bookmarkEnd w:id="23"/>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评价指标体系共设置4个一级指标、12个二级指标和31个三级指标。一级指标为决策、过程、产出和效益。其中：“决策”21分，主要体现项目立项、绩效目标和资金投入；“过程”32分，主要体现采购方式和程序合规性、绩效管理、组织实施；“产出”25分，主要体现产出数量、产出质量；“效益”22分，主要体现实施后的社会效益、经济效益，满意度。指标体系设定满分100分，评分等级：90分及以上为优，80-90分为良60-80分为中，60分以下为差。绩效评价指标体系及分值表如下表2所示：</w:t>
      </w:r>
    </w:p>
    <w:p>
      <w:pPr>
        <w:spacing w:after="0" w:line="408" w:lineRule="auto"/>
        <w:jc w:val="center"/>
        <w:rPr>
          <w:rFonts w:hint="eastAsia" w:ascii="仿宋" w:hAnsi="仿宋" w:eastAsia="仿宋"/>
          <w:b/>
          <w:bCs/>
          <w:sz w:val="28"/>
          <w:szCs w:val="21"/>
        </w:rPr>
      </w:pPr>
      <w:r>
        <w:rPr>
          <w:rFonts w:hint="eastAsia" w:ascii="仿宋" w:hAnsi="仿宋" w:eastAsia="仿宋"/>
          <w:b/>
          <w:bCs/>
          <w:sz w:val="24"/>
          <w:szCs w:val="20"/>
        </w:rPr>
        <w:t>表2  2023年德化县应急广播体系建设专项资金绩效评价指标体系及分值表</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833"/>
        <w:gridCol w:w="1467"/>
        <w:gridCol w:w="2128"/>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一级指标</w:t>
            </w:r>
          </w:p>
        </w:tc>
        <w:tc>
          <w:tcPr>
            <w:tcW w:w="872"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二级指标</w:t>
            </w:r>
          </w:p>
        </w:tc>
        <w:tc>
          <w:tcPr>
            <w:tcW w:w="698"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三级指标</w:t>
            </w:r>
          </w:p>
        </w:tc>
        <w:tc>
          <w:tcPr>
            <w:tcW w:w="1012"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指标解释</w:t>
            </w:r>
          </w:p>
        </w:tc>
        <w:tc>
          <w:tcPr>
            <w:tcW w:w="1914"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决策（21%）</w:t>
            </w: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项目立项（6分）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立项依据充分性（3分）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项目立项是否符合法律法规、相关政策、发展规划以及部门职责，用以反映和考核项目立项依据情况。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①项目立项是否符合国家法律法规、国民经济发展规划和相关政策；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②项目立项是否符合行业发展规划和政策要求；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③项目立项是否与部门职责范围相符，属于部门履职所需；</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④项目是否属于公共财政支持范围，是否符合中央、地方事权支出责任划分原则；</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⑤项目是否与相关部门同类项目或部门内部相关项目重复。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一项不符扣0.6分，扣完为止。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立项程序规范性（3分）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项目申请、设立过程是否符合相关要求，用以反映和考核项目立项的规范情况。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①项目是否按照规定的程序申请设立；</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②审批文件、材料是否符合相关要求；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③事前是否已经过必要的可行性研究、专家论证、风险评估、绩效评估、集体决策。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绩效目标（7分）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绩效目标合理性（4分）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项目所设定的绩效目标是否依据充分，是否符合客观实际，用以反映和考核项目绩效目标与项目实施的相符情况。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①项目是否有绩效目标且目标设置是否合理；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②项目绩效目标与实际工作内容是否具有相关性；</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③绩效目标设置是否完整、可理解；</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④是否与预算确定的项目投资额或资金量相匹配。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绩效目标明确性（3分）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依据绩效目标设定的绩效指标是否清晰、细化、可衡量等，用以反映和考核项目绩效目标的明细化情况。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①是否将项目绩效目标细化分解为具体的绩效指标；</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②是否通过清晰、可衡量的指标值予以体现；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③是否与项目目标任务数或计划数相对应。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资金投入（8分）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预算编制科学性（4分）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项目预算编制是否经过科学论证、有明确标准，资金额度与年度目标是否相适应，用以反映和考核项目预算编制的科学性、合理性情况。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①预算编制是否经过科学论证；</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②预算内容与项目内容是否匹配；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③预算额度测算依据是否充分，是否按照标准编制；</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④预算确定的项目投资额或资金量是</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否与工作任务相匹配。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资金分配合理性（4分）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项目预算资金分配是否有测算依据；与补助单位或地方实际是否相适应。用以反映和考核项目预算资金分配的科学性、合理性情况。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①预算资金分配依据是否充分；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②资金分配额度是否合理，与项目单位或地方实际是否相适应。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过程（32%）</w:t>
            </w: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采购方式和程序合规性（8分）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采购程序规范性（4分）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采购程序和执行是否合法合规。</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①是否有开展内部采购请示；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②是否有进行公开招标程序；</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③是否有进行中标公告程序；</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④是否有在规定时间内签订合同。</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采购意向公开（2分）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采购意向是否有按照法律法规的规定进行公开。</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①采购意向公示期是否不少于30天；</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②采购意向公开内容是否包含项目名称、采购需求概况、预算金额、预计采购时间。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采购公告公示（2分）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采购公告和采购文件是否按相关规定发布，是否免费获取。</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①采购公告和采购文件是否按相关规定发布；</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②采购公告是否免费获取。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绩效管理（12分）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绩效自评合规性（4分）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是否按要求开展绩效自评工作；绩效自评报告是否报送及时，绩效自评是否真实可靠。</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①是否按要求开展绩效自评工作；</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②绩效自评报告是否报送及时；</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③绩效自评报告是否完整，数据是否全面、真实、准确，绩效指标是否细化量化和科学合理；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④绩效自评反映的问题是否具体，意见是否可行。</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预算执行率（5分）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项目预算资金是否按照计划执行，用以反映或考核项目预算执行情况（预算执行率=（实际支出资金/实际到位资金）×100%）。</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①预算执行率＞40%，得5分；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②40%≥预算执行率＞35%，得4分；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③35%≥预算执行率＞30%，得3分；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④30%≥预算执行率＞25%，得2分；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⑤25%≥预算执行率＞20%，得1分；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⑥预算执行率﹤20%，得0分。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资金使用合规性（3分）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项目资金使用是否符合相关的财务管理制度规定，用以反映和考核项目资金的规范运行情况。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①是否符合国家财经法规和财务管理制度以及有关专项资金管理办法的规定；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②资金的拨付是否有完整的审批程序和手续；</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③是否符合项目预算批复或合同规定的用途；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④是否存在截留、挤占、挪用、虚列支出等情况。</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组织实施（12分）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管理制度健全性（2分）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项目实施单位的财务和业务管理制度是否健全，用以反映和考核财务和业务管理制度对项目顺利实施的保障情况。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①是否制定或具有相应的财务和业务管理制度；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②财务和业务管理制度是否合法、合规、完整。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合同规范性（3分）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合同是否符合法律法规的规定。</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①是否双方均进行盖章；</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②是否对付款进度安排进行了约定；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③是否对权利义务做了明确约定。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付款进度的合规性（4分）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付款是否有按照合同的约定进行付款。</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①合同签订后，甲方在二十个工作日内支付合同总金额的30%；</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②在每月28日前向甲方及监理单位报送完成工作量报表和下月实施进度计划表来作为付款进度的依据。</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对项目实施的监督约束（3分）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在项目实施过程中，针对项目实施过程进行必要的监督与约束。</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①是否有定期对维保维护工作进行监督；</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②对供应商的服务形成书面验收记录。</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产出（25%）</w:t>
            </w: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产出数量（13分）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前端广播设备安装数量（3分）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2023年度在全县应急广播建设过程中前端广播设备的安装数量。</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①前端广播设备≥500台，得3分；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②500台&gt;前端广播设备≥400台，得2分；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③400台&gt;前端广播设备≥300台，得1分；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④300台&gt;前端广播设备，得0分。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前端广播设备安装完成率（4分）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2023年度在全县应急广播建设过程中前端广播设备的安装完成率。</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①安装完成率≥55%，得4分；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②55%&gt;安装完成率≥50%，得3分；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③50%&gt;安装完成率≥45%，得2分；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④45%&gt;安装完成率≥40%，得2分。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⑤40%&gt;安装完成率,得0分。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完成村级平台建设的数量（3分）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2023年度在全县应急广播已经完成村级平台建设的数量。</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①完成村级平台建设≥70个，得3分；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②70个&gt;完成村级平台建设≥60个，得2分；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③60个&gt;完成村级平台建设≥50个，得1分；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④50个&gt;完成村级平台建设，得0分。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完成三级专网对接的数量（3分）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2023年度在全县、镇、具有广播电视有线传输网络的三级专网对接数量。</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①三级专网对接≥130个，得3分；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②130个&gt;三级专网对接≥120个，得2分；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③120个&gt;三级专网对接≥110个，得1分；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④110个&gt;三级专网对接，得0分。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产出质量（12分）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应急广播的覆盖情况（3分）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所建设的应急广播是否能够实现对全县的覆盖。</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①是否覆盖至乡镇行政村(居)所在地；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②是否覆盖至学校医院、住宅小区、重点景区；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③是否覆盖至公园、广场、矿山企业、工业园区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应急广播的测试演练情况（3分）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是否有针对已经建设完成的应急广播进行测试演练并进行数据采集。</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①是否有制定演练方案；</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②是否有进行相关的测试与演练；</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镇级应急广播平台的建设情况(3分）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2023年度应急广播建设是否有按照计划或合同的要求完成相应的镇级平台的广播建设。</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①是否有完成龙浔镇的县级平台建设；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②是否有完成浔中镇的县级平台建设；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③是否有完成三班镇的县级平台建设；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县级应急广播平台的建设情况(3分）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2023年度应急广播建设是否有按照计划或合同的要求完成相应的县级平台的广播建设。</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①是否已完成县级平台调度控制子平台；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②是否已完成基础服务子平台建设；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③是否已完成服务器配置；</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效益（22%）</w:t>
            </w:r>
          </w:p>
        </w:tc>
        <w:tc>
          <w:tcPr>
            <w:tcW w:w="872"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社会效益（11分）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公益性教育广播的开展情况（3分）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2023年度使用广播开展公益性教育的情况。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①是否有播放关于党的主题教育；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②是否有播放关于安全知识教育；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③是否有播放关于森林防火教育。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广播预警情况（3分）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2023年度发生突发事件时应急广播是否有相对应的进行预警。</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①发生台风时是否有进行广播预警；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②发生暴雨时是否有进行广播预警；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③发生低温寒流时是否有进行广播预警。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文化传播情况（3分）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2023年度使用广播开展文化教育传播的情况。</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①是否传播本地文化，弘扬传统价值观；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②是否宣传法律政策，进行普法传播；</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③是否宣传国家新闻事实。</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应急广播的受益人员情况（2分）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受到应急广播影响所受益的人群分布，是否达到全覆盖。</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①受益群体包含老人；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②受益群体包含中年；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③受益群体包含青年；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④受益群体包含少年。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经济效益（4分）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应急广播的使用广度（4分）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应急广播在日常使用的范围。</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①是否用于改善公共服务；</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②是否用于灾害预警；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③是否提高了社会治理水平；</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④是否运用在农业生产上。</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可持续性指标（3分）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电子设备的寿命时间（3分）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应急广播体系中的电子设备所能使用的寿命时间。</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①8&gt;寿命时间≥5年，得3分；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②5年&gt;寿命时间≥3年，得2分；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③3年&gt;寿命时间，得1分。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4"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7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满意度（4分）</w:t>
            </w:r>
          </w:p>
        </w:tc>
        <w:tc>
          <w:tcPr>
            <w:tcW w:w="698"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人民群众对应急广播满意度情况（4分）</w:t>
            </w:r>
          </w:p>
        </w:tc>
        <w:tc>
          <w:tcPr>
            <w:tcW w:w="101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人民群众对应急广播的日常使用是否感到满意。</w:t>
            </w:r>
          </w:p>
        </w:tc>
        <w:tc>
          <w:tcPr>
            <w:tcW w:w="1914"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①非常满意，得4分；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②很满意，得3分；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③满意，得2分；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④一般，得1分；</w:t>
            </w:r>
          </w:p>
        </w:tc>
      </w:tr>
    </w:tbl>
    <w:p>
      <w:pPr>
        <w:spacing w:after="0" w:line="408" w:lineRule="auto"/>
        <w:ind w:firstLine="562" w:firstLineChars="200"/>
        <w:outlineLvl w:val="0"/>
        <w:rPr>
          <w:rFonts w:hint="eastAsia" w:ascii="仿宋" w:hAnsi="仿宋" w:eastAsia="仿宋"/>
          <w:b/>
          <w:sz w:val="28"/>
          <w:szCs w:val="21"/>
        </w:rPr>
      </w:pPr>
      <w:bookmarkStart w:id="24" w:name="_Toc177992441"/>
      <w:r>
        <w:rPr>
          <w:rFonts w:hint="eastAsia" w:ascii="仿宋" w:hAnsi="仿宋" w:eastAsia="仿宋"/>
          <w:b/>
          <w:sz w:val="28"/>
          <w:szCs w:val="21"/>
        </w:rPr>
        <w:t>四、综合评价情况及评价结论</w:t>
      </w:r>
      <w:bookmarkEnd w:id="24"/>
    </w:p>
    <w:p>
      <w:pPr>
        <w:spacing w:after="0" w:line="408" w:lineRule="auto"/>
        <w:ind w:firstLine="562" w:firstLineChars="200"/>
        <w:jc w:val="both"/>
        <w:outlineLvl w:val="1"/>
        <w:rPr>
          <w:rFonts w:hint="eastAsia" w:ascii="仿宋" w:hAnsi="仿宋" w:eastAsia="仿宋"/>
          <w:b/>
          <w:sz w:val="28"/>
          <w:szCs w:val="21"/>
        </w:rPr>
      </w:pPr>
      <w:bookmarkStart w:id="25" w:name="_Toc177992442"/>
      <w:r>
        <w:rPr>
          <w:rFonts w:hint="eastAsia" w:ascii="仿宋" w:hAnsi="仿宋" w:eastAsia="仿宋"/>
          <w:b/>
          <w:sz w:val="28"/>
          <w:szCs w:val="21"/>
        </w:rPr>
        <w:t>（一）项目决策投入情况（权重为21%，得分17分）</w:t>
      </w:r>
      <w:bookmarkEnd w:id="25"/>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决策投入指标21分，包括项目立项6分、绩效目标7分和资金投入8分等三个二级指标和六个三级指标，主要体现项目立项、绩效目标设置、预算编制及资金使用情况。</w:t>
      </w:r>
    </w:p>
    <w:p>
      <w:pPr>
        <w:spacing w:after="0" w:line="408" w:lineRule="auto"/>
        <w:ind w:firstLine="560" w:firstLineChars="200"/>
        <w:jc w:val="both"/>
        <w:outlineLvl w:val="2"/>
        <w:rPr>
          <w:rFonts w:hint="eastAsia" w:ascii="仿宋" w:hAnsi="仿宋" w:eastAsia="仿宋"/>
          <w:sz w:val="28"/>
          <w:szCs w:val="21"/>
        </w:rPr>
      </w:pPr>
      <w:bookmarkStart w:id="26" w:name="_Toc177992443"/>
      <w:r>
        <w:rPr>
          <w:rFonts w:hint="eastAsia" w:ascii="仿宋" w:hAnsi="仿宋" w:eastAsia="仿宋"/>
          <w:sz w:val="28"/>
          <w:szCs w:val="21"/>
        </w:rPr>
        <w:t>1.项目立项（分值为6分）</w:t>
      </w:r>
      <w:bookmarkEnd w:id="26"/>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项目立项（6分）主要从立项依据充分性（3分）和立项程序规范性（3分）两个三级指标进行评价。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（1）立项依据充分性（分值为3分）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“立项依据充分性”指标用于评价项目立项依据是否充分。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经评价小组调查，2023年德化县应急广播体系建设专项资金立项符合国家法律法规、国民经济发展规划和相关政策且项目立项，符合《关于开展德化县应急广播体系建设的请示》及</w:t>
      </w:r>
      <w:bookmarkStart w:id="27" w:name="_Hlk174273259"/>
      <w:r>
        <w:rPr>
          <w:rFonts w:hint="eastAsia" w:ascii="仿宋" w:hAnsi="仿宋" w:eastAsia="仿宋"/>
          <w:sz w:val="28"/>
          <w:szCs w:val="21"/>
        </w:rPr>
        <w:t>《关于全县应急广播体系建设推进专题会议纪要》</w:t>
      </w:r>
      <w:bookmarkEnd w:id="27"/>
      <w:r>
        <w:rPr>
          <w:rFonts w:hint="eastAsia" w:ascii="仿宋" w:hAnsi="仿宋" w:eastAsia="仿宋"/>
          <w:sz w:val="28"/>
          <w:szCs w:val="21"/>
        </w:rPr>
        <w:t>，</w:t>
      </w:r>
      <w:bookmarkStart w:id="28" w:name="_Hlk174978100"/>
      <w:bookmarkStart w:id="29" w:name="_Hlk174978151"/>
      <w:r>
        <w:rPr>
          <w:rFonts w:hint="eastAsia" w:ascii="仿宋" w:hAnsi="仿宋" w:eastAsia="仿宋"/>
          <w:sz w:val="28"/>
          <w:szCs w:val="21"/>
        </w:rPr>
        <w:t>德化县应急</w:t>
      </w:r>
      <w:bookmarkEnd w:id="28"/>
      <w:r>
        <w:rPr>
          <w:rFonts w:hint="eastAsia" w:ascii="仿宋" w:hAnsi="仿宋" w:eastAsia="仿宋"/>
          <w:sz w:val="28"/>
          <w:szCs w:val="21"/>
        </w:rPr>
        <w:t>广播体系建设专项资金</w:t>
      </w:r>
      <w:bookmarkEnd w:id="29"/>
      <w:r>
        <w:rPr>
          <w:rFonts w:hint="eastAsia" w:ascii="仿宋" w:hAnsi="仿宋" w:eastAsia="仿宋"/>
          <w:sz w:val="28"/>
          <w:szCs w:val="21"/>
        </w:rPr>
        <w:t>的立项与德化县应急局的职责范围相符。根据评分标准，此项得3分。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（2）立项程序规范性（分值为3分）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“立项程序规范性”指标用于评价项目立项程序是否规范。</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评价小组调研，项目按照规定的程序申请立项，德化县应急局提交的《2023年度德化县应急广播体系建设专项资金绩效目标申报表》等材料符合《关于开展德化县应急广播体系建设的请示》相关要求。根据评分标准，此项得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因此，项目立项合计得6分。</w:t>
      </w:r>
    </w:p>
    <w:p>
      <w:pPr>
        <w:spacing w:after="0" w:line="408" w:lineRule="auto"/>
        <w:ind w:firstLine="560" w:firstLineChars="200"/>
        <w:jc w:val="both"/>
        <w:outlineLvl w:val="2"/>
        <w:rPr>
          <w:rFonts w:hint="eastAsia" w:ascii="仿宋" w:hAnsi="仿宋" w:eastAsia="仿宋"/>
          <w:sz w:val="28"/>
          <w:szCs w:val="21"/>
        </w:rPr>
      </w:pPr>
      <w:bookmarkStart w:id="30" w:name="_Toc177992444"/>
      <w:r>
        <w:rPr>
          <w:rFonts w:hint="eastAsia" w:ascii="仿宋" w:hAnsi="仿宋" w:eastAsia="仿宋"/>
          <w:sz w:val="28"/>
          <w:szCs w:val="21"/>
        </w:rPr>
        <w:t>2.绩效目标（分值为7分）</w:t>
      </w:r>
      <w:bookmarkEnd w:id="30"/>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绩效目标（7分）主要从绩效目标合理性（4分）和绩效目标明确性（3分）两个三级指标进行评价。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（1）绩效目标合理性（分值为4分）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“绩效目标合理性”指标用于评价项目绩效目标的设置情况。评价主要所设定的绩效目标是否依据充分，是否符合客观实际，用以反映和考核项目绩效目标与项目实施的相符情况。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绩效目标设置存在不合理之处。例如在“绩效目标表”当中的“资金投入”指标全年目标值为996万，而半年目标值为“完成各项工作”，半年目标值设置不合理，应当也为具体金额指标。“资金投入”指标属于定量指标，而非定性指标，在指标性质一栏填写错误。同时在指标方向一栏也未填写具体各个指标的方向。在“专项资金绩效自评表”当中“资金投入”指标实际完成金额为447.1万元，没有达到目标值，但自评分数也评满分10分也存在不合理。根据评分标准，此项得3分，扣1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（2）绩效目标明确性（分值为3分）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“绩效目标明确性”指标依据绩效目标设定的绩效指标是否清晰、细化、可衡量等，用以反映和考核项目绩效目标的明细化情况。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绩效目标设置存在不明确之处。在专项资金绩效自评表中，绩效目标表中，部分指标的目标值存在不明确之处。例如在绩效目标表的半年度目标中，各项指标的半年度目标均为“按时序完成各项工作”半年度指标设置不明确。同时在绩效自评表当中的“建设应急广播体系，快速发布各类预警信息和应急对策”指标所设置的目标值为“建设应急广播体系，快速发布各类预警信息和应急对策经济指标”该目标值设置不明确。根据评分标准，此项得2分，扣1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因此，绩效目标合计得5分。</w:t>
      </w:r>
    </w:p>
    <w:p>
      <w:pPr>
        <w:spacing w:after="0" w:line="408" w:lineRule="auto"/>
        <w:ind w:firstLine="560" w:firstLineChars="200"/>
        <w:jc w:val="both"/>
        <w:outlineLvl w:val="2"/>
        <w:rPr>
          <w:rFonts w:hint="eastAsia" w:ascii="仿宋" w:hAnsi="仿宋" w:eastAsia="仿宋"/>
          <w:sz w:val="28"/>
          <w:szCs w:val="21"/>
        </w:rPr>
      </w:pPr>
      <w:bookmarkStart w:id="31" w:name="_Toc177992445"/>
      <w:r>
        <w:rPr>
          <w:rFonts w:hint="eastAsia" w:ascii="仿宋" w:hAnsi="仿宋" w:eastAsia="仿宋"/>
          <w:sz w:val="28"/>
          <w:szCs w:val="21"/>
        </w:rPr>
        <w:t>3.资金投入（分值为8分）</w:t>
      </w:r>
      <w:bookmarkEnd w:id="31"/>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资金投入（8分）主要从预算编制科学性（4分）和资金分配合理性（4分）两个三级指标进行评价。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w:t>
      </w:r>
      <w:bookmarkStart w:id="32" w:name="_Hlk174274167"/>
      <w:r>
        <w:rPr>
          <w:rFonts w:hint="eastAsia" w:ascii="仿宋" w:hAnsi="仿宋" w:eastAsia="仿宋"/>
          <w:sz w:val="28"/>
          <w:szCs w:val="21"/>
        </w:rPr>
        <w:t>预算编制科学性</w:t>
      </w:r>
      <w:bookmarkEnd w:id="32"/>
      <w:r>
        <w:rPr>
          <w:rFonts w:hint="eastAsia" w:ascii="仿宋" w:hAnsi="仿宋" w:eastAsia="仿宋"/>
          <w:sz w:val="28"/>
          <w:szCs w:val="21"/>
        </w:rPr>
        <w:t>（4分）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“预算编制科学性”评价项目预算编制是否经过科学论证、有明确标准，资金额度与年度目标是否相适应，用以反映和考核项目预算编制的科学性、合理性情况。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2023年度德化县应急局在应急广播体系建设专项资金项目预算的过程中，存在部分不科学之处。该项目2023年度预算金额为996万元，该金额996万元是“应急广播体系建设项目”在招投标时所确定的一个建设总体金额，即2023年度与2024年度两年所需的资金量。在</w:t>
      </w:r>
      <w:bookmarkStart w:id="33" w:name="_Hlk175062255"/>
      <w:r>
        <w:rPr>
          <w:rFonts w:hint="eastAsia" w:ascii="仿宋" w:hAnsi="仿宋" w:eastAsia="仿宋"/>
          <w:sz w:val="28"/>
          <w:szCs w:val="21"/>
        </w:rPr>
        <w:t>《关于开展德化县应急广播体系建设的请示》文件中预估2023年度所需的资金大约为585万元。故在做预算之初对年度的预算规划不合理，对预算的依据准备不充分，对预算确定的项目及项目所需资金量估计不足</w:t>
      </w:r>
      <w:bookmarkEnd w:id="33"/>
      <w:r>
        <w:rPr>
          <w:rFonts w:hint="eastAsia" w:ascii="仿宋" w:hAnsi="仿宋" w:eastAsia="仿宋"/>
          <w:sz w:val="28"/>
          <w:szCs w:val="21"/>
        </w:rPr>
        <w:t>。根据评分标准，此项得2分，扣2分。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（2）资金分配合理性（4分）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“资金分配合理性”指标用于评价项目预算资金分配是否有测算依据；与补助单位或地方实际是否相适应。用以反映和考核项目预算资金分配的科学性、合理性情况。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经过评价小组审查，2023年度德化县应急局在进行专项资金的分配时资金分配合理，符合项目的实际情况。根据评分标准，此项得4分。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因此，资金投入合计得6分。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综上所述，项目决策共计21分，得17分。</w:t>
      </w:r>
    </w:p>
    <w:p>
      <w:pPr>
        <w:spacing w:after="0" w:line="408" w:lineRule="auto"/>
        <w:ind w:firstLine="562" w:firstLineChars="200"/>
        <w:jc w:val="both"/>
        <w:outlineLvl w:val="1"/>
        <w:rPr>
          <w:rFonts w:hint="eastAsia" w:ascii="仿宋" w:hAnsi="仿宋" w:eastAsia="仿宋"/>
          <w:b/>
          <w:sz w:val="28"/>
          <w:szCs w:val="21"/>
        </w:rPr>
      </w:pPr>
      <w:bookmarkStart w:id="34" w:name="_Toc177992446"/>
      <w:r>
        <w:rPr>
          <w:rFonts w:hint="eastAsia" w:ascii="仿宋" w:hAnsi="仿宋" w:eastAsia="仿宋"/>
          <w:b/>
          <w:sz w:val="28"/>
          <w:szCs w:val="21"/>
        </w:rPr>
        <w:t>（二）项目过程情况（权重为32%，得分30分）</w:t>
      </w:r>
      <w:bookmarkEnd w:id="34"/>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过程指标32分，包括采购方式和程序合规性8分、绩效管理12分、组织实施12分，等三个二级指标和十个三级指标，主要反映实现绩效目标的采购执行情况、监督情况、采购过程情况。</w:t>
      </w:r>
    </w:p>
    <w:p>
      <w:pPr>
        <w:spacing w:after="0" w:line="408" w:lineRule="auto"/>
        <w:ind w:firstLine="560" w:firstLineChars="200"/>
        <w:jc w:val="both"/>
        <w:outlineLvl w:val="2"/>
        <w:rPr>
          <w:rFonts w:hint="eastAsia" w:ascii="仿宋" w:hAnsi="仿宋" w:eastAsia="仿宋"/>
          <w:sz w:val="28"/>
          <w:szCs w:val="21"/>
        </w:rPr>
      </w:pPr>
      <w:bookmarkStart w:id="35" w:name="_Toc177992447"/>
      <w:r>
        <w:rPr>
          <w:rFonts w:hint="eastAsia" w:ascii="仿宋" w:hAnsi="仿宋" w:eastAsia="仿宋"/>
          <w:sz w:val="28"/>
          <w:szCs w:val="21"/>
        </w:rPr>
        <w:t>1.采购方式和程序合规性（分值为8分）</w:t>
      </w:r>
      <w:bookmarkEnd w:id="35"/>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采购方式和程序合规性（8分）主要从采购程序规范性（4分）、采购意向公开（2分）、采购公告公示（2分）三个三级指标进行评价。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（1）采购程序规范性（4分）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采购程序规范性”指标用于评价项目采购过程中所执行的程序是否合法合规、是否符合相关《中华人民共和国政府采购法实施条例》和《中华人民共和国招标投标法实施条例》、《政府采购需求管理办法》的规定。</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实施应急广播体系建设项目时，根据《政府采购需求管理办法》及《中华人民共和国招标投标法实施条例》的要求开展相关的招投标程序工作；采购程序符合相关招采文件的规范。根据评分标准，此项得4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（2）采购意向公开（2分）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“采购意向公开”指标用于评价项目采购意向是否有按照法律法规的规定进行公开。</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w:t>
      </w:r>
      <w:bookmarkStart w:id="36" w:name="_Hlk174982229"/>
      <w:r>
        <w:rPr>
          <w:rFonts w:hint="eastAsia" w:ascii="仿宋" w:hAnsi="仿宋" w:eastAsia="仿宋"/>
          <w:sz w:val="28"/>
          <w:szCs w:val="21"/>
        </w:rPr>
        <w:t>德化县应急局</w:t>
      </w:r>
      <w:bookmarkEnd w:id="36"/>
      <w:r>
        <w:rPr>
          <w:rFonts w:hint="eastAsia" w:ascii="仿宋" w:hAnsi="仿宋" w:eastAsia="仿宋"/>
          <w:sz w:val="28"/>
          <w:szCs w:val="21"/>
        </w:rPr>
        <w:t>在应急广播体系建设项目实施中有按照招采文件的要求进行采购意向公开。根据评分标准，此项得2分。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（3）采购公告公示（2分）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“采购公告公示”指标用于评价项目的采购公告和采购文件是否按相关规定发布，是否免费获取。</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项目实施中所发布的采购公告有在政府采购网上公开，且获取采购文件资料免费，符合《中华人民共和国招标投标法实施条例》的要求。根据评分标准，此项得2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因此，采购方式和程序合规性合计得8分。</w:t>
      </w:r>
    </w:p>
    <w:p>
      <w:pPr>
        <w:spacing w:after="0" w:line="408" w:lineRule="auto"/>
        <w:ind w:firstLine="560" w:firstLineChars="200"/>
        <w:jc w:val="both"/>
        <w:outlineLvl w:val="2"/>
        <w:rPr>
          <w:rFonts w:hint="eastAsia" w:ascii="仿宋" w:hAnsi="仿宋" w:eastAsia="仿宋"/>
          <w:sz w:val="28"/>
          <w:szCs w:val="21"/>
        </w:rPr>
      </w:pPr>
      <w:bookmarkStart w:id="37" w:name="_Toc177992448"/>
      <w:r>
        <w:rPr>
          <w:rFonts w:hint="eastAsia" w:ascii="仿宋" w:hAnsi="仿宋" w:eastAsia="仿宋"/>
          <w:sz w:val="28"/>
          <w:szCs w:val="21"/>
        </w:rPr>
        <w:t>2.绩效管理（12分）</w:t>
      </w:r>
      <w:bookmarkEnd w:id="37"/>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绩效管理（12分）主要从绩效自评合规性（4分）、预算执行率（5分）、资金使用合规性（3分）三个三级指标进行评价。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（1）绩效自评合规性（4分）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“绩效自评合规性”指标用于评价项目的绩效自评表是否按照规定及时报送，自评表的绩效目标设置是否合规合理。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专项资金项目中的绩效自评符合绩效自评的规定。德化县应急局有按要求开展绩效自评工作；有按照相关要求及时报送绩效自评报告，绩效自评真实可靠。根据评分标准，此项得4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（2）预算执行率（5分）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“预算执行率”指标用于评价项目实施过程中项目预算资金是否按照计划执行，用以反映或考核项目预算执行情况（预算执行率=实际支付资金金额/项目预算资金总额*100%）。</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经过评价小组审查，德化县应急局在应急广播体系建设项目中2023年度预算资金总额为996万元，2023年预算执行金额为447.1万元。2023年预算执行率为44.89%。根据评分标准，此项得5分。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（3）资金使用合规性（3分）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“资金使用合规性”指标用于评价项目资金使用是否符合相关的财务管理制度规定，用以反映和考核项目资金的规范运行情况。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项目中资金使用符合国家财经法规和财务管理制度以及有关专项资金管理办法的规定，在资金使用过程中不存在截留、挤占、挪用、虚列支出等情况。根据评分标准，此项得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因此，绩效管理合计得12分。</w:t>
      </w:r>
    </w:p>
    <w:p>
      <w:pPr>
        <w:spacing w:after="0" w:line="408" w:lineRule="auto"/>
        <w:ind w:firstLine="560" w:firstLineChars="200"/>
        <w:jc w:val="both"/>
        <w:outlineLvl w:val="2"/>
        <w:rPr>
          <w:rFonts w:hint="eastAsia" w:ascii="仿宋" w:hAnsi="仿宋" w:eastAsia="仿宋"/>
          <w:sz w:val="28"/>
          <w:szCs w:val="21"/>
        </w:rPr>
      </w:pPr>
      <w:bookmarkStart w:id="38" w:name="_Toc177992449"/>
      <w:r>
        <w:rPr>
          <w:rFonts w:hint="eastAsia" w:ascii="仿宋" w:hAnsi="仿宋" w:eastAsia="仿宋"/>
          <w:sz w:val="28"/>
          <w:szCs w:val="21"/>
        </w:rPr>
        <w:t>3.组织实施（12分）</w:t>
      </w:r>
      <w:bookmarkEnd w:id="38"/>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组织实施（12分）主要从管理制度健全性（2分）、合同规范性（3分）、付款进度的合规性（4分）、对项目实施的监督约束（3分）四个三级指标进行评价。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（1）管理制度健全性（2分）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“管理制度健全性”指标用于评价项目实施单位的财务和业务管理制度是否健全，用以反映和考核财务和业务管理制度对项目顺利实施的保障情况。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经过评价小组审查，德化县应急局在应急广播体系建设专项资金项目有制定相应的财务和业务管理制度且财务和业务管理制度合法、合规、完整。根据评分标准，此项得2分。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（2）合同规范性（3分）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“合同规范性”指标用于评价项目采购合同的合同条款、合同签字、合同盖章、权利义务的约定等各类合同要素是否符合《中华人民共和国民法典》《政府采购需求管理办法》对相关合同的规定。</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与福建广电网络集团股份有限公司德化分公司签订的德化县应急广播体系建设项目合同中双方均进行并盖章，明确了双方的权利和义务，同时详细的约定了付款进度及付款条件，也详细约定了履约验收的程序及验收方案。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（3）付款进度的合规性（4分）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“付款进度的合规性”指标用于评价项目实施过程中支付采购款是否有按照采购合同约定的付款进度进行付款。</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经过评价小组审查，德化县应急局在应急广播体系建设项目中的付款进度存在不合规之处。根据签订的采购合同约定付款进度为以下几个步骤：</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第一、合同签订后，甲方在二十个工作日内支付合同总金额的30%。</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第二、乙方按当月实际进度，在每月28日前向甲方及监理单位报送完成工作量报表和下月实施进度计划表，监理人在接收到报告后审核签证，甲方在收到签证后进行审批，并在审批后按照审核审批合同内的合格工作量的85%付进度款(预付款分期扣回);项目竣工验收符合合同约定标准，内业资料归档完毕，报备手续齐全，支付至合同价款的90%。</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第三、乙方编制结算并完成审核后，达到付款条件起20日，支付合同总金额的100.00%。</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该合同签订日期为2023年6月21日。德化县应急局2023年度针对该合同一共仅支付2次款，第一次于2023年8月18日支付290.07万元，支付进度30%；第二次于2023年12月29日支付145.03万元，支付进度达到45%。在支付第一笔次合同进度款时，实际支付时间超过了合同约定的合同签订后的二十个工作日。故并没有严格按照合同约定的支付方式支付。根据评分标准，此项得2分，扣2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（4）对项目实施的监督约束（3分）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“对项目实施的监督约束”指标用于评价在项目实施过程中，对项目实施过程进行必要的监督与约束。</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德化县应急局在应急广播体系建设的期间有对供应商的服务进行相应的监督，应急局通过走访各个乡镇，了解广播体系具体的建设情况，与各个乡镇驻点的工作人员进行访谈沟通交流，来了解项目推进的进度。根据评分标准，此项得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因此，组织实施合计得10分。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综上所述，项目过程共计32分，得30分。</w:t>
      </w:r>
    </w:p>
    <w:p>
      <w:pPr>
        <w:spacing w:after="0" w:line="408" w:lineRule="auto"/>
        <w:ind w:firstLine="562" w:firstLineChars="200"/>
        <w:jc w:val="both"/>
        <w:outlineLvl w:val="1"/>
        <w:rPr>
          <w:rFonts w:hint="eastAsia" w:ascii="仿宋" w:hAnsi="仿宋" w:eastAsia="仿宋"/>
          <w:b/>
          <w:sz w:val="28"/>
          <w:szCs w:val="21"/>
        </w:rPr>
      </w:pPr>
      <w:bookmarkStart w:id="39" w:name="_Toc177992450"/>
      <w:r>
        <w:rPr>
          <w:rFonts w:hint="eastAsia" w:ascii="仿宋" w:hAnsi="仿宋" w:eastAsia="仿宋"/>
          <w:b/>
          <w:sz w:val="28"/>
          <w:szCs w:val="21"/>
        </w:rPr>
        <w:t>（三）项目产出情况（权重为25%，得分24分）</w:t>
      </w:r>
      <w:bookmarkEnd w:id="39"/>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产出指标25分，包括产出数量13分、产出质量12分，</w:t>
      </w:r>
      <w:r>
        <w:rPr>
          <w:rFonts w:hint="eastAsia" w:ascii="仿宋" w:hAnsi="仿宋" w:eastAsia="仿宋"/>
          <w:sz w:val="28"/>
          <w:szCs w:val="21"/>
          <w:lang w:eastAsia="zh-CN"/>
        </w:rPr>
        <w:t>两</w:t>
      </w:r>
      <w:r>
        <w:rPr>
          <w:rFonts w:hint="eastAsia" w:ascii="仿宋" w:hAnsi="仿宋" w:eastAsia="仿宋"/>
          <w:sz w:val="28"/>
          <w:szCs w:val="21"/>
        </w:rPr>
        <w:t>个二级指标和八个三级指标，主要反映实现绩效目标的产出数量情况和产出质量情况。</w:t>
      </w:r>
    </w:p>
    <w:p>
      <w:pPr>
        <w:spacing w:after="0" w:line="408" w:lineRule="auto"/>
        <w:ind w:firstLine="560" w:firstLineChars="200"/>
        <w:jc w:val="both"/>
        <w:outlineLvl w:val="2"/>
        <w:rPr>
          <w:rFonts w:hint="eastAsia" w:ascii="仿宋" w:hAnsi="仿宋" w:eastAsia="仿宋"/>
          <w:sz w:val="28"/>
          <w:szCs w:val="21"/>
        </w:rPr>
      </w:pPr>
      <w:bookmarkStart w:id="40" w:name="_Toc177992451"/>
      <w:r>
        <w:rPr>
          <w:rFonts w:hint="eastAsia" w:ascii="仿宋" w:hAnsi="仿宋" w:eastAsia="仿宋"/>
          <w:sz w:val="28"/>
          <w:szCs w:val="21"/>
        </w:rPr>
        <w:t>1.产出数量（分值为13分）</w:t>
      </w:r>
      <w:bookmarkEnd w:id="40"/>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产出数量（13分）主要从前端广播设备安装数量（3分）、前端广播设备安装完成率（4分）、完成村级平台建设的数量（3分）、完成三级专网对接的数量（3分）四个三级指标进行评价。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（1）前端广播设备安装数量（3分）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“前端广播设备安装数量”指标用于评价2023年度在全县应急广播建设过程中前端广播设备的安装数量。</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经过评价小组审查，根据德化县应急局所提供的“绩效自评表”与“2023年度工作总结”所示，2023年度德化县应急局前端广播设备安装数量为562个。根据评分标准，此项得3分。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（2）前端广播设备安装完成率（4分）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“前端广播设备安装完成率”指标用于评价2023年度在全县应急广播建设过程中前端广播设备的安装完成率。</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绩效自评表”所示，应急广播体系建设设计计划建造安装1004个前端广播设备，2023年度完成安装562个前端广播设备。安装完成率达到55.98%。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（3）完成村级平台建设的数量（3分）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“完成村级平台建设的数量”指标用于评价2023年度在全县应急广播已经完成村级平台建设的数量。</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经过评价小组审查，根据德化县应急局所提供的“绩效自评表”所示，2023年度德化县应急局共完成了龙浔镇、浔中镇、三班镇平台建设，完成79个村级平台建设。根据评分标准，此项得3分。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（4）完成三级专网对接的数量（3分）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“完成三级专网对接的数量”指标用于评价2023年度在全县、镇、具有广播电视有线传输网络的三级专网对接数量。</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经过评价小组审查，根据德化县应急局所提供的“绩效自评表”所示，2023年度德化县应急局共完成了全县、镇、具有广播电视有线传输网络139个村居的三级专网对接。根据评分标准，此项得3分。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因此，产出数量合计得13分</w:t>
      </w:r>
    </w:p>
    <w:p>
      <w:pPr>
        <w:spacing w:after="0" w:line="408" w:lineRule="auto"/>
        <w:ind w:firstLine="560" w:firstLineChars="200"/>
        <w:jc w:val="both"/>
        <w:outlineLvl w:val="2"/>
        <w:rPr>
          <w:rFonts w:hint="eastAsia" w:ascii="仿宋" w:hAnsi="仿宋" w:eastAsia="仿宋"/>
          <w:sz w:val="28"/>
          <w:szCs w:val="21"/>
        </w:rPr>
      </w:pPr>
      <w:bookmarkStart w:id="41" w:name="_Toc177992452"/>
      <w:r>
        <w:rPr>
          <w:rFonts w:hint="eastAsia" w:ascii="仿宋" w:hAnsi="仿宋" w:eastAsia="仿宋"/>
          <w:sz w:val="28"/>
          <w:szCs w:val="21"/>
        </w:rPr>
        <w:t>2.产出质量（分值为12分）</w:t>
      </w:r>
      <w:bookmarkEnd w:id="41"/>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产出质量（12分）主要从应急广播的覆盖情况（3分）、应急广播的测试演练情况（3分）、镇级应急广播平台的建设情况(3分）、县级应急广播平台的建设情况(3分）四个三级指标进行评价。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（1）应急广播的覆盖情况（3分）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“应急广播的覆盖情况”指标用于评价2023年度在应急广播体系建设中所建设的应急广播是否能够实现对全县的覆盖。</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走访德化县应急局询问相关责任人，在应急广播体系建设中所建设的应急广播能够基本实现应急广播100%覆盖至乡镇行政村(居)所在地，以及覆盖到人口较为密集的区域，如学校医院、住宅小区、重点景区、公园、广场、矿山企业、工业园区。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（2）应急广播的测试演练情况（3分）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“应急广播的测试演练情况”指标用于评价德化县应急局是否有针对已经建设完成的应急广播进行测试演练并进行数据采集。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走访德化县应急局询问相关责任人，德化县应急局有对已经搭建好的应急广播进行相应的测试，同时也有对突发情况预警进行演练，在测试与演练的过程中有对测试演练的结果进行记录采集。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（3）镇级应急广播平台的建设情况(3分）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“镇级应急广播平台的建设情况”指标用于评价2023年度应急广播建设是否有按照计划或合同的要求完成相应的镇级平台的广播建设。</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经过评价小组审查，根据德化县应急局提供的“绩效自评表”，在2023年度德化县应急局一共完成龙浔镇、浔中镇、三班镇平台建设，所完成的建设乡镇符合合同的约定。根据评分标准，此项得3分。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（4）县级应急广播平台的建设情况(3分）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“县级应急广播平台的建设情况”指标用于评价2023年度应急广播建设是否有按照计划或合同的要求完成相应的县级平台的广播建设。</w:t>
      </w:r>
    </w:p>
    <w:p>
      <w:pPr>
        <w:spacing w:after="0" w:line="408" w:lineRule="auto"/>
        <w:ind w:firstLine="560" w:firstLineChars="200"/>
        <w:jc w:val="both"/>
        <w:rPr>
          <w:rFonts w:hint="eastAsia" w:ascii="仿宋" w:hAnsi="仿宋" w:eastAsia="仿宋"/>
          <w:sz w:val="28"/>
          <w:szCs w:val="21"/>
        </w:rPr>
      </w:pPr>
      <w:bookmarkStart w:id="42" w:name="_Hlk174278887"/>
      <w:r>
        <w:rPr>
          <w:rFonts w:hint="eastAsia" w:ascii="仿宋" w:hAnsi="仿宋" w:eastAsia="仿宋"/>
          <w:sz w:val="28"/>
          <w:szCs w:val="21"/>
        </w:rPr>
        <w:t>经过评价小组审查，</w:t>
      </w:r>
      <w:bookmarkEnd w:id="42"/>
      <w:r>
        <w:rPr>
          <w:rFonts w:hint="eastAsia" w:ascii="仿宋" w:hAnsi="仿宋" w:eastAsia="仿宋"/>
          <w:sz w:val="28"/>
          <w:szCs w:val="21"/>
        </w:rPr>
        <w:t>根据德化县应急局所提供的“绩效自评表”所示，2023年度已经完成县级平台调度控制子平台、基础服务子平台建设，服务器目前还在配置当中。根据评分标准，此项得2分，扣1分。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因此，产出质量合计得11分。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综上所述，项目产出共计25分，得24分。</w:t>
      </w:r>
    </w:p>
    <w:p>
      <w:pPr>
        <w:spacing w:after="0" w:line="408" w:lineRule="auto"/>
        <w:ind w:firstLine="562" w:firstLineChars="200"/>
        <w:jc w:val="both"/>
        <w:outlineLvl w:val="1"/>
        <w:rPr>
          <w:rFonts w:hint="eastAsia" w:ascii="仿宋" w:hAnsi="仿宋" w:eastAsia="仿宋"/>
          <w:b/>
          <w:sz w:val="28"/>
          <w:szCs w:val="21"/>
        </w:rPr>
      </w:pPr>
      <w:bookmarkStart w:id="43" w:name="_Toc177992453"/>
      <w:r>
        <w:rPr>
          <w:rFonts w:hint="eastAsia" w:ascii="仿宋" w:hAnsi="仿宋" w:eastAsia="仿宋"/>
          <w:b/>
          <w:sz w:val="28"/>
          <w:szCs w:val="21"/>
        </w:rPr>
        <w:t>（四）项目效益情况（权重为22%，得分22分）</w:t>
      </w:r>
      <w:bookmarkEnd w:id="43"/>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效益指标22分，包括社会效益（11分）、经济效益（4分）、可持续性指标（3分）、满意度（4分）等四个二级指标和七个三级指标，主要反映实现绩效目标的社会效益，经济效益与病患对项目实施结果的满意度情况。</w:t>
      </w:r>
    </w:p>
    <w:p>
      <w:pPr>
        <w:spacing w:after="0" w:line="408" w:lineRule="auto"/>
        <w:ind w:firstLine="560" w:firstLineChars="200"/>
        <w:jc w:val="both"/>
        <w:outlineLvl w:val="2"/>
        <w:rPr>
          <w:rFonts w:hint="eastAsia" w:ascii="仿宋" w:hAnsi="仿宋" w:eastAsia="仿宋"/>
          <w:sz w:val="28"/>
          <w:szCs w:val="21"/>
        </w:rPr>
      </w:pPr>
      <w:bookmarkStart w:id="44" w:name="_Toc177992454"/>
      <w:r>
        <w:rPr>
          <w:rFonts w:hint="eastAsia" w:ascii="仿宋" w:hAnsi="仿宋" w:eastAsia="仿宋"/>
          <w:sz w:val="28"/>
          <w:szCs w:val="21"/>
        </w:rPr>
        <w:t>1.社会效益（11分）</w:t>
      </w:r>
      <w:bookmarkEnd w:id="44"/>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社会效益（11分）主要从公益性教育广播的开展情况（3分）、广播预警情况（3分）、文化传播情况（3分）、应急广播的受益人员情况（2分）四个三级指标进行评价。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（1）公益性教育广播的开展情况（3分）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“公益性教育广播的开展情况”指标用于评价2023年度使用广播开展公益性教育的情况。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德化县应急局询问相关责任人，在2023年度已在全县两会、元旦、春节等期间多次播放党的主题教育、森林防火宣传、台风暴雨、低温雨雪冰冻天气、节日烟花爆竹安全燃放要求等内容，发挥了重要宣传和预警作用，使人民群众受到了实惠，充分发挥项目效益，为乡村振兴、村民生活和文化繁荣做出重大贡献。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（2）广播预警情况（3分）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“广播预警情况”指标用于评价2023年度发生突发事件时应急广播是否有相对应的进行预警。</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经过评价小组审查，根据德化县应急局所提供的2023年度工作总结所示，在2023年度内德化县应急局在台风暴雨天气多次使用应急广播设备进行灾害预</w:t>
      </w:r>
      <w:r>
        <w:rPr>
          <w:rFonts w:hint="eastAsia" w:ascii="仿宋" w:hAnsi="仿宋" w:eastAsia="仿宋"/>
          <w:sz w:val="28"/>
          <w:szCs w:val="21"/>
          <w:lang w:eastAsia="zh-CN"/>
        </w:rPr>
        <w:t>警</w:t>
      </w:r>
      <w:r>
        <w:rPr>
          <w:rFonts w:hint="eastAsia" w:ascii="仿宋" w:hAnsi="仿宋" w:eastAsia="仿宋"/>
          <w:sz w:val="28"/>
          <w:szCs w:val="21"/>
        </w:rPr>
        <w:t>。根据评分标准，此项得3分。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（3）文化传播情况（3分）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“文化传播情况”指标用于评价2023年度德化县应急局使用广播开展文化教育传播的情况。</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根据德化县应急局所提供的2023年度工作总结所示，在2023年期间德化县应急局通过应急广播宣传本地文化，弘扬传统价值观；宣传法律政策，进行普法传播，对当地的文化宣传起到促进作用。根据评分标准，此项得3分。</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（4）应急广播的受益人员情况（2分）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“应急广播的受益人员情况”指标用于评价2023年度受应急广播影响所受益的人群分布，是否达到全覆盖。</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经过评价小组审查，通过德化县应急局询问相关责任人，应急广播目前已经实现了对德化县的100%全覆盖，所受益的人群包含青少年，青年，中年及老年人。根据评分标准，此项得3分。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因此，社会效益合计得11分。</w:t>
      </w:r>
    </w:p>
    <w:p>
      <w:pPr>
        <w:spacing w:after="0" w:line="408" w:lineRule="auto"/>
        <w:ind w:firstLine="560" w:firstLineChars="200"/>
        <w:jc w:val="both"/>
        <w:outlineLvl w:val="2"/>
        <w:rPr>
          <w:rFonts w:hint="eastAsia" w:ascii="仿宋" w:hAnsi="仿宋" w:eastAsia="仿宋"/>
          <w:sz w:val="28"/>
          <w:szCs w:val="21"/>
        </w:rPr>
      </w:pPr>
      <w:bookmarkStart w:id="45" w:name="_Toc177992455"/>
      <w:r>
        <w:rPr>
          <w:rFonts w:hint="eastAsia" w:ascii="仿宋" w:hAnsi="仿宋" w:eastAsia="仿宋"/>
          <w:sz w:val="28"/>
          <w:szCs w:val="21"/>
        </w:rPr>
        <w:t>2.经济效益（4分）</w:t>
      </w:r>
      <w:bookmarkEnd w:id="45"/>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经济效益（4分）主要从应急广播的使用广度（4分）一个三级指标进行评价。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（1）应急广播的使用广度（4分）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“应急广播的使用广度”指标用于评价2023年度应急广播在日常使用的范围。</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德化县应急局询问相关责任人，2023年度应急广播主要用于在灾害和突发事件发生时，及时发布警报和指导信息；通过宣传和教育，增强公众的安全意识和应对能力；政策宣传、社会动员等工作的开展；为农村地区提供了信息获取的便利，促进农村发展。根据评分标准，此项得4分。</w:t>
      </w:r>
    </w:p>
    <w:p>
      <w:pPr>
        <w:spacing w:after="0" w:line="408" w:lineRule="auto"/>
        <w:ind w:firstLine="560" w:firstLineChars="200"/>
        <w:jc w:val="both"/>
        <w:outlineLvl w:val="2"/>
        <w:rPr>
          <w:rFonts w:hint="eastAsia" w:ascii="仿宋" w:hAnsi="仿宋" w:eastAsia="仿宋"/>
          <w:sz w:val="28"/>
          <w:szCs w:val="21"/>
        </w:rPr>
      </w:pPr>
      <w:bookmarkStart w:id="46" w:name="_Toc177992456"/>
      <w:r>
        <w:rPr>
          <w:rFonts w:hint="eastAsia" w:ascii="仿宋" w:hAnsi="仿宋" w:eastAsia="仿宋"/>
          <w:sz w:val="28"/>
          <w:szCs w:val="21"/>
        </w:rPr>
        <w:t>3.可持续性指标（3分）</w:t>
      </w:r>
      <w:bookmarkEnd w:id="46"/>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可持续性指标（3分）主要从电子设备的寿命时间（3分）一个三级指标进行评价。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w:t>
      </w:r>
      <w:bookmarkStart w:id="47" w:name="_Hlk175002689"/>
      <w:r>
        <w:rPr>
          <w:rFonts w:hint="eastAsia" w:ascii="仿宋" w:hAnsi="仿宋" w:eastAsia="仿宋"/>
          <w:sz w:val="28"/>
          <w:szCs w:val="21"/>
        </w:rPr>
        <w:t>电子设备的寿命时间</w:t>
      </w:r>
      <w:bookmarkEnd w:id="47"/>
      <w:r>
        <w:rPr>
          <w:rFonts w:hint="eastAsia" w:ascii="仿宋" w:hAnsi="仿宋" w:eastAsia="仿宋"/>
          <w:sz w:val="28"/>
          <w:szCs w:val="21"/>
        </w:rPr>
        <w:t>（3分）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“电子设备的寿命时间”指标用于评价应急广播体系中的电子设备所能使用的寿命时间。</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经过评价小组审查，通过德化县应急局询问相关责任人，应急广播设备具体可以分为电子设备和软件。软件可以长期使用，电子设备一般情况下的更新周期为5-8年。根据评分标准，此项得3分。</w:t>
      </w:r>
    </w:p>
    <w:p>
      <w:pPr>
        <w:spacing w:after="0" w:line="408" w:lineRule="auto"/>
        <w:ind w:firstLine="560" w:firstLineChars="200"/>
        <w:jc w:val="both"/>
        <w:outlineLvl w:val="2"/>
        <w:rPr>
          <w:rFonts w:hint="eastAsia" w:ascii="仿宋" w:hAnsi="仿宋" w:eastAsia="仿宋"/>
          <w:sz w:val="28"/>
          <w:szCs w:val="21"/>
        </w:rPr>
      </w:pPr>
      <w:bookmarkStart w:id="48" w:name="_Toc177992457"/>
      <w:r>
        <w:rPr>
          <w:rFonts w:hint="eastAsia" w:ascii="仿宋" w:hAnsi="仿宋" w:eastAsia="仿宋"/>
          <w:sz w:val="28"/>
          <w:szCs w:val="21"/>
        </w:rPr>
        <w:t>4.满意度指标（4分）</w:t>
      </w:r>
      <w:bookmarkEnd w:id="48"/>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满意度指标（4分）主要从病患对人民群众对应急广播满意度情况（4分）一个三级指标进行评价。</w:t>
      </w:r>
    </w:p>
    <w:p>
      <w:pPr>
        <w:spacing w:after="0" w:line="408" w:lineRule="auto"/>
        <w:ind w:firstLine="560" w:firstLineChars="200"/>
        <w:jc w:val="both"/>
        <w:outlineLvl w:val="3"/>
        <w:rPr>
          <w:rFonts w:hint="eastAsia" w:ascii="仿宋" w:hAnsi="仿宋" w:eastAsia="仿宋"/>
          <w:sz w:val="28"/>
          <w:szCs w:val="21"/>
        </w:rPr>
      </w:pPr>
      <w:r>
        <w:rPr>
          <w:rFonts w:hint="eastAsia" w:ascii="仿宋" w:hAnsi="仿宋" w:eastAsia="仿宋"/>
          <w:sz w:val="28"/>
          <w:szCs w:val="21"/>
        </w:rPr>
        <w:t>（1）人民群众对应急广播满意度情况（4分）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“人民群众对应急广播满意度情况”指标用于评价人民群众对应急广播的日常使用是否感到满意。</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过评价小组审查，通过德化县应急局询问相关责任人，2023年度没有人民群众向德化县应急局投诉关于应急广播的相关事项。同时评价小组进行了问卷调查，一共有63人参与了问卷，其中有56人表示对应急广播的日常使用感到非常满意，有7人表示感到满意。根据评分标准，此项得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因此，满意度指标合计得4分。</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综上所述，项目效益共计22分，得22分。</w:t>
      </w:r>
    </w:p>
    <w:p>
      <w:pPr>
        <w:spacing w:after="0" w:line="408" w:lineRule="auto"/>
        <w:ind w:firstLine="562" w:firstLineChars="200"/>
        <w:jc w:val="both"/>
        <w:outlineLvl w:val="1"/>
        <w:rPr>
          <w:rFonts w:hint="eastAsia" w:ascii="仿宋" w:hAnsi="仿宋" w:eastAsia="仿宋"/>
          <w:b/>
          <w:sz w:val="28"/>
          <w:szCs w:val="21"/>
        </w:rPr>
      </w:pPr>
      <w:bookmarkStart w:id="49" w:name="_Toc177992458"/>
      <w:r>
        <w:rPr>
          <w:rFonts w:hint="eastAsia" w:ascii="仿宋" w:hAnsi="仿宋" w:eastAsia="仿宋"/>
          <w:b/>
          <w:sz w:val="28"/>
          <w:szCs w:val="21"/>
        </w:rPr>
        <w:t>（五）主要成效</w:t>
      </w:r>
      <w:bookmarkEnd w:id="49"/>
    </w:p>
    <w:p>
      <w:pPr>
        <w:spacing w:after="0" w:line="408" w:lineRule="auto"/>
        <w:ind w:firstLine="560" w:firstLineChars="200"/>
        <w:jc w:val="both"/>
        <w:rPr>
          <w:rFonts w:hint="eastAsia" w:ascii="仿宋" w:hAnsi="仿宋" w:eastAsia="仿宋"/>
          <w:sz w:val="28"/>
          <w:szCs w:val="21"/>
        </w:rPr>
      </w:pPr>
      <w:r>
        <w:rPr>
          <w:rFonts w:ascii="仿宋" w:hAnsi="仿宋" w:eastAsia="仿宋"/>
          <w:sz w:val="28"/>
          <w:szCs w:val="21"/>
        </w:rPr>
        <w:t>2023年德化县应急广播体系建设专项资金</w:t>
      </w:r>
      <w:r>
        <w:rPr>
          <w:rFonts w:hint="eastAsia" w:ascii="仿宋" w:hAnsi="仿宋" w:eastAsia="仿宋"/>
          <w:sz w:val="28"/>
          <w:szCs w:val="21"/>
        </w:rPr>
        <w:t>取得的主要成效表现在：在前端广播设备安装方面已经完成全县安装562个（设计为1004个），安装率达到55.98%。在县平台、镇平台、村居平台安装方面目前已完成县级平台调度控制子平台、基础服务子平台建设、服务器目前还在配置中；完成龙浔镇、浔中镇、三班镇平台建设，完成79个村级平台建设。在专网传输对接方面已完成了全县、镇、具有广播电视有线传输网络139个村居的三级专网对接。</w:t>
      </w:r>
    </w:p>
    <w:p>
      <w:pPr>
        <w:spacing w:after="0" w:line="408" w:lineRule="auto"/>
        <w:ind w:firstLine="562" w:firstLineChars="200"/>
        <w:jc w:val="both"/>
        <w:outlineLvl w:val="1"/>
        <w:rPr>
          <w:rFonts w:hint="eastAsia" w:ascii="仿宋" w:hAnsi="仿宋" w:eastAsia="仿宋"/>
          <w:b/>
          <w:sz w:val="28"/>
          <w:szCs w:val="21"/>
        </w:rPr>
      </w:pPr>
      <w:bookmarkStart w:id="50" w:name="_Toc177992459"/>
      <w:r>
        <w:rPr>
          <w:rFonts w:hint="eastAsia" w:ascii="仿宋" w:hAnsi="仿宋" w:eastAsia="仿宋"/>
          <w:b/>
          <w:sz w:val="28"/>
          <w:szCs w:val="21"/>
        </w:rPr>
        <w:t>（六）绩效评价结论</w:t>
      </w:r>
      <w:bookmarkEnd w:id="50"/>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2023年德化县应急广播体系建设专项资金绩效评价报告得分93分，评价等级为“良”。主要扣分项目为：绩效目标合理性扣1分，绩效目标明确性扣1分，预算编制科学性扣2分，付款进度的合规性扣2分，县级应急广播平台的建设情况扣1分，合计共扣7分，最终得分93分。</w:t>
      </w:r>
    </w:p>
    <w:p>
      <w:pPr>
        <w:spacing w:after="0" w:line="408" w:lineRule="auto"/>
        <w:ind w:firstLine="562" w:firstLineChars="200"/>
        <w:outlineLvl w:val="0"/>
        <w:rPr>
          <w:rFonts w:hint="eastAsia" w:ascii="仿宋" w:hAnsi="仿宋" w:eastAsia="仿宋"/>
          <w:b/>
          <w:sz w:val="28"/>
          <w:szCs w:val="21"/>
        </w:rPr>
      </w:pPr>
      <w:bookmarkStart w:id="51" w:name="_Toc177992460"/>
      <w:r>
        <w:rPr>
          <w:rFonts w:hint="eastAsia" w:ascii="仿宋" w:hAnsi="仿宋" w:eastAsia="仿宋"/>
          <w:b/>
          <w:sz w:val="28"/>
          <w:szCs w:val="21"/>
        </w:rPr>
        <w:t>五、存在的问题</w:t>
      </w:r>
      <w:bookmarkEnd w:id="51"/>
    </w:p>
    <w:p>
      <w:pPr>
        <w:spacing w:after="0" w:line="408" w:lineRule="auto"/>
        <w:ind w:firstLine="562" w:firstLineChars="200"/>
        <w:jc w:val="both"/>
        <w:outlineLvl w:val="1"/>
        <w:rPr>
          <w:rFonts w:hint="eastAsia" w:ascii="仿宋" w:hAnsi="仿宋" w:eastAsia="仿宋"/>
          <w:b/>
          <w:sz w:val="28"/>
          <w:szCs w:val="21"/>
        </w:rPr>
      </w:pPr>
      <w:bookmarkStart w:id="52" w:name="_Toc177992461"/>
      <w:r>
        <w:rPr>
          <w:rFonts w:hint="eastAsia" w:ascii="仿宋" w:hAnsi="仿宋" w:eastAsia="仿宋"/>
          <w:b/>
          <w:sz w:val="28"/>
          <w:szCs w:val="21"/>
        </w:rPr>
        <w:t>（一）资金未按合同约定及时拨付</w:t>
      </w:r>
      <w:bookmarkEnd w:id="52"/>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经评价小组的调查核实，德化县应急局在支付应急广播建设进度款的过程中，并未严格依照采购合同中约定的付款进度进行操作。根据合同约定，“合同签订后，甲方在二十个工作日内支付合同总金额的30%”。合同签订日期为2023年6月21日，德化县应急局于2023年8月18日支付290.07万元，支付进度30%。该支付时间已经超过合同签订后二十个工作日，不符合合同对进度款支付要求的约定。</w:t>
      </w:r>
    </w:p>
    <w:p>
      <w:pPr>
        <w:spacing w:after="0" w:line="408" w:lineRule="auto"/>
        <w:ind w:firstLine="562" w:firstLineChars="200"/>
        <w:jc w:val="both"/>
        <w:outlineLvl w:val="1"/>
        <w:rPr>
          <w:rFonts w:hint="eastAsia" w:ascii="仿宋" w:hAnsi="仿宋" w:eastAsia="仿宋"/>
          <w:b/>
          <w:sz w:val="28"/>
          <w:szCs w:val="21"/>
        </w:rPr>
      </w:pPr>
      <w:bookmarkStart w:id="53" w:name="_Toc177992462"/>
      <w:r>
        <w:rPr>
          <w:rFonts w:hint="eastAsia" w:ascii="仿宋" w:hAnsi="仿宋" w:eastAsia="仿宋"/>
          <w:b/>
          <w:sz w:val="28"/>
          <w:szCs w:val="21"/>
        </w:rPr>
        <w:t>（二）预算编制不合理，预算执行率偏低</w:t>
      </w:r>
      <w:bookmarkEnd w:id="53"/>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在2023年度预算金额为996万元，在《关于开展德化县应急广播体系建设的请示》文件中预估2023年度所需的资金大约为585万元。2023年度实际预算执行金额为447.1万元，预算执行率为44.89%，预算执行率偏低。由于对预算的不科学，从而间接影响到预算执行率偏低。</w:t>
      </w:r>
    </w:p>
    <w:p>
      <w:pPr>
        <w:spacing w:after="0" w:line="408" w:lineRule="auto"/>
        <w:ind w:firstLine="562" w:firstLineChars="200"/>
        <w:jc w:val="both"/>
        <w:outlineLvl w:val="1"/>
        <w:rPr>
          <w:rFonts w:hint="eastAsia" w:ascii="仿宋" w:hAnsi="仿宋" w:eastAsia="仿宋"/>
          <w:b/>
          <w:sz w:val="28"/>
          <w:szCs w:val="21"/>
        </w:rPr>
      </w:pPr>
      <w:bookmarkStart w:id="54" w:name="_Toc177992463"/>
      <w:r>
        <w:rPr>
          <w:rFonts w:hint="eastAsia" w:ascii="仿宋" w:hAnsi="仿宋" w:eastAsia="仿宋"/>
          <w:b/>
          <w:sz w:val="28"/>
          <w:szCs w:val="21"/>
        </w:rPr>
        <w:t>（三）各个部门协调合作力度较低</w:t>
      </w:r>
      <w:bookmarkEnd w:id="54"/>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德化县应急广播体系建设工程周期较长，覆盖面积较广，工程难度较大，应急广播建设涉及全县多个乡镇，多个村，需要</w:t>
      </w:r>
      <w:bookmarkStart w:id="63" w:name="_GoBack"/>
      <w:bookmarkEnd w:id="63"/>
      <w:r>
        <w:rPr>
          <w:rFonts w:hint="eastAsia" w:ascii="仿宋" w:hAnsi="仿宋" w:eastAsia="仿宋"/>
          <w:sz w:val="28"/>
          <w:szCs w:val="21"/>
        </w:rPr>
        <w:t>各个部门相互协调支持配合。在涉及村与村，乡镇与乡镇的对接上，各个乡镇之间的协调力度较弱，各个村落的配合降低，在需要各个部门协调的工作时，各个部门的支持力度较为薄弱，为整个全县应急广播体系建设加大了难度。</w:t>
      </w:r>
    </w:p>
    <w:p>
      <w:pPr>
        <w:spacing w:after="0" w:line="408" w:lineRule="auto"/>
        <w:ind w:firstLine="562" w:firstLineChars="200"/>
        <w:outlineLvl w:val="0"/>
        <w:rPr>
          <w:rFonts w:hint="eastAsia" w:ascii="仿宋" w:hAnsi="仿宋" w:eastAsia="仿宋"/>
          <w:b/>
          <w:sz w:val="28"/>
          <w:szCs w:val="21"/>
        </w:rPr>
      </w:pPr>
      <w:bookmarkStart w:id="55" w:name="_Toc177992464"/>
      <w:r>
        <w:rPr>
          <w:rFonts w:hint="eastAsia" w:ascii="仿宋" w:hAnsi="仿宋" w:eastAsia="仿宋"/>
          <w:b/>
          <w:sz w:val="28"/>
          <w:szCs w:val="21"/>
        </w:rPr>
        <w:t>六、有关建议</w:t>
      </w:r>
      <w:bookmarkEnd w:id="55"/>
    </w:p>
    <w:p>
      <w:pPr>
        <w:spacing w:after="0" w:line="408" w:lineRule="auto"/>
        <w:ind w:firstLine="562" w:firstLineChars="200"/>
        <w:jc w:val="both"/>
        <w:outlineLvl w:val="1"/>
        <w:rPr>
          <w:rFonts w:hint="eastAsia" w:ascii="仿宋" w:hAnsi="仿宋" w:eastAsia="仿宋"/>
          <w:b/>
          <w:sz w:val="28"/>
          <w:szCs w:val="21"/>
        </w:rPr>
      </w:pPr>
      <w:bookmarkStart w:id="56" w:name="_Toc177992465"/>
      <w:r>
        <w:rPr>
          <w:rFonts w:hint="eastAsia" w:ascii="仿宋" w:hAnsi="仿宋" w:eastAsia="仿宋"/>
          <w:b/>
          <w:sz w:val="28"/>
          <w:szCs w:val="21"/>
        </w:rPr>
        <w:t>（一）强化合同履约管理，严格按照合同约定执行</w:t>
      </w:r>
      <w:bookmarkEnd w:id="56"/>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应当加强对合同付款进度管理的措施，加强对合同进度款支付的管理，做到规范支付进度，严格按照合同约定进行支付，强化履约管理，强化责任约束。可以在订立合同前，各方就合同中所约定的条款进行明确的事前约定，同时可以组织专人对合同条款进行审查，确认合同中的各项条款及约定均能够按约定履约再进行签订合同，要</w:t>
      </w:r>
      <w:r>
        <w:rPr>
          <w:rFonts w:ascii="Courier New" w:hAnsi="Courier New" w:eastAsia="仿宋" w:cs="Courier New"/>
          <w:sz w:val="28"/>
          <w:szCs w:val="21"/>
        </w:rPr>
        <w:t>‌</w:t>
      </w:r>
      <w:r>
        <w:rPr>
          <w:rFonts w:hint="eastAsia" w:ascii="仿宋" w:hAnsi="仿宋" w:eastAsia="仿宋" w:cs="宋体"/>
          <w:sz w:val="28"/>
          <w:szCs w:val="21"/>
        </w:rPr>
        <w:t>确保合同条款明确、</w:t>
      </w:r>
      <w:r>
        <w:rPr>
          <w:rFonts w:ascii="Courier New" w:hAnsi="Courier New" w:eastAsia="仿宋" w:cs="Courier New"/>
          <w:sz w:val="28"/>
          <w:szCs w:val="21"/>
        </w:rPr>
        <w:t>‌</w:t>
      </w:r>
      <w:r>
        <w:rPr>
          <w:rFonts w:hint="eastAsia" w:ascii="仿宋" w:hAnsi="仿宋" w:eastAsia="仿宋" w:cs="宋体"/>
          <w:sz w:val="28"/>
          <w:szCs w:val="21"/>
        </w:rPr>
        <w:t>具体、</w:t>
      </w:r>
      <w:r>
        <w:rPr>
          <w:rFonts w:ascii="Courier New" w:hAnsi="Courier New" w:eastAsia="仿宋" w:cs="Courier New"/>
          <w:sz w:val="28"/>
          <w:szCs w:val="21"/>
        </w:rPr>
        <w:t>‌</w:t>
      </w:r>
      <w:r>
        <w:rPr>
          <w:rFonts w:hint="eastAsia" w:ascii="仿宋" w:hAnsi="仿宋" w:eastAsia="仿宋" w:cs="宋体"/>
          <w:sz w:val="28"/>
          <w:szCs w:val="21"/>
        </w:rPr>
        <w:t>完整，</w:t>
      </w:r>
      <w:r>
        <w:rPr>
          <w:rFonts w:ascii="Courier New" w:hAnsi="Courier New" w:eastAsia="仿宋" w:cs="Courier New"/>
          <w:sz w:val="28"/>
          <w:szCs w:val="21"/>
        </w:rPr>
        <w:t>‌</w:t>
      </w:r>
      <w:r>
        <w:rPr>
          <w:rFonts w:hint="eastAsia" w:ascii="仿宋" w:hAnsi="仿宋" w:eastAsia="仿宋" w:cs="宋体"/>
          <w:sz w:val="28"/>
          <w:szCs w:val="21"/>
        </w:rPr>
        <w:t>特别注意对合同主体的资质、</w:t>
      </w:r>
      <w:r>
        <w:rPr>
          <w:rFonts w:ascii="Courier New" w:hAnsi="Courier New" w:eastAsia="仿宋" w:cs="Courier New"/>
          <w:sz w:val="28"/>
          <w:szCs w:val="21"/>
        </w:rPr>
        <w:t>‌</w:t>
      </w:r>
      <w:r>
        <w:rPr>
          <w:rFonts w:hint="eastAsia" w:ascii="仿宋" w:hAnsi="仿宋" w:eastAsia="仿宋" w:cs="宋体"/>
          <w:sz w:val="28"/>
          <w:szCs w:val="21"/>
        </w:rPr>
        <w:t>履约能力进行核实，衡量自身财务情况，判断支付能力，预估现金流量</w:t>
      </w:r>
      <w:r>
        <w:rPr>
          <w:rFonts w:hint="eastAsia" w:ascii="仿宋" w:hAnsi="仿宋" w:eastAsia="仿宋"/>
          <w:sz w:val="28"/>
          <w:szCs w:val="21"/>
        </w:rPr>
        <w:t>。</w:t>
      </w:r>
      <w:r>
        <w:rPr>
          <w:rFonts w:hint="eastAsia" w:ascii="仿宋" w:hAnsi="仿宋" w:eastAsia="仿宋" w:cs="宋体"/>
          <w:sz w:val="28"/>
          <w:szCs w:val="21"/>
        </w:rPr>
        <w:t>才能够做到在合同订立后的付款进度与自身财务情况现金流量情况相互匹配。同时事后加强对合同执行的管理，做到严格按照合同的约定来执行合同，并定期对合同的履约执行情况进行检查，做到及时发现履约过程中的问题，并加强沟通，确保合同的履约执行。</w:t>
      </w:r>
    </w:p>
    <w:p>
      <w:pPr>
        <w:spacing w:after="0" w:line="408" w:lineRule="auto"/>
        <w:ind w:firstLine="562" w:firstLineChars="200"/>
        <w:jc w:val="both"/>
        <w:outlineLvl w:val="1"/>
        <w:rPr>
          <w:rFonts w:hint="eastAsia" w:ascii="仿宋" w:hAnsi="仿宋" w:eastAsia="仿宋"/>
          <w:b/>
          <w:sz w:val="28"/>
          <w:szCs w:val="21"/>
        </w:rPr>
      </w:pPr>
      <w:bookmarkStart w:id="57" w:name="_Toc177992466"/>
      <w:r>
        <w:rPr>
          <w:rFonts w:hint="eastAsia" w:ascii="仿宋" w:hAnsi="仿宋" w:eastAsia="仿宋"/>
          <w:b/>
          <w:sz w:val="28"/>
          <w:szCs w:val="21"/>
        </w:rPr>
        <w:t>（二）加强预算的科学性，加强预算执行力度。</w:t>
      </w:r>
      <w:bookmarkEnd w:id="57"/>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德化县应急局应当优化预算编制过程，计划好当年度的工作安排，确保预算的准确，</w:t>
      </w:r>
      <w:r>
        <w:rPr>
          <w:rFonts w:ascii="仿宋" w:hAnsi="仿宋" w:eastAsia="仿宋" w:cs="Times New Roman"/>
          <w:sz w:val="28"/>
          <w:szCs w:val="21"/>
        </w:rPr>
        <w:t>‌</w:t>
      </w:r>
      <w:r>
        <w:rPr>
          <w:rFonts w:hint="eastAsia" w:ascii="仿宋" w:hAnsi="仿宋" w:eastAsia="仿宋" w:cs="宋体"/>
          <w:sz w:val="28"/>
          <w:szCs w:val="21"/>
        </w:rPr>
        <w:t>确保所有资金预算都能考虑周全详密，</w:t>
      </w:r>
      <w:r>
        <w:rPr>
          <w:rFonts w:ascii="仿宋" w:hAnsi="仿宋" w:eastAsia="仿宋" w:cs="Times New Roman"/>
          <w:sz w:val="28"/>
          <w:szCs w:val="21"/>
        </w:rPr>
        <w:t>‌</w:t>
      </w:r>
      <w:r>
        <w:rPr>
          <w:rFonts w:hint="eastAsia" w:ascii="仿宋" w:hAnsi="仿宋" w:eastAsia="仿宋" w:cs="宋体"/>
          <w:sz w:val="28"/>
          <w:szCs w:val="21"/>
        </w:rPr>
        <w:t>并将预算细化到具体项目，</w:t>
      </w:r>
      <w:r>
        <w:rPr>
          <w:rFonts w:ascii="仿宋" w:hAnsi="仿宋" w:eastAsia="仿宋" w:cs="Times New Roman"/>
          <w:sz w:val="28"/>
          <w:szCs w:val="21"/>
        </w:rPr>
        <w:t>‌</w:t>
      </w:r>
      <w:r>
        <w:rPr>
          <w:rFonts w:hint="eastAsia" w:ascii="仿宋" w:hAnsi="仿宋" w:eastAsia="仿宋" w:cs="宋体"/>
          <w:sz w:val="28"/>
          <w:szCs w:val="21"/>
        </w:rPr>
        <w:t>逐步做到项目细化、</w:t>
      </w:r>
      <w:r>
        <w:rPr>
          <w:rFonts w:ascii="仿宋" w:hAnsi="仿宋" w:eastAsia="仿宋" w:cs="Times New Roman"/>
          <w:sz w:val="28"/>
          <w:szCs w:val="21"/>
        </w:rPr>
        <w:t>‌</w:t>
      </w:r>
      <w:r>
        <w:rPr>
          <w:rFonts w:hint="eastAsia" w:ascii="仿宋" w:hAnsi="仿宋" w:eastAsia="仿宋" w:cs="宋体"/>
          <w:sz w:val="28"/>
          <w:szCs w:val="21"/>
        </w:rPr>
        <w:t>预算科学，</w:t>
      </w:r>
      <w:r>
        <w:rPr>
          <w:rFonts w:ascii="仿宋" w:hAnsi="仿宋" w:eastAsia="仿宋" w:cs="Times New Roman"/>
          <w:sz w:val="28"/>
          <w:szCs w:val="21"/>
        </w:rPr>
        <w:t>‌</w:t>
      </w:r>
      <w:r>
        <w:rPr>
          <w:rFonts w:hint="eastAsia" w:ascii="仿宋" w:hAnsi="仿宋" w:eastAsia="仿宋" w:cs="宋体"/>
          <w:sz w:val="28"/>
          <w:szCs w:val="21"/>
        </w:rPr>
        <w:t>保证预算编制执行的合理合规，</w:t>
      </w:r>
      <w:r>
        <w:rPr>
          <w:rFonts w:ascii="仿宋" w:hAnsi="仿宋" w:eastAsia="仿宋" w:cs="Times New Roman"/>
          <w:sz w:val="28"/>
          <w:szCs w:val="21"/>
        </w:rPr>
        <w:t>‌</w:t>
      </w:r>
      <w:r>
        <w:rPr>
          <w:rFonts w:hint="eastAsia" w:ascii="仿宋" w:hAnsi="仿宋" w:eastAsia="仿宋" w:cs="宋体"/>
          <w:sz w:val="28"/>
          <w:szCs w:val="21"/>
        </w:rPr>
        <w:t>按照有依据、</w:t>
      </w:r>
      <w:r>
        <w:rPr>
          <w:rFonts w:ascii="仿宋" w:hAnsi="仿宋" w:eastAsia="仿宋" w:cs="Times New Roman"/>
          <w:sz w:val="28"/>
          <w:szCs w:val="21"/>
        </w:rPr>
        <w:t>‌</w:t>
      </w:r>
      <w:r>
        <w:rPr>
          <w:rFonts w:hint="eastAsia" w:ascii="仿宋" w:hAnsi="仿宋" w:eastAsia="仿宋" w:cs="宋体"/>
          <w:sz w:val="28"/>
          <w:szCs w:val="21"/>
        </w:rPr>
        <w:t>有标准、</w:t>
      </w:r>
      <w:r>
        <w:rPr>
          <w:rFonts w:ascii="仿宋" w:hAnsi="仿宋" w:eastAsia="仿宋" w:cs="Times New Roman"/>
          <w:sz w:val="28"/>
          <w:szCs w:val="21"/>
        </w:rPr>
        <w:t>‌</w:t>
      </w:r>
      <w:r>
        <w:rPr>
          <w:rFonts w:hint="eastAsia" w:ascii="仿宋" w:hAnsi="仿宋" w:eastAsia="仿宋" w:cs="宋体"/>
          <w:sz w:val="28"/>
          <w:szCs w:val="21"/>
        </w:rPr>
        <w:t>符合新形势要求的原则来排项目、</w:t>
      </w:r>
      <w:r>
        <w:rPr>
          <w:rFonts w:ascii="仿宋" w:hAnsi="仿宋" w:eastAsia="仿宋" w:cs="Times New Roman"/>
          <w:sz w:val="28"/>
          <w:szCs w:val="21"/>
        </w:rPr>
        <w:t>‌</w:t>
      </w:r>
      <w:r>
        <w:rPr>
          <w:rFonts w:hint="eastAsia" w:ascii="仿宋" w:hAnsi="仿宋" w:eastAsia="仿宋" w:cs="宋体"/>
          <w:sz w:val="28"/>
          <w:szCs w:val="21"/>
        </w:rPr>
        <w:t>定资金，</w:t>
      </w:r>
      <w:r>
        <w:rPr>
          <w:rFonts w:ascii="仿宋" w:hAnsi="仿宋" w:eastAsia="仿宋" w:cs="Times New Roman"/>
          <w:sz w:val="28"/>
          <w:szCs w:val="21"/>
        </w:rPr>
        <w:t>‌</w:t>
      </w:r>
      <w:r>
        <w:rPr>
          <w:rFonts w:hint="eastAsia" w:ascii="仿宋" w:hAnsi="仿宋" w:eastAsia="仿宋" w:cs="宋体"/>
          <w:sz w:val="28"/>
          <w:szCs w:val="21"/>
        </w:rPr>
        <w:t>提高预算编制的精准度和有效性。同时增强预算约束刚性，</w:t>
      </w:r>
      <w:r>
        <w:rPr>
          <w:rFonts w:ascii="仿宋" w:hAnsi="仿宋" w:eastAsia="仿宋" w:cs="Times New Roman"/>
          <w:sz w:val="28"/>
          <w:szCs w:val="21"/>
        </w:rPr>
        <w:t>‌</w:t>
      </w:r>
      <w:r>
        <w:rPr>
          <w:rFonts w:hint="eastAsia" w:ascii="仿宋" w:hAnsi="仿宋" w:eastAsia="仿宋" w:cs="宋体"/>
          <w:sz w:val="28"/>
          <w:szCs w:val="21"/>
        </w:rPr>
        <w:t>严格遵循量入为出、</w:t>
      </w:r>
      <w:r>
        <w:rPr>
          <w:rFonts w:ascii="仿宋" w:hAnsi="仿宋" w:eastAsia="仿宋" w:cs="Times New Roman"/>
          <w:sz w:val="28"/>
          <w:szCs w:val="21"/>
        </w:rPr>
        <w:t>‌</w:t>
      </w:r>
      <w:r>
        <w:rPr>
          <w:rFonts w:hint="eastAsia" w:ascii="仿宋" w:hAnsi="仿宋" w:eastAsia="仿宋" w:cs="宋体"/>
          <w:sz w:val="28"/>
          <w:szCs w:val="21"/>
        </w:rPr>
        <w:t>厉行节约原则，</w:t>
      </w:r>
      <w:r>
        <w:rPr>
          <w:rFonts w:ascii="仿宋" w:hAnsi="仿宋" w:eastAsia="仿宋" w:cs="Times New Roman"/>
          <w:sz w:val="28"/>
          <w:szCs w:val="21"/>
        </w:rPr>
        <w:t>‌</w:t>
      </w:r>
      <w:r>
        <w:rPr>
          <w:rFonts w:hint="eastAsia" w:ascii="仿宋" w:hAnsi="仿宋" w:eastAsia="仿宋" w:cs="宋体"/>
          <w:sz w:val="28"/>
          <w:szCs w:val="21"/>
        </w:rPr>
        <w:t>按照年度工作计划的实际情况和轻重缓急进行资金统筹，</w:t>
      </w:r>
      <w:r>
        <w:rPr>
          <w:rFonts w:ascii="仿宋" w:hAnsi="仿宋" w:eastAsia="仿宋" w:cs="Times New Roman"/>
          <w:sz w:val="28"/>
          <w:szCs w:val="21"/>
        </w:rPr>
        <w:t>‌</w:t>
      </w:r>
      <w:r>
        <w:rPr>
          <w:rFonts w:hint="eastAsia" w:ascii="仿宋" w:hAnsi="仿宋" w:eastAsia="仿宋" w:cs="宋体"/>
          <w:sz w:val="28"/>
          <w:szCs w:val="21"/>
        </w:rPr>
        <w:t>合理安排资金支付进度，</w:t>
      </w:r>
      <w:r>
        <w:rPr>
          <w:rFonts w:ascii="仿宋" w:hAnsi="仿宋" w:eastAsia="仿宋" w:cs="Times New Roman"/>
          <w:sz w:val="28"/>
          <w:szCs w:val="21"/>
        </w:rPr>
        <w:t>‌</w:t>
      </w:r>
      <w:r>
        <w:rPr>
          <w:rFonts w:hint="eastAsia" w:ascii="仿宋" w:hAnsi="仿宋" w:eastAsia="仿宋" w:cs="宋体"/>
          <w:sz w:val="28"/>
          <w:szCs w:val="21"/>
        </w:rPr>
        <w:t>加快支付资金下达进度，</w:t>
      </w:r>
      <w:r>
        <w:rPr>
          <w:rFonts w:ascii="仿宋" w:hAnsi="仿宋" w:eastAsia="仿宋" w:cs="Times New Roman"/>
          <w:sz w:val="28"/>
          <w:szCs w:val="21"/>
        </w:rPr>
        <w:t>‌</w:t>
      </w:r>
      <w:r>
        <w:rPr>
          <w:rFonts w:hint="eastAsia" w:ascii="仿宋" w:hAnsi="仿宋" w:eastAsia="仿宋" w:cs="宋体"/>
          <w:sz w:val="28"/>
          <w:szCs w:val="21"/>
        </w:rPr>
        <w:t>对各类财政资金的申请、</w:t>
      </w:r>
      <w:r>
        <w:rPr>
          <w:rFonts w:ascii="仿宋" w:hAnsi="仿宋" w:eastAsia="仿宋" w:cs="Times New Roman"/>
          <w:sz w:val="28"/>
          <w:szCs w:val="21"/>
        </w:rPr>
        <w:t>‌</w:t>
      </w:r>
      <w:r>
        <w:rPr>
          <w:rFonts w:hint="eastAsia" w:ascii="仿宋" w:hAnsi="仿宋" w:eastAsia="仿宋" w:cs="宋体"/>
          <w:sz w:val="28"/>
          <w:szCs w:val="21"/>
        </w:rPr>
        <w:t>审批、</w:t>
      </w:r>
      <w:r>
        <w:rPr>
          <w:rFonts w:ascii="仿宋" w:hAnsi="仿宋" w:eastAsia="仿宋" w:cs="Times New Roman"/>
          <w:sz w:val="28"/>
          <w:szCs w:val="21"/>
        </w:rPr>
        <w:t>‌</w:t>
      </w:r>
      <w:r>
        <w:rPr>
          <w:rFonts w:hint="eastAsia" w:ascii="仿宋" w:hAnsi="仿宋" w:eastAsia="仿宋" w:cs="宋体"/>
          <w:sz w:val="28"/>
          <w:szCs w:val="21"/>
        </w:rPr>
        <w:t>使用、</w:t>
      </w:r>
      <w:r>
        <w:rPr>
          <w:rFonts w:ascii="仿宋" w:hAnsi="仿宋" w:eastAsia="仿宋" w:cs="Times New Roman"/>
          <w:sz w:val="28"/>
          <w:szCs w:val="21"/>
        </w:rPr>
        <w:t>‌</w:t>
      </w:r>
      <w:r>
        <w:rPr>
          <w:rFonts w:hint="eastAsia" w:ascii="仿宋" w:hAnsi="仿宋" w:eastAsia="仿宋" w:cs="宋体"/>
          <w:sz w:val="28"/>
          <w:szCs w:val="21"/>
        </w:rPr>
        <w:t>监管等方面作出明确规定</w:t>
      </w:r>
      <w:r>
        <w:rPr>
          <w:rFonts w:ascii="仿宋" w:hAnsi="仿宋" w:eastAsia="仿宋" w:cs="Times New Roman"/>
          <w:sz w:val="28"/>
          <w:szCs w:val="21"/>
        </w:rPr>
        <w:t>‌</w:t>
      </w:r>
      <w:r>
        <w:rPr>
          <w:rFonts w:hint="eastAsia" w:ascii="仿宋" w:hAnsi="仿宋" w:eastAsia="仿宋" w:cs="宋体"/>
          <w:sz w:val="28"/>
          <w:szCs w:val="21"/>
        </w:rPr>
        <w:t>。强化部门监督管理，主管负责人</w:t>
      </w:r>
      <w:r>
        <w:rPr>
          <w:rFonts w:ascii="仿宋" w:hAnsi="仿宋" w:eastAsia="仿宋" w:cs="Times New Roman"/>
          <w:sz w:val="28"/>
          <w:szCs w:val="21"/>
        </w:rPr>
        <w:t>‌</w:t>
      </w:r>
      <w:r>
        <w:rPr>
          <w:rFonts w:hint="eastAsia" w:ascii="仿宋" w:hAnsi="仿宋" w:eastAsia="仿宋" w:cs="宋体"/>
          <w:sz w:val="28"/>
          <w:szCs w:val="21"/>
        </w:rPr>
        <w:t>负责监督财政资金使用、</w:t>
      </w:r>
      <w:r>
        <w:rPr>
          <w:rFonts w:ascii="仿宋" w:hAnsi="仿宋" w:eastAsia="仿宋" w:cs="Times New Roman"/>
          <w:sz w:val="28"/>
          <w:szCs w:val="21"/>
        </w:rPr>
        <w:t>‌</w:t>
      </w:r>
      <w:r>
        <w:rPr>
          <w:rFonts w:hint="eastAsia" w:ascii="仿宋" w:hAnsi="仿宋" w:eastAsia="仿宋" w:cs="宋体"/>
          <w:sz w:val="28"/>
          <w:szCs w:val="21"/>
        </w:rPr>
        <w:t>制度执行和落实情况</w:t>
      </w:r>
      <w:r>
        <w:rPr>
          <w:rFonts w:hint="eastAsia" w:ascii="仿宋" w:hAnsi="仿宋" w:eastAsia="仿宋"/>
          <w:sz w:val="28"/>
          <w:szCs w:val="21"/>
        </w:rPr>
        <w:t>。</w:t>
      </w:r>
    </w:p>
    <w:p>
      <w:pPr>
        <w:spacing w:after="0" w:line="408" w:lineRule="auto"/>
        <w:ind w:firstLine="562" w:firstLineChars="200"/>
        <w:jc w:val="both"/>
        <w:outlineLvl w:val="1"/>
        <w:rPr>
          <w:rFonts w:hint="eastAsia" w:ascii="仿宋" w:hAnsi="仿宋" w:eastAsia="仿宋"/>
          <w:b/>
          <w:sz w:val="28"/>
          <w:szCs w:val="21"/>
        </w:rPr>
      </w:pPr>
      <w:bookmarkStart w:id="58" w:name="_Toc177992467"/>
      <w:r>
        <w:rPr>
          <w:rFonts w:hint="eastAsia" w:ascii="仿宋" w:hAnsi="仿宋" w:eastAsia="仿宋"/>
          <w:b/>
          <w:sz w:val="28"/>
          <w:szCs w:val="21"/>
        </w:rPr>
        <w:t>（三）加强跨部门协作，跨乡镇的协作</w:t>
      </w:r>
      <w:bookmarkEnd w:id="58"/>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德化县应急局应当加强日常间与各个部门的协调与沟通，要</w:t>
      </w:r>
      <w:r>
        <w:rPr>
          <w:rFonts w:ascii="仿宋" w:hAnsi="仿宋" w:eastAsia="仿宋"/>
          <w:sz w:val="28"/>
          <w:szCs w:val="21"/>
        </w:rPr>
        <w:t>确保各个部门对</w:t>
      </w:r>
      <w:r>
        <w:rPr>
          <w:rFonts w:hint="eastAsia" w:ascii="仿宋" w:hAnsi="仿宋" w:eastAsia="仿宋"/>
          <w:sz w:val="28"/>
          <w:szCs w:val="21"/>
        </w:rPr>
        <w:t>县应急局工作</w:t>
      </w:r>
      <w:r>
        <w:rPr>
          <w:rFonts w:ascii="仿宋" w:hAnsi="仿宋" w:eastAsia="仿宋"/>
          <w:sz w:val="28"/>
          <w:szCs w:val="21"/>
        </w:rPr>
        <w:t>的方向有共识和理解</w:t>
      </w:r>
      <w:r>
        <w:rPr>
          <w:rFonts w:hint="eastAsia" w:ascii="仿宋" w:hAnsi="仿宋" w:eastAsia="仿宋"/>
          <w:sz w:val="28"/>
          <w:szCs w:val="21"/>
        </w:rPr>
        <w:t>，加强</w:t>
      </w:r>
      <w:r>
        <w:rPr>
          <w:rFonts w:ascii="仿宋" w:hAnsi="仿宋" w:eastAsia="仿宋"/>
          <w:sz w:val="28"/>
          <w:szCs w:val="21"/>
        </w:rPr>
        <w:t>各部门之间相互合作，以</w:t>
      </w:r>
      <w:r>
        <w:rPr>
          <w:rFonts w:hint="eastAsia" w:ascii="仿宋" w:hAnsi="仿宋" w:eastAsia="仿宋"/>
          <w:sz w:val="28"/>
          <w:szCs w:val="21"/>
        </w:rPr>
        <w:t>德化县的整体</w:t>
      </w:r>
      <w:r>
        <w:rPr>
          <w:rFonts w:ascii="仿宋" w:hAnsi="仿宋" w:eastAsia="仿宋"/>
          <w:sz w:val="28"/>
          <w:szCs w:val="21"/>
        </w:rPr>
        <w:t>利益为导向</w:t>
      </w:r>
      <w:r>
        <w:rPr>
          <w:rFonts w:hint="eastAsia" w:ascii="Courier New" w:hAnsi="Courier New" w:eastAsia="仿宋" w:cs="Courier New"/>
          <w:sz w:val="28"/>
          <w:szCs w:val="21"/>
        </w:rPr>
        <w:t>。德化县应急局应当加强对应急广播建设的宣传工作，调动各个乡镇各个地区的群众积极性，让群众参与到建设中来，从而加强跨乡镇跨村落的协作，真正做到合作共赢，加强村落与村落，乡镇与乡镇的沟通力度，做到兄弟乡镇之间相互支持，以求提高项目的协作度。</w:t>
      </w:r>
    </w:p>
    <w:p>
      <w:pPr>
        <w:spacing w:after="0" w:line="408" w:lineRule="auto"/>
        <w:ind w:firstLine="562" w:firstLineChars="200"/>
        <w:outlineLvl w:val="0"/>
        <w:rPr>
          <w:rFonts w:hint="eastAsia" w:ascii="仿宋" w:hAnsi="仿宋" w:eastAsia="仿宋"/>
          <w:b/>
          <w:sz w:val="28"/>
          <w:szCs w:val="21"/>
        </w:rPr>
      </w:pPr>
      <w:bookmarkStart w:id="59" w:name="_Toc177992468"/>
      <w:r>
        <w:rPr>
          <w:rFonts w:hint="eastAsia" w:ascii="仿宋" w:hAnsi="仿宋" w:eastAsia="仿宋"/>
          <w:b/>
          <w:sz w:val="28"/>
          <w:szCs w:val="21"/>
        </w:rPr>
        <w:t>七、其他需要说明的问题</w:t>
      </w:r>
      <w:bookmarkEnd w:id="59"/>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本报告中“2023年德化县应急广播体系建设专项资金”相关数据，均以项目单位提供的项目支出明细账、财务报表为来源依据。</w:t>
      </w: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 xml:space="preserve">                                      泉州市启程财务咨询有限公司</w:t>
      </w:r>
    </w:p>
    <w:p>
      <w:pPr>
        <w:spacing w:after="0" w:line="408" w:lineRule="auto"/>
        <w:ind w:firstLine="560" w:firstLineChars="200"/>
        <w:jc w:val="both"/>
        <w:rPr>
          <w:rFonts w:hint="eastAsia" w:ascii="仿宋" w:hAnsi="仿宋" w:eastAsia="仿宋"/>
          <w:sz w:val="28"/>
          <w:szCs w:val="21"/>
        </w:rPr>
      </w:pPr>
      <w:r>
        <w:rPr>
          <w:rFonts w:hint="eastAsia" w:ascii="仿宋" w:hAnsi="仿宋" w:eastAsia="仿宋"/>
          <w:sz w:val="28"/>
          <w:szCs w:val="21"/>
        </w:rPr>
        <w:t xml:space="preserve">                                           2024年</w:t>
      </w:r>
      <w:r>
        <w:rPr>
          <w:rFonts w:hint="eastAsia" w:ascii="仿宋" w:hAnsi="仿宋" w:eastAsia="仿宋"/>
          <w:sz w:val="28"/>
          <w:szCs w:val="21"/>
          <w:lang w:val="en-US" w:eastAsia="zh-CN"/>
        </w:rPr>
        <w:t>9</w:t>
      </w:r>
      <w:r>
        <w:rPr>
          <w:rFonts w:hint="eastAsia" w:ascii="仿宋" w:hAnsi="仿宋" w:eastAsia="仿宋"/>
          <w:sz w:val="28"/>
          <w:szCs w:val="21"/>
        </w:rPr>
        <w:t>月</w:t>
      </w:r>
      <w:r>
        <w:rPr>
          <w:rFonts w:hint="eastAsia" w:ascii="仿宋" w:hAnsi="仿宋" w:eastAsia="仿宋"/>
          <w:sz w:val="28"/>
          <w:szCs w:val="21"/>
          <w:lang w:val="en-US" w:eastAsia="zh-CN"/>
        </w:rPr>
        <w:t>30</w:t>
      </w:r>
      <w:r>
        <w:rPr>
          <w:rFonts w:hint="eastAsia" w:ascii="仿宋" w:hAnsi="仿宋" w:eastAsia="仿宋"/>
          <w:sz w:val="28"/>
          <w:szCs w:val="21"/>
        </w:rPr>
        <w:t>日</w:t>
      </w: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hint="eastAsia" w:ascii="仿宋" w:hAnsi="仿宋" w:eastAsia="仿宋"/>
          <w:sz w:val="28"/>
          <w:szCs w:val="21"/>
        </w:rPr>
      </w:pPr>
    </w:p>
    <w:p>
      <w:pPr>
        <w:spacing w:after="0" w:line="408" w:lineRule="auto"/>
        <w:ind w:firstLine="560" w:firstLineChars="200"/>
        <w:jc w:val="both"/>
        <w:rPr>
          <w:rFonts w:ascii="仿宋" w:hAnsi="仿宋" w:eastAsia="仿宋"/>
          <w:sz w:val="28"/>
          <w:szCs w:val="21"/>
        </w:rPr>
      </w:pPr>
    </w:p>
    <w:p>
      <w:pPr>
        <w:spacing w:after="0" w:line="408" w:lineRule="auto"/>
        <w:jc w:val="both"/>
        <w:rPr>
          <w:rFonts w:hint="eastAsia" w:ascii="仿宋" w:hAnsi="仿宋" w:eastAsia="仿宋"/>
          <w:sz w:val="28"/>
          <w:szCs w:val="21"/>
        </w:rPr>
      </w:pPr>
    </w:p>
    <w:p>
      <w:pPr>
        <w:spacing w:after="0" w:line="408" w:lineRule="auto"/>
        <w:jc w:val="both"/>
        <w:rPr>
          <w:rFonts w:hint="eastAsia" w:ascii="仿宋" w:hAnsi="仿宋" w:eastAsia="仿宋"/>
          <w:sz w:val="28"/>
          <w:szCs w:val="21"/>
        </w:rPr>
      </w:pPr>
    </w:p>
    <w:p>
      <w:pPr>
        <w:spacing w:after="0" w:line="408" w:lineRule="auto"/>
        <w:ind w:firstLine="422" w:firstLineChars="200"/>
        <w:outlineLvl w:val="0"/>
        <w:rPr>
          <w:rFonts w:hint="eastAsia" w:ascii="仿宋" w:hAnsi="仿宋" w:eastAsia="仿宋"/>
          <w:b/>
          <w:sz w:val="21"/>
          <w:szCs w:val="16"/>
        </w:rPr>
      </w:pPr>
      <w:bookmarkStart w:id="60" w:name="_Toc177992469"/>
      <w:r>
        <w:rPr>
          <w:rFonts w:hint="eastAsia" w:ascii="仿宋" w:hAnsi="仿宋" w:eastAsia="仿宋"/>
          <w:b/>
          <w:sz w:val="21"/>
          <w:szCs w:val="16"/>
        </w:rPr>
        <w:t>附件一：调查问卷</w:t>
      </w:r>
      <w:bookmarkEnd w:id="60"/>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962"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cs="仿宋"/>
                <w:b/>
                <w:snapToGrid w:val="0"/>
                <w:kern w:val="0"/>
                <w:sz w:val="18"/>
              </w:rPr>
            </w:pPr>
            <w:r>
              <w:rPr>
                <w:rFonts w:hint="eastAsia" w:ascii="仿宋" w:hAnsi="仿宋" w:eastAsia="仿宋" w:cs="仿宋"/>
                <w:b/>
                <w:snapToGrid w:val="0"/>
                <w:kern w:val="0"/>
                <w:sz w:val="18"/>
              </w:rPr>
              <w:t>调查项目</w:t>
            </w:r>
          </w:p>
        </w:tc>
        <w:tc>
          <w:tcPr>
            <w:tcW w:w="1038"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cs="仿宋"/>
                <w:b/>
                <w:snapToGrid w:val="0"/>
                <w:kern w:val="0"/>
                <w:sz w:val="18"/>
              </w:rPr>
            </w:pPr>
            <w:r>
              <w:rPr>
                <w:rFonts w:hint="eastAsia" w:ascii="仿宋" w:hAnsi="仿宋" w:eastAsia="仿宋" w:cs="仿宋"/>
                <w:b/>
                <w:snapToGrid w:val="0"/>
                <w:kern w:val="0"/>
                <w:sz w:val="18"/>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962"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（1）你是哪个村的村民？</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A：龙浔镇</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B：浔中镇</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C：三班镇</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D：其他</w:t>
            </w:r>
          </w:p>
        </w:tc>
        <w:tc>
          <w:tcPr>
            <w:tcW w:w="1038"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962"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（2）你觉得应急广播的建设是否有益？</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A：有</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B：没有</w:t>
            </w:r>
          </w:p>
        </w:tc>
        <w:tc>
          <w:tcPr>
            <w:tcW w:w="1038"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962"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（3）你觉得应急广播的建设给乡镇带来了什么好处？</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A：在灾害和突发事件发生时，及时发布警报和指导信息</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B：公众安全意识提高：通过宣传和教育，增强公众的安全意识和应对能力</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C：可用于传播本地文化、弘扬传统价值观</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D：其他</w:t>
            </w:r>
          </w:p>
        </w:tc>
        <w:tc>
          <w:tcPr>
            <w:tcW w:w="1038"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962"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（4）你觉得应急广播建设中有什么不足？</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A：广播建设对村民造成了噪音污染</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B：广播建设工期进度缓慢</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C：广播建设各个乡镇配合度不高</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D：其他</w:t>
            </w:r>
          </w:p>
        </w:tc>
        <w:tc>
          <w:tcPr>
            <w:tcW w:w="1038"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962"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（5）你对应急广播的日常使用是否感到满意？</w:t>
            </w:r>
          </w:p>
          <w:p>
            <w:pPr>
              <w:adjustRightInd w:val="0"/>
              <w:snapToGrid w:val="0"/>
              <w:spacing w:after="0" w:line="408" w:lineRule="auto"/>
              <w:rPr>
                <w:rFonts w:hint="eastAsia" w:ascii="仿宋" w:hAnsi="仿宋" w:eastAsia="仿宋" w:cs="仿宋"/>
                <w:snapToGrid w:val="0"/>
                <w:kern w:val="0"/>
                <w:sz w:val="18"/>
              </w:rPr>
            </w:pPr>
            <w:r>
              <w:rPr>
                <w:rFonts w:hint="eastAsia" w:ascii="仿宋" w:hAnsi="仿宋" w:eastAsia="仿宋" w:cs="仿宋"/>
                <w:snapToGrid w:val="0"/>
                <w:kern w:val="0"/>
                <w:sz w:val="18"/>
              </w:rPr>
              <w:t>A：非常满意 B：满意 C：一般 D：不满意</w:t>
            </w:r>
          </w:p>
        </w:tc>
        <w:tc>
          <w:tcPr>
            <w:tcW w:w="1038" w:type="pct"/>
            <w:shd w:val="clear" w:color="auto" w:fill="auto"/>
            <w:vAlign w:val="center"/>
          </w:tcPr>
          <w:p>
            <w:pPr>
              <w:adjustRightInd w:val="0"/>
              <w:snapToGrid w:val="0"/>
              <w:spacing w:after="0" w:line="408" w:lineRule="auto"/>
              <w:rPr>
                <w:rFonts w:hint="eastAsia" w:ascii="仿宋" w:hAnsi="仿宋" w:eastAsia="仿宋" w:cs="仿宋"/>
                <w:snapToGrid w:val="0"/>
                <w:kern w:val="0"/>
                <w:sz w:val="18"/>
              </w:rPr>
            </w:pPr>
          </w:p>
        </w:tc>
      </w:tr>
    </w:tbl>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ind w:firstLine="422" w:firstLineChars="200"/>
        <w:rPr>
          <w:rFonts w:hint="eastAsia" w:ascii="仿宋" w:hAnsi="仿宋" w:eastAsia="仿宋"/>
          <w:b/>
          <w:sz w:val="21"/>
          <w:szCs w:val="16"/>
        </w:rPr>
      </w:pPr>
    </w:p>
    <w:p>
      <w:pPr>
        <w:spacing w:after="0" w:line="408" w:lineRule="auto"/>
        <w:rPr>
          <w:rFonts w:hint="eastAsia" w:ascii="仿宋" w:hAnsi="仿宋" w:eastAsia="仿宋"/>
          <w:b/>
          <w:sz w:val="21"/>
          <w:szCs w:val="16"/>
        </w:rPr>
      </w:pPr>
    </w:p>
    <w:p>
      <w:pPr>
        <w:spacing w:after="0" w:line="408" w:lineRule="auto"/>
        <w:ind w:firstLine="422" w:firstLineChars="200"/>
        <w:outlineLvl w:val="0"/>
        <w:rPr>
          <w:rFonts w:hint="eastAsia" w:ascii="仿宋" w:hAnsi="仿宋" w:eastAsia="仿宋"/>
          <w:b/>
          <w:sz w:val="21"/>
          <w:szCs w:val="16"/>
        </w:rPr>
      </w:pPr>
      <w:bookmarkStart w:id="61" w:name="_Toc177992470"/>
      <w:r>
        <w:rPr>
          <w:rFonts w:hint="eastAsia" w:ascii="仿宋" w:hAnsi="仿宋" w:eastAsia="仿宋"/>
          <w:b/>
          <w:sz w:val="21"/>
          <w:szCs w:val="16"/>
        </w:rPr>
        <w:t>附件二：访谈相关照片</w:t>
      </w:r>
      <w:bookmarkEnd w:id="61"/>
    </w:p>
    <w:p>
      <w:pPr>
        <w:spacing w:after="0" w:line="408" w:lineRule="auto"/>
        <w:ind w:firstLine="440" w:firstLineChars="200"/>
        <w:jc w:val="both"/>
        <w:rPr>
          <w:rFonts w:hint="eastAsia" w:ascii="仿宋" w:hAnsi="仿宋" w:eastAsia="仿宋"/>
          <w:sz w:val="28"/>
          <w:szCs w:val="21"/>
        </w:rPr>
      </w:pPr>
      <w:r>
        <w:drawing>
          <wp:inline distT="0" distB="0" distL="0" distR="0">
            <wp:extent cx="2871470" cy="2085975"/>
            <wp:effectExtent l="0" t="0" r="5080" b="0"/>
            <wp:docPr id="527405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567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85592" cy="2096002"/>
                    </a:xfrm>
                    <a:prstGeom prst="rect">
                      <a:avLst/>
                    </a:prstGeom>
                    <a:noFill/>
                    <a:ln>
                      <a:noFill/>
                    </a:ln>
                  </pic:spPr>
                </pic:pic>
              </a:graphicData>
            </a:graphic>
          </wp:inline>
        </w:drawing>
      </w:r>
      <w:r>
        <w:rPr>
          <w:rFonts w:hint="eastAsia" w:ascii="仿宋" w:hAnsi="仿宋" w:eastAsia="仿宋"/>
          <w:sz w:val="28"/>
          <w:szCs w:val="21"/>
        </w:rPr>
        <w:t xml:space="preserve">  </w:t>
      </w:r>
      <w:r>
        <w:drawing>
          <wp:inline distT="0" distB="0" distL="0" distR="0">
            <wp:extent cx="2806065" cy="2105025"/>
            <wp:effectExtent l="0" t="0" r="0" b="0"/>
            <wp:docPr id="2385619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61968"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2815357" cy="2111518"/>
                    </a:xfrm>
                    <a:prstGeom prst="rect">
                      <a:avLst/>
                    </a:prstGeom>
                    <a:noFill/>
                    <a:ln>
                      <a:noFill/>
                    </a:ln>
                  </pic:spPr>
                </pic:pic>
              </a:graphicData>
            </a:graphic>
          </wp:inline>
        </w:drawing>
      </w:r>
      <w:r>
        <w:rPr>
          <w:rFonts w:hint="eastAsia" w:ascii="仿宋" w:hAnsi="仿宋" w:eastAsia="仿宋"/>
          <w:sz w:val="28"/>
          <w:szCs w:val="21"/>
        </w:rPr>
        <w:t xml:space="preserve">  </w:t>
      </w:r>
    </w:p>
    <w:p>
      <w:pPr>
        <w:spacing w:after="0" w:line="408" w:lineRule="auto"/>
        <w:ind w:firstLine="560" w:firstLineChars="200"/>
        <w:jc w:val="both"/>
        <w:rPr>
          <w:rFonts w:hint="eastAsia" w:ascii="仿宋" w:hAnsi="仿宋" w:eastAsia="仿宋"/>
          <w:sz w:val="28"/>
          <w:szCs w:val="21"/>
        </w:rPr>
      </w:pPr>
    </w:p>
    <w:p>
      <w:pPr>
        <w:spacing w:after="0" w:line="408" w:lineRule="auto"/>
        <w:ind w:firstLine="440" w:firstLineChars="200"/>
        <w:jc w:val="both"/>
        <w:rPr>
          <w:rFonts w:hint="eastAsia" w:ascii="仿宋" w:hAnsi="仿宋" w:eastAsia="仿宋"/>
          <w:sz w:val="28"/>
          <w:szCs w:val="21"/>
        </w:rPr>
      </w:pPr>
      <w:r>
        <w:drawing>
          <wp:inline distT="0" distB="0" distL="0" distR="0">
            <wp:extent cx="2871470" cy="2045970"/>
            <wp:effectExtent l="0" t="0" r="5080" b="0"/>
            <wp:docPr id="8675619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61949"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77313" cy="2050133"/>
                    </a:xfrm>
                    <a:prstGeom prst="rect">
                      <a:avLst/>
                    </a:prstGeom>
                    <a:noFill/>
                    <a:ln>
                      <a:noFill/>
                    </a:ln>
                  </pic:spPr>
                </pic:pic>
              </a:graphicData>
            </a:graphic>
          </wp:inline>
        </w:drawing>
      </w:r>
      <w:r>
        <w:rPr>
          <w:rFonts w:hint="eastAsia" w:ascii="仿宋" w:hAnsi="仿宋" w:eastAsia="仿宋"/>
          <w:sz w:val="28"/>
        </w:rPr>
        <w:t xml:space="preserve">  </w:t>
      </w:r>
      <w:r>
        <w:drawing>
          <wp:inline distT="0" distB="0" distL="0" distR="0">
            <wp:extent cx="2806065" cy="2007235"/>
            <wp:effectExtent l="0" t="0" r="0" b="0"/>
            <wp:docPr id="9107640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64021"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12717" cy="2011993"/>
                    </a:xfrm>
                    <a:prstGeom prst="rect">
                      <a:avLst/>
                    </a:prstGeom>
                    <a:noFill/>
                    <a:ln>
                      <a:noFill/>
                    </a:ln>
                  </pic:spPr>
                </pic:pic>
              </a:graphicData>
            </a:graphic>
          </wp:inline>
        </w:drawing>
      </w:r>
      <w:r>
        <w:rPr>
          <w:rFonts w:hint="eastAsia" w:ascii="仿宋" w:hAnsi="仿宋" w:eastAsia="仿宋"/>
          <w:sz w:val="28"/>
        </w:rPr>
        <w:t xml:space="preserve"> </w:t>
      </w:r>
    </w:p>
    <w:p>
      <w:pPr>
        <w:spacing w:after="0" w:line="408" w:lineRule="auto"/>
        <w:ind w:firstLine="560" w:firstLineChars="200"/>
        <w:jc w:val="both"/>
        <w:rPr>
          <w:rFonts w:hint="eastAsia" w:ascii="仿宋" w:hAnsi="仿宋" w:eastAsia="仿宋"/>
          <w:sz w:val="28"/>
          <w:szCs w:val="21"/>
        </w:rPr>
      </w:pPr>
    </w:p>
    <w:p>
      <w:pPr>
        <w:spacing w:after="0" w:line="408" w:lineRule="auto"/>
        <w:ind w:firstLine="440" w:firstLineChars="200"/>
        <w:jc w:val="both"/>
        <w:rPr>
          <w:rFonts w:hint="eastAsia" w:ascii="仿宋" w:hAnsi="仿宋" w:eastAsia="仿宋"/>
          <w:sz w:val="28"/>
          <w:szCs w:val="21"/>
        </w:rPr>
      </w:pPr>
      <w:r>
        <w:drawing>
          <wp:inline distT="0" distB="0" distL="0" distR="0">
            <wp:extent cx="2871470" cy="2153285"/>
            <wp:effectExtent l="0" t="0" r="5080" b="0"/>
            <wp:docPr id="3817598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59857"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79847" cy="2159886"/>
                    </a:xfrm>
                    <a:prstGeom prst="rect">
                      <a:avLst/>
                    </a:prstGeom>
                    <a:noFill/>
                    <a:ln>
                      <a:noFill/>
                    </a:ln>
                  </pic:spPr>
                </pic:pic>
              </a:graphicData>
            </a:graphic>
          </wp:inline>
        </w:drawing>
      </w:r>
      <w:r>
        <w:rPr>
          <w:rFonts w:hint="eastAsia" w:ascii="仿宋" w:hAnsi="仿宋" w:eastAsia="仿宋"/>
          <w:sz w:val="28"/>
        </w:rPr>
        <w:t xml:space="preserve">  </w:t>
      </w:r>
      <w:r>
        <w:drawing>
          <wp:inline distT="0" distB="0" distL="0" distR="0">
            <wp:extent cx="2853690" cy="2149475"/>
            <wp:effectExtent l="0" t="0" r="3810" b="3175"/>
            <wp:docPr id="152440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022"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66608" cy="2158823"/>
                    </a:xfrm>
                    <a:prstGeom prst="rect">
                      <a:avLst/>
                    </a:prstGeom>
                    <a:noFill/>
                    <a:ln>
                      <a:noFill/>
                    </a:ln>
                  </pic:spPr>
                </pic:pic>
              </a:graphicData>
            </a:graphic>
          </wp:inline>
        </w:drawing>
      </w:r>
      <w:r>
        <w:rPr>
          <w:rFonts w:hint="eastAsia" w:ascii="仿宋" w:hAnsi="仿宋" w:eastAsia="仿宋"/>
          <w:sz w:val="28"/>
        </w:rPr>
        <w:t xml:space="preserve">  </w:t>
      </w:r>
    </w:p>
    <w:p>
      <w:pPr>
        <w:spacing w:after="0" w:line="408" w:lineRule="auto"/>
        <w:ind w:firstLine="562" w:firstLineChars="200"/>
        <w:rPr>
          <w:rFonts w:ascii="仿宋" w:hAnsi="仿宋" w:eastAsia="仿宋"/>
          <w:b/>
          <w:sz w:val="28"/>
          <w:szCs w:val="21"/>
        </w:rPr>
      </w:pPr>
    </w:p>
    <w:p>
      <w:pPr>
        <w:spacing w:after="0" w:line="408" w:lineRule="auto"/>
        <w:ind w:firstLine="562" w:firstLineChars="200"/>
        <w:rPr>
          <w:rFonts w:hint="eastAsia" w:ascii="仿宋" w:hAnsi="仿宋" w:eastAsia="仿宋"/>
          <w:b/>
          <w:sz w:val="28"/>
          <w:szCs w:val="21"/>
        </w:rPr>
      </w:pPr>
    </w:p>
    <w:p>
      <w:pPr>
        <w:spacing w:after="0" w:line="408" w:lineRule="auto"/>
        <w:ind w:firstLine="562" w:firstLineChars="200"/>
        <w:rPr>
          <w:rFonts w:hint="eastAsia" w:ascii="仿宋" w:hAnsi="仿宋" w:eastAsia="仿宋"/>
          <w:b/>
          <w:sz w:val="28"/>
          <w:szCs w:val="21"/>
        </w:rPr>
      </w:pPr>
    </w:p>
    <w:p>
      <w:pPr>
        <w:spacing w:after="0" w:line="408" w:lineRule="auto"/>
        <w:ind w:firstLine="562" w:firstLineChars="200"/>
        <w:rPr>
          <w:rFonts w:hint="eastAsia" w:ascii="仿宋" w:hAnsi="仿宋" w:eastAsia="仿宋"/>
          <w:b/>
          <w:sz w:val="28"/>
          <w:szCs w:val="21"/>
        </w:rPr>
      </w:pPr>
    </w:p>
    <w:p>
      <w:pPr>
        <w:spacing w:after="0" w:line="408" w:lineRule="auto"/>
        <w:ind w:firstLine="562" w:firstLineChars="200"/>
        <w:rPr>
          <w:rFonts w:hint="eastAsia" w:ascii="仿宋" w:hAnsi="仿宋" w:eastAsia="仿宋"/>
          <w:b/>
          <w:sz w:val="28"/>
          <w:szCs w:val="21"/>
        </w:rPr>
      </w:pPr>
    </w:p>
    <w:p>
      <w:pPr>
        <w:spacing w:after="0" w:line="408" w:lineRule="auto"/>
        <w:ind w:firstLine="422" w:firstLineChars="200"/>
        <w:outlineLvl w:val="0"/>
        <w:rPr>
          <w:rFonts w:hint="eastAsia" w:ascii="仿宋" w:hAnsi="仿宋" w:eastAsia="仿宋"/>
          <w:b/>
          <w:sz w:val="21"/>
          <w:szCs w:val="16"/>
        </w:rPr>
      </w:pPr>
      <w:bookmarkStart w:id="62" w:name="_Toc177992471"/>
      <w:r>
        <w:rPr>
          <w:rFonts w:hint="eastAsia" w:ascii="仿宋" w:hAnsi="仿宋" w:eastAsia="仿宋"/>
          <w:b/>
          <w:sz w:val="21"/>
          <w:szCs w:val="16"/>
        </w:rPr>
        <w:t>附件二：绩效评价指标体系及得分情况表</w:t>
      </w:r>
      <w:bookmarkEnd w:id="62"/>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701"/>
        <w:gridCol w:w="1619"/>
        <w:gridCol w:w="1844"/>
        <w:gridCol w:w="3326"/>
        <w:gridCol w:w="492"/>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一级指标</w:t>
            </w:r>
          </w:p>
        </w:tc>
        <w:tc>
          <w:tcPr>
            <w:tcW w:w="809"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二级指标</w:t>
            </w:r>
          </w:p>
        </w:tc>
        <w:tc>
          <w:tcPr>
            <w:tcW w:w="770"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三级指标</w:t>
            </w:r>
          </w:p>
        </w:tc>
        <w:tc>
          <w:tcPr>
            <w:tcW w:w="877"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指标解释</w:t>
            </w:r>
          </w:p>
        </w:tc>
        <w:tc>
          <w:tcPr>
            <w:tcW w:w="1582"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评分标准</w:t>
            </w:r>
          </w:p>
        </w:tc>
        <w:tc>
          <w:tcPr>
            <w:tcW w:w="234"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分值</w:t>
            </w:r>
          </w:p>
        </w:tc>
        <w:tc>
          <w:tcPr>
            <w:tcW w:w="233" w:type="pct"/>
            <w:shd w:val="clear" w:color="auto" w:fill="D8D8D8" w:themeFill="background1" w:themeFillShade="D9"/>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决策（21%）</w:t>
            </w: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项目立项（6分）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立项依据充分性（3分）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项目立项是否符合法律法规、相关政策、发展规划以及部门职责，用以反映和考核项目立项依据情况。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①项目立项是否符合国家法律法规、国民经济发展规划和相关政策；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②项目立项是否符合行业发展规划和政策要求；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③项目立项是否与部门职责范围相符，属于部门履职所需；</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④项目是否属于公共财政支持范围，是否符合中央、地方事权支出责任划分原则；</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⑤项目是否与相关部门同类项目或部门内部相关项目重复。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一项不符扣0.6分，扣完为止。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立项程序规范性（3分）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项目申请、设立过程是否符合相关要求，用以反映和考核项目立项的规范情况。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①项目是否按照规定的程序申请设立；</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②审批文件、材料是否符合相关要求；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③事前是否已经过必要的可行性研究、专家论证、风险评估、绩效评估、集体决策。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绩效目标（7分）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绩效目标合理性（4分）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项目所设定的绩效目标是否依据充分，是否符合客观实际，用以反映和考核项目绩效目标与项目实施的相符情况。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①项目是否有绩效目标且目标设置是否合理；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②项目绩效目标与实际工作内容是否具有相关性；</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③绩效目标设置是否完整、可理解；</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④是否与预算确定的项目投资额或资金量相匹配。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绩效目标明确性（3分）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依据绩效目标设定的绩效指标是否清晰、细化、可衡量等，用以反映和考核项目绩效目标的明细化情况。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①是否将项目绩效目标细化分解为具体的绩效指标；</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②是否通过清晰、可衡量的指标值予以体现；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③是否与项目目标任务数或计划数相对应。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资金投入（8分）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预算编制科学性（4分）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项目预算编制是否经过科学论证、有明确标准，资金额度与年度目标是否相适应，用以反映和考核项目预算编制的科学性、合理性情况。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①预算编制是否经过科学论证；</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②预算内容与项目内容是否匹配；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③预算额度测算依据是否充分，是否按照标准编制；</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④预算确定的项目投资额或资金量是</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否与工作任务相匹配。</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资金分配合理性（4分）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项目预算资金分配是否有测算依据；与补助单位或地方实际是否相适应。用以反映和考核项目预算资金分配的科学性、合理性情况。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①预算资金分配依据是否充分；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②资金分配额度是否合理，与项目单位或地方实际是否相适应。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一项不符扣2分，扣完为止。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过程（32%）</w:t>
            </w: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采购方式和程序合规性（8分）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采购程序规范性（4分）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采购程序和执行是否合法合规。</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①是否有开展内部采购请示；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②是否有进行公开招标程序；</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③是否有进行中标公告程序；</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④是否有在规定时间内签订合同。</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采购意向公开（2分）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采购意向是否有按照法律法规的规定进行公开。</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①采购意向公示期是否不少于30天；</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②采购意向公开内容是否包含项目名称、采购需求概况、预算金额、预计采购时间。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采购公告公示（2分）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采购公告和采购文件是否按相关规定发布，是否免费获取。</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①采购公告和采购文件是否按相关规定发布；</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②采购公告是否免费获取。</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绩效管理（12分）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绩效自评合规性（4分）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是否按要求开展绩效自评工作；绩效自评报告是否报送及时，绩效自评是否真实可靠。</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①是否按要求开展绩效自评工作；</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②绩效自评报告是否报送及时；</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③绩效自评报告是否完整，数据是否全面、真实、准确，绩效指标是否细化量化和科学合理；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④绩效自评反映的问题是否具体，意见是否可行。</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预算执行率（5分）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项目预算资金是否按照计划执行，用以反映或考核项目预算执行情况（预算执行率=（实际支出资金/实际到位资金）×100%）。</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①预算执行率＞40%，得5分；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②40%≥预算执行率＞35%，得4分；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③35%≥预算执行率＞30%，得3分；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④30%≥预算执行率＞25%，得2分；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⑤25%≥预算执行率＞20%，得1分；</w:t>
            </w:r>
          </w:p>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⑥预算执行率﹤20%，得0分。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5</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资金使用合规性（3分）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项目资金使用是否符合相关的财务管理制度规定，用以反映和考核项目资金的规范运行情况。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①是否符合国家财经法规和财务管理制度以及有关专项资金管理办法的规定；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②资金的拨付是否有完整的审批程序和手续；</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③是否符合项目预算批复或合同规定的用途；</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④是否存在截留、挤占、挪用、虚列支出等情况。</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组织实施（12分）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管理制度健全性（2分）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项目实施单位的财务和业务管理制度是否健全，用以反映和考核财务和业务管理制度对项目顺利实施的保障情况。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①是否制定或具有相应的财务和业务管理制度；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②财务和业务管理制度是否合法、合规、完整。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合同规范性（3分）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合同是否符合法律法规的规定。</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①是否双方均进行盖章；</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②是否对付款进度安排进行了约定；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③是否对权利义务做了明确约定。</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付款进度的合规性（4分）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付款是否有按照合同的约定进行付款。</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①合同签订后，甲方在二十个工作日内支付合同总金额的30%；</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②在每月28日前向甲方及监理单位报送完成工作量报表和下月实施进度计划表来作为付款进度的依据。</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一项不符扣2分，扣完为止。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对项目实施的监督约束（3分）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在项目实施过程中，针对项目实施过程进行必要的监督与约束。</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①是否有定期对维保维护工作进行监督；</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②对供应商的服务形成书面验收记录。</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一项不符扣1.5分，扣完为止。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产出（25%）</w:t>
            </w: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产出数量（13分）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前端广播设备安装数量（3分）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2023年度在全县应急广播建设过程中前端广播设备的安装数量。</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①前端广播设备≥500台，得3分；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②500台&gt;前端广播设备≥400台，得2分；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③400台&gt;前端广播设备≥300台，得1分；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④300台&gt;前端广播设备，得0分。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前端广播设备安装完成率（4分）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2023年度在全县应急广播建设过程中前端广播设备的安装完成率。</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①安装完成率≥55%，得4分；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②55%&gt;安装完成率≥50%，得3分；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③50%&gt;安装完成率≥45%，得2分；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④45%&gt;安装完成率≥40%，得2分。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⑤40%&gt;安装完成率,得0分。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完成村级平台建设的数量（3分）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2023年度在全县应急广播已经完成村级平台建设的数量。</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①完成村级平台建设≥70个，得3分；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②70个&gt;完成村级平台建设≥60个，得2分；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③60个&gt;完成村级平台建设≥50个，得1分；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④50个&gt;完成村级平台建设，得0分。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完成三级专网对接的数量（3分）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2023年度在全县、镇、具有广播电视有线传输网络的三级专网对接数量。</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①三级专网对接≥130个，得3分；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②130个&gt;三级专网对接≥120个，得2分；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③120个&gt;三级专网对接≥110个，得1分；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④110个&gt;三级专网对接，得0分。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产出质量（12分）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应急广播的覆盖情况（3分）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所建设的应急广播是否能够实现对全县的覆盖。</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①是否覆盖至乡镇行政村(居)所在地；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②是否覆盖至学校医院、住宅小区、重点景区；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③是否覆盖至公园、广场、矿山企业、工业园区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应急广播的测试演练情况（3分）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是否有针对已经建设完成的应急广播进行测试演练并进行数据采集。</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①是否有制定演练方案；</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②是否有进行相关的测试与演练；</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一项不符扣1.5分，扣完为止。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镇级应急广播平台的建设情况(3分）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2023年度应急广播建设是否有按照计划或合同的要求完成相应的镇级平台的广播建设。</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①是否有完成龙浔镇的县级平台建设；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②是否有完成浔中镇的县级平台建设；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③是否有完成三班镇的县级平台建设；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县级应急广播平台的建设情况(3分）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2023年度应急广播建设是否有按照计划或合同的要求完成相应的县级平台的广播建设。</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①是否已完成县级平台调度控制子平台；</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②是否已完成基础服务子平台建设；</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③是否已完成服务器配置；</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效益（22%）</w:t>
            </w:r>
          </w:p>
        </w:tc>
        <w:tc>
          <w:tcPr>
            <w:tcW w:w="809" w:type="pct"/>
            <w:vMerge w:val="restar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社会效益（11分）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公益性教育广播的开展情况（3分）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2023年度使用广播开展公益性教育的情况。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①是否有播放关于党的主题教育；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②是否有播放关于安全知识教育；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③是否有播放关于森林防火教育。</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广播预警情况（3分）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2023年度发生突发事件时应急广播是否有相对应的进行预警。</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①发生台风时是否有进行广播预警；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②发生暴雨时是否有进行广播预警；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③发生低温寒流时是否有进行广播预警。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文化传播情况（3分）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2023年度使用广播开展文化教育传播的情况。</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①是否传播本地文化，弘扬传统价值观；</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②是否宣传法律政策，进行普法传播；</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③是否宣传国家新闻事实。</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应急广播的受益人员情况（2分）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受到应急广播影响所受益的人群分布，是否达到全覆盖。</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①受益群体包含老人；</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②受益群体包含中年；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③受益群体包含青年；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④受益群体包含少年。</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一项不符扣0.5分，扣完为止。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经济效益（4分）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应急广播的使用广度（4分）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应急广播在日常使用的范围。</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①是否用于改善公共服务；</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②是否用于灾害预警；</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③是否提高了社会治理水平；</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④是否运用在农业生产上。</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一项不符扣1分，扣完为止。</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可持续性指标（3分）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电子设备的寿命时间（3分）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应急广播体系中的电子设备所能使用的寿命时间。</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①8&gt;寿命时间≥5年，得3分；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②5年&gt;寿命时间≥3年，得2分；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③3年&gt;寿命时间，得1分。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pct"/>
            <w:vMerge w:val="continue"/>
            <w:shd w:val="clear" w:color="auto" w:fill="auto"/>
            <w:vAlign w:val="center"/>
          </w:tcPr>
          <w:p>
            <w:pPr>
              <w:adjustRightInd w:val="0"/>
              <w:snapToGrid w:val="0"/>
              <w:spacing w:after="0" w:line="408" w:lineRule="auto"/>
              <w:jc w:val="center"/>
              <w:rPr>
                <w:rFonts w:hint="eastAsia" w:ascii="仿宋" w:hAnsi="仿宋" w:eastAsia="仿宋"/>
                <w:bCs/>
                <w:snapToGrid w:val="0"/>
                <w:kern w:val="0"/>
                <w:sz w:val="18"/>
                <w:szCs w:val="21"/>
              </w:rPr>
            </w:pPr>
          </w:p>
        </w:tc>
        <w:tc>
          <w:tcPr>
            <w:tcW w:w="809"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满意度（4分）</w:t>
            </w:r>
          </w:p>
        </w:tc>
        <w:tc>
          <w:tcPr>
            <w:tcW w:w="770"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人民群众对应急广播满意度情况（4分）</w:t>
            </w:r>
          </w:p>
        </w:tc>
        <w:tc>
          <w:tcPr>
            <w:tcW w:w="877"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人民群众对应急广播的日常使用是否感到满意。</w:t>
            </w:r>
          </w:p>
        </w:tc>
        <w:tc>
          <w:tcPr>
            <w:tcW w:w="1582" w:type="pct"/>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评价要点：</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①非常满意，得4分；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②很满意，得3分；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③满意，得2分；</w:t>
            </w:r>
            <w:r>
              <w:rPr>
                <w:rFonts w:hint="eastAsia" w:ascii="仿宋" w:hAnsi="仿宋" w:eastAsia="仿宋"/>
                <w:bCs/>
                <w:snapToGrid w:val="0"/>
                <w:kern w:val="0"/>
                <w:sz w:val="18"/>
                <w:szCs w:val="21"/>
              </w:rPr>
              <w:br w:type="textWrapping"/>
            </w:r>
            <w:r>
              <w:rPr>
                <w:rFonts w:hint="eastAsia" w:ascii="仿宋" w:hAnsi="仿宋" w:eastAsia="仿宋"/>
                <w:bCs/>
                <w:snapToGrid w:val="0"/>
                <w:kern w:val="0"/>
                <w:sz w:val="18"/>
                <w:szCs w:val="21"/>
              </w:rPr>
              <w:t>④一般，得1分；</w:t>
            </w:r>
          </w:p>
        </w:tc>
        <w:tc>
          <w:tcPr>
            <w:tcW w:w="234"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c>
          <w:tcPr>
            <w:tcW w:w="233" w:type="pct"/>
            <w:shd w:val="clear" w:color="auto" w:fill="auto"/>
            <w:vAlign w:val="center"/>
          </w:tcPr>
          <w:p>
            <w:pPr>
              <w:adjustRightInd w:val="0"/>
              <w:snapToGrid w:val="0"/>
              <w:spacing w:after="0" w:line="408" w:lineRule="auto"/>
              <w:jc w:val="right"/>
              <w:rPr>
                <w:rFonts w:hint="eastAsia" w:ascii="仿宋" w:hAnsi="仿宋" w:eastAsia="仿宋"/>
                <w:bCs/>
                <w:snapToGrid w:val="0"/>
                <w:kern w:val="0"/>
                <w:sz w:val="18"/>
                <w:szCs w:val="21"/>
              </w:rPr>
            </w:pPr>
            <w:r>
              <w:rPr>
                <w:rFonts w:hint="eastAsia" w:ascii="仿宋" w:hAnsi="仿宋" w:eastAsia="仿宋"/>
                <w:bCs/>
                <w:snapToGrid w:val="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33" w:type="pct"/>
            <w:gridSpan w:val="5"/>
            <w:shd w:val="clear" w:color="auto" w:fill="auto"/>
            <w:vAlign w:val="center"/>
          </w:tcPr>
          <w:p>
            <w:pPr>
              <w:adjustRightInd w:val="0"/>
              <w:snapToGrid w:val="0"/>
              <w:spacing w:after="0" w:line="408" w:lineRule="auto"/>
              <w:rPr>
                <w:rFonts w:hint="eastAsia" w:ascii="仿宋" w:hAnsi="仿宋" w:eastAsia="仿宋"/>
                <w:bCs/>
                <w:snapToGrid w:val="0"/>
                <w:kern w:val="0"/>
                <w:sz w:val="18"/>
                <w:szCs w:val="21"/>
              </w:rPr>
            </w:pPr>
            <w:r>
              <w:rPr>
                <w:rFonts w:hint="eastAsia" w:ascii="仿宋" w:hAnsi="仿宋" w:eastAsia="仿宋"/>
                <w:bCs/>
                <w:snapToGrid w:val="0"/>
                <w:kern w:val="0"/>
                <w:sz w:val="18"/>
                <w:szCs w:val="21"/>
              </w:rPr>
              <w:t>总得分</w:t>
            </w:r>
          </w:p>
        </w:tc>
        <w:tc>
          <w:tcPr>
            <w:tcW w:w="467" w:type="pct"/>
            <w:gridSpan w:val="2"/>
            <w:shd w:val="clear" w:color="auto" w:fill="auto"/>
            <w:vAlign w:val="center"/>
          </w:tcPr>
          <w:p>
            <w:pPr>
              <w:adjustRightInd w:val="0"/>
              <w:snapToGrid w:val="0"/>
              <w:spacing w:after="0" w:line="408" w:lineRule="auto"/>
              <w:jc w:val="center"/>
              <w:rPr>
                <w:rFonts w:hint="eastAsia" w:ascii="仿宋" w:hAnsi="仿宋" w:eastAsia="仿宋"/>
                <w:b/>
                <w:snapToGrid w:val="0"/>
                <w:kern w:val="0"/>
                <w:sz w:val="18"/>
                <w:szCs w:val="21"/>
              </w:rPr>
            </w:pPr>
            <w:r>
              <w:rPr>
                <w:rFonts w:hint="eastAsia" w:ascii="仿宋" w:hAnsi="仿宋" w:eastAsia="仿宋"/>
                <w:b/>
                <w:snapToGrid w:val="0"/>
                <w:kern w:val="0"/>
                <w:sz w:val="18"/>
                <w:szCs w:val="21"/>
              </w:rPr>
              <w:t>93</w:t>
            </w:r>
          </w:p>
        </w:tc>
      </w:tr>
    </w:tbl>
    <w:p>
      <w:pPr>
        <w:spacing w:after="0" w:line="408" w:lineRule="auto"/>
        <w:ind w:firstLine="560" w:firstLineChars="200"/>
        <w:jc w:val="both"/>
        <w:rPr>
          <w:rFonts w:hint="eastAsia" w:ascii="仿宋" w:hAnsi="仿宋" w:eastAsia="仿宋"/>
          <w:sz w:val="28"/>
          <w:szCs w:val="21"/>
        </w:rPr>
      </w:pPr>
    </w:p>
    <w:sectPr>
      <w:footerReference r:id="rId7" w:type="default"/>
      <w:pgSz w:w="11906" w:h="16838"/>
      <w:pgMar w:top="720" w:right="771" w:bottom="1151" w:left="839" w:header="851" w:footer="34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hint="eastAsia"/>
      </w:rPr>
    </w:pPr>
  </w:p>
  <w:p>
    <w:pPr>
      <w:pStyle w:val="5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540274"/>
    </w:sdtPr>
    <w:sdtContent>
      <w:p>
        <w:pPr>
          <w:pStyle w:val="55"/>
          <w:jc w:val="center"/>
          <w:rPr>
            <w:rFonts w:hint="eastAsia"/>
          </w:rPr>
        </w:pPr>
        <w:r>
          <w:fldChar w:fldCharType="begin"/>
        </w:r>
        <w:r>
          <w:instrText xml:space="preserve">PAGE   \* MERGEFORMAT</w:instrText>
        </w:r>
        <w:r>
          <w:fldChar w:fldCharType="separate"/>
        </w:r>
        <w:r>
          <w:rPr>
            <w:lang w:val="zh-CN"/>
          </w:rPr>
          <w:t>1</w:t>
        </w:r>
        <w:r>
          <w:fldChar w:fldCharType="end"/>
        </w:r>
      </w:p>
    </w:sdtContent>
  </w:sdt>
  <w:p>
    <w:pPr>
      <w:pStyle w:val="5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YTE5ODdmYjI3NzA2NzYyYjIxY2E4ZWVjZjBhYWUifQ=="/>
    <w:docVar w:name="KSO_WPS_MARK_KEY" w:val="95a19bee-e25c-41fa-8f69-495707855c7e"/>
  </w:docVars>
  <w:rsids>
    <w:rsidRoot w:val="003F1829"/>
    <w:rsid w:val="00000E08"/>
    <w:rsid w:val="0000117A"/>
    <w:rsid w:val="000037D8"/>
    <w:rsid w:val="0000398C"/>
    <w:rsid w:val="00005F58"/>
    <w:rsid w:val="00006C57"/>
    <w:rsid w:val="0001032F"/>
    <w:rsid w:val="0001082F"/>
    <w:rsid w:val="00014F8B"/>
    <w:rsid w:val="00015811"/>
    <w:rsid w:val="00015A30"/>
    <w:rsid w:val="000172AE"/>
    <w:rsid w:val="00020667"/>
    <w:rsid w:val="000208A1"/>
    <w:rsid w:val="00021E96"/>
    <w:rsid w:val="000268AF"/>
    <w:rsid w:val="00026E99"/>
    <w:rsid w:val="000311F4"/>
    <w:rsid w:val="0003634E"/>
    <w:rsid w:val="00036BDF"/>
    <w:rsid w:val="00036C92"/>
    <w:rsid w:val="000371F9"/>
    <w:rsid w:val="00045E85"/>
    <w:rsid w:val="00047048"/>
    <w:rsid w:val="00050033"/>
    <w:rsid w:val="000518D0"/>
    <w:rsid w:val="00053338"/>
    <w:rsid w:val="0005334B"/>
    <w:rsid w:val="00053E8B"/>
    <w:rsid w:val="00054465"/>
    <w:rsid w:val="00057FA8"/>
    <w:rsid w:val="00060696"/>
    <w:rsid w:val="00060D63"/>
    <w:rsid w:val="00061C19"/>
    <w:rsid w:val="00061D58"/>
    <w:rsid w:val="00062F62"/>
    <w:rsid w:val="00063213"/>
    <w:rsid w:val="00064196"/>
    <w:rsid w:val="00064327"/>
    <w:rsid w:val="00064728"/>
    <w:rsid w:val="00064948"/>
    <w:rsid w:val="00064EDE"/>
    <w:rsid w:val="00065D3A"/>
    <w:rsid w:val="00066B7A"/>
    <w:rsid w:val="00067218"/>
    <w:rsid w:val="000674BA"/>
    <w:rsid w:val="00067962"/>
    <w:rsid w:val="00071AAC"/>
    <w:rsid w:val="000724BC"/>
    <w:rsid w:val="000754CB"/>
    <w:rsid w:val="000764BE"/>
    <w:rsid w:val="000777ED"/>
    <w:rsid w:val="00080E01"/>
    <w:rsid w:val="00082C23"/>
    <w:rsid w:val="00082CB9"/>
    <w:rsid w:val="00083E1D"/>
    <w:rsid w:val="00084DBB"/>
    <w:rsid w:val="00085C6A"/>
    <w:rsid w:val="00086E3E"/>
    <w:rsid w:val="000916B0"/>
    <w:rsid w:val="00091A57"/>
    <w:rsid w:val="000926FB"/>
    <w:rsid w:val="00093F91"/>
    <w:rsid w:val="000948FF"/>
    <w:rsid w:val="000A1BBE"/>
    <w:rsid w:val="000A4498"/>
    <w:rsid w:val="000A4FB2"/>
    <w:rsid w:val="000A547D"/>
    <w:rsid w:val="000A6A6C"/>
    <w:rsid w:val="000A73A2"/>
    <w:rsid w:val="000A78A2"/>
    <w:rsid w:val="000B01DA"/>
    <w:rsid w:val="000B148A"/>
    <w:rsid w:val="000B2B28"/>
    <w:rsid w:val="000B3575"/>
    <w:rsid w:val="000B3DD6"/>
    <w:rsid w:val="000B4455"/>
    <w:rsid w:val="000B57D6"/>
    <w:rsid w:val="000B6E9E"/>
    <w:rsid w:val="000B7343"/>
    <w:rsid w:val="000B79E2"/>
    <w:rsid w:val="000B7DA9"/>
    <w:rsid w:val="000C037B"/>
    <w:rsid w:val="000C26EC"/>
    <w:rsid w:val="000C2BAD"/>
    <w:rsid w:val="000C350F"/>
    <w:rsid w:val="000C488E"/>
    <w:rsid w:val="000C4CDD"/>
    <w:rsid w:val="000C57C1"/>
    <w:rsid w:val="000C5AEA"/>
    <w:rsid w:val="000C5D11"/>
    <w:rsid w:val="000D115C"/>
    <w:rsid w:val="000D1D81"/>
    <w:rsid w:val="000D2D1F"/>
    <w:rsid w:val="000D3752"/>
    <w:rsid w:val="000D51C9"/>
    <w:rsid w:val="000D63C0"/>
    <w:rsid w:val="000D6F7E"/>
    <w:rsid w:val="000E0BAB"/>
    <w:rsid w:val="000E1A4A"/>
    <w:rsid w:val="000E1B4E"/>
    <w:rsid w:val="000E2369"/>
    <w:rsid w:val="000E67D6"/>
    <w:rsid w:val="000E6C47"/>
    <w:rsid w:val="000F2C65"/>
    <w:rsid w:val="000F40EB"/>
    <w:rsid w:val="000F43AF"/>
    <w:rsid w:val="000F4A6C"/>
    <w:rsid w:val="000F53BA"/>
    <w:rsid w:val="000F5E2D"/>
    <w:rsid w:val="000F6DA0"/>
    <w:rsid w:val="001006DA"/>
    <w:rsid w:val="00101FC4"/>
    <w:rsid w:val="00104F6D"/>
    <w:rsid w:val="001060C4"/>
    <w:rsid w:val="00106500"/>
    <w:rsid w:val="00107BD9"/>
    <w:rsid w:val="00112FCC"/>
    <w:rsid w:val="00113147"/>
    <w:rsid w:val="00113470"/>
    <w:rsid w:val="001141E5"/>
    <w:rsid w:val="00114CDD"/>
    <w:rsid w:val="001150A9"/>
    <w:rsid w:val="001167DC"/>
    <w:rsid w:val="001207DF"/>
    <w:rsid w:val="00120F04"/>
    <w:rsid w:val="00124335"/>
    <w:rsid w:val="00124F30"/>
    <w:rsid w:val="001250AC"/>
    <w:rsid w:val="0012700F"/>
    <w:rsid w:val="001300A0"/>
    <w:rsid w:val="001325B8"/>
    <w:rsid w:val="00134924"/>
    <w:rsid w:val="00135FAB"/>
    <w:rsid w:val="00137865"/>
    <w:rsid w:val="00137E17"/>
    <w:rsid w:val="001429C6"/>
    <w:rsid w:val="00142C8E"/>
    <w:rsid w:val="0014641A"/>
    <w:rsid w:val="00146FE3"/>
    <w:rsid w:val="001529B2"/>
    <w:rsid w:val="00154416"/>
    <w:rsid w:val="00154487"/>
    <w:rsid w:val="00155497"/>
    <w:rsid w:val="001560B8"/>
    <w:rsid w:val="00156393"/>
    <w:rsid w:val="00160E10"/>
    <w:rsid w:val="00161D11"/>
    <w:rsid w:val="001642AA"/>
    <w:rsid w:val="001645A5"/>
    <w:rsid w:val="0016636B"/>
    <w:rsid w:val="0016646A"/>
    <w:rsid w:val="0016739A"/>
    <w:rsid w:val="001675D1"/>
    <w:rsid w:val="00171DB6"/>
    <w:rsid w:val="00171EA3"/>
    <w:rsid w:val="00173249"/>
    <w:rsid w:val="00175E0C"/>
    <w:rsid w:val="0017686D"/>
    <w:rsid w:val="00176B27"/>
    <w:rsid w:val="00180F22"/>
    <w:rsid w:val="00181F0A"/>
    <w:rsid w:val="0018248C"/>
    <w:rsid w:val="0018260B"/>
    <w:rsid w:val="00183738"/>
    <w:rsid w:val="00187225"/>
    <w:rsid w:val="00196ADA"/>
    <w:rsid w:val="00196B93"/>
    <w:rsid w:val="00197678"/>
    <w:rsid w:val="001A14E2"/>
    <w:rsid w:val="001A1889"/>
    <w:rsid w:val="001A20CD"/>
    <w:rsid w:val="001A2621"/>
    <w:rsid w:val="001A2B29"/>
    <w:rsid w:val="001A4784"/>
    <w:rsid w:val="001A53A8"/>
    <w:rsid w:val="001A56CF"/>
    <w:rsid w:val="001A5B1F"/>
    <w:rsid w:val="001A7F0B"/>
    <w:rsid w:val="001B14CB"/>
    <w:rsid w:val="001B5A7B"/>
    <w:rsid w:val="001C1113"/>
    <w:rsid w:val="001C3A78"/>
    <w:rsid w:val="001C464D"/>
    <w:rsid w:val="001C7551"/>
    <w:rsid w:val="001D2A26"/>
    <w:rsid w:val="001D4B1A"/>
    <w:rsid w:val="001D54B7"/>
    <w:rsid w:val="001D6DAF"/>
    <w:rsid w:val="001D78A4"/>
    <w:rsid w:val="001E0F91"/>
    <w:rsid w:val="001E2DD3"/>
    <w:rsid w:val="001E3B63"/>
    <w:rsid w:val="001E703C"/>
    <w:rsid w:val="001F1092"/>
    <w:rsid w:val="001F3B98"/>
    <w:rsid w:val="001F457F"/>
    <w:rsid w:val="001F4899"/>
    <w:rsid w:val="001F50DC"/>
    <w:rsid w:val="001F5270"/>
    <w:rsid w:val="001F5897"/>
    <w:rsid w:val="0020110C"/>
    <w:rsid w:val="0020181D"/>
    <w:rsid w:val="00204AF7"/>
    <w:rsid w:val="00205A72"/>
    <w:rsid w:val="002069B3"/>
    <w:rsid w:val="002070EF"/>
    <w:rsid w:val="00212B57"/>
    <w:rsid w:val="00215D6E"/>
    <w:rsid w:val="00223F0B"/>
    <w:rsid w:val="00225207"/>
    <w:rsid w:val="002278DB"/>
    <w:rsid w:val="00232CE5"/>
    <w:rsid w:val="002331CD"/>
    <w:rsid w:val="002336AB"/>
    <w:rsid w:val="002377FD"/>
    <w:rsid w:val="00240E29"/>
    <w:rsid w:val="00242A9E"/>
    <w:rsid w:val="00245446"/>
    <w:rsid w:val="00245EB2"/>
    <w:rsid w:val="00246A4F"/>
    <w:rsid w:val="00247286"/>
    <w:rsid w:val="002476C9"/>
    <w:rsid w:val="002505CD"/>
    <w:rsid w:val="00252ED3"/>
    <w:rsid w:val="002535FB"/>
    <w:rsid w:val="002560B6"/>
    <w:rsid w:val="00257322"/>
    <w:rsid w:val="00257EDA"/>
    <w:rsid w:val="00260037"/>
    <w:rsid w:val="00261BAC"/>
    <w:rsid w:val="002622BB"/>
    <w:rsid w:val="00265ECD"/>
    <w:rsid w:val="00270EF7"/>
    <w:rsid w:val="00272B21"/>
    <w:rsid w:val="00272D51"/>
    <w:rsid w:val="00273D2F"/>
    <w:rsid w:val="0027474D"/>
    <w:rsid w:val="00276A2A"/>
    <w:rsid w:val="00277119"/>
    <w:rsid w:val="00277B6C"/>
    <w:rsid w:val="00282824"/>
    <w:rsid w:val="00282D77"/>
    <w:rsid w:val="00283740"/>
    <w:rsid w:val="0028533B"/>
    <w:rsid w:val="00287143"/>
    <w:rsid w:val="00287930"/>
    <w:rsid w:val="00291E4D"/>
    <w:rsid w:val="002963F3"/>
    <w:rsid w:val="00297D18"/>
    <w:rsid w:val="002A32A4"/>
    <w:rsid w:val="002A359C"/>
    <w:rsid w:val="002A3FF5"/>
    <w:rsid w:val="002A45BC"/>
    <w:rsid w:val="002A4DED"/>
    <w:rsid w:val="002B0014"/>
    <w:rsid w:val="002B1A12"/>
    <w:rsid w:val="002B1CCA"/>
    <w:rsid w:val="002B1FBA"/>
    <w:rsid w:val="002B383A"/>
    <w:rsid w:val="002B5800"/>
    <w:rsid w:val="002B5CC8"/>
    <w:rsid w:val="002B6FCB"/>
    <w:rsid w:val="002B7060"/>
    <w:rsid w:val="002C09A5"/>
    <w:rsid w:val="002C0AAD"/>
    <w:rsid w:val="002C0BE6"/>
    <w:rsid w:val="002C1E98"/>
    <w:rsid w:val="002C2358"/>
    <w:rsid w:val="002C2702"/>
    <w:rsid w:val="002C3997"/>
    <w:rsid w:val="002C40CA"/>
    <w:rsid w:val="002C4CEB"/>
    <w:rsid w:val="002C7E9C"/>
    <w:rsid w:val="002D0392"/>
    <w:rsid w:val="002D1578"/>
    <w:rsid w:val="002D178D"/>
    <w:rsid w:val="002D2CAD"/>
    <w:rsid w:val="002D4A3E"/>
    <w:rsid w:val="002D4A8A"/>
    <w:rsid w:val="002D7D98"/>
    <w:rsid w:val="002D7DB4"/>
    <w:rsid w:val="002E0B33"/>
    <w:rsid w:val="002E14E1"/>
    <w:rsid w:val="002E19DB"/>
    <w:rsid w:val="002E5B44"/>
    <w:rsid w:val="002F13AD"/>
    <w:rsid w:val="002F2CD3"/>
    <w:rsid w:val="002F3633"/>
    <w:rsid w:val="002F3E8E"/>
    <w:rsid w:val="002F3FE9"/>
    <w:rsid w:val="002F5B77"/>
    <w:rsid w:val="003001C2"/>
    <w:rsid w:val="00305F07"/>
    <w:rsid w:val="00306ACC"/>
    <w:rsid w:val="00306D6E"/>
    <w:rsid w:val="00307C1E"/>
    <w:rsid w:val="00310DEA"/>
    <w:rsid w:val="00311708"/>
    <w:rsid w:val="00314240"/>
    <w:rsid w:val="003149BC"/>
    <w:rsid w:val="0031696C"/>
    <w:rsid w:val="00317461"/>
    <w:rsid w:val="003214C4"/>
    <w:rsid w:val="00327FE7"/>
    <w:rsid w:val="003341D2"/>
    <w:rsid w:val="00334BAD"/>
    <w:rsid w:val="003355E9"/>
    <w:rsid w:val="00337E49"/>
    <w:rsid w:val="003400FA"/>
    <w:rsid w:val="00340719"/>
    <w:rsid w:val="00342CD4"/>
    <w:rsid w:val="00344898"/>
    <w:rsid w:val="003461FE"/>
    <w:rsid w:val="00346202"/>
    <w:rsid w:val="003466C4"/>
    <w:rsid w:val="00346A78"/>
    <w:rsid w:val="00346C30"/>
    <w:rsid w:val="00347399"/>
    <w:rsid w:val="00347E6C"/>
    <w:rsid w:val="00350850"/>
    <w:rsid w:val="00350A3D"/>
    <w:rsid w:val="0035199B"/>
    <w:rsid w:val="003551B2"/>
    <w:rsid w:val="003552B4"/>
    <w:rsid w:val="0035621E"/>
    <w:rsid w:val="00360266"/>
    <w:rsid w:val="003658AE"/>
    <w:rsid w:val="00365DA7"/>
    <w:rsid w:val="00375336"/>
    <w:rsid w:val="0037753E"/>
    <w:rsid w:val="00380DCB"/>
    <w:rsid w:val="00380FAA"/>
    <w:rsid w:val="0038255C"/>
    <w:rsid w:val="00383514"/>
    <w:rsid w:val="00384C66"/>
    <w:rsid w:val="00385C7A"/>
    <w:rsid w:val="0038664E"/>
    <w:rsid w:val="0039013E"/>
    <w:rsid w:val="00390711"/>
    <w:rsid w:val="0039176F"/>
    <w:rsid w:val="00391CBC"/>
    <w:rsid w:val="003932C4"/>
    <w:rsid w:val="00393BE6"/>
    <w:rsid w:val="00397494"/>
    <w:rsid w:val="003A1181"/>
    <w:rsid w:val="003A2BD6"/>
    <w:rsid w:val="003A3798"/>
    <w:rsid w:val="003A5342"/>
    <w:rsid w:val="003A53A2"/>
    <w:rsid w:val="003A6730"/>
    <w:rsid w:val="003B4941"/>
    <w:rsid w:val="003B56FD"/>
    <w:rsid w:val="003B7E16"/>
    <w:rsid w:val="003C0DEF"/>
    <w:rsid w:val="003C14CC"/>
    <w:rsid w:val="003C1B2C"/>
    <w:rsid w:val="003C3ADF"/>
    <w:rsid w:val="003C4F6D"/>
    <w:rsid w:val="003C519F"/>
    <w:rsid w:val="003C5D7B"/>
    <w:rsid w:val="003C61BC"/>
    <w:rsid w:val="003D3A54"/>
    <w:rsid w:val="003D5768"/>
    <w:rsid w:val="003D5AE2"/>
    <w:rsid w:val="003E0038"/>
    <w:rsid w:val="003E1C82"/>
    <w:rsid w:val="003E2520"/>
    <w:rsid w:val="003E2EB5"/>
    <w:rsid w:val="003E3A06"/>
    <w:rsid w:val="003E56D6"/>
    <w:rsid w:val="003F075D"/>
    <w:rsid w:val="003F0953"/>
    <w:rsid w:val="003F1829"/>
    <w:rsid w:val="003F3EE0"/>
    <w:rsid w:val="003F4932"/>
    <w:rsid w:val="003F538D"/>
    <w:rsid w:val="003F57E1"/>
    <w:rsid w:val="003F683D"/>
    <w:rsid w:val="003F7709"/>
    <w:rsid w:val="0040036D"/>
    <w:rsid w:val="004058B1"/>
    <w:rsid w:val="0040650C"/>
    <w:rsid w:val="004109EF"/>
    <w:rsid w:val="00411357"/>
    <w:rsid w:val="004140AC"/>
    <w:rsid w:val="00414515"/>
    <w:rsid w:val="00416653"/>
    <w:rsid w:val="00416C04"/>
    <w:rsid w:val="004178A4"/>
    <w:rsid w:val="00421563"/>
    <w:rsid w:val="00421667"/>
    <w:rsid w:val="004250CC"/>
    <w:rsid w:val="00426AC8"/>
    <w:rsid w:val="0042711F"/>
    <w:rsid w:val="00431EFD"/>
    <w:rsid w:val="00434772"/>
    <w:rsid w:val="00434969"/>
    <w:rsid w:val="004369E3"/>
    <w:rsid w:val="004379D3"/>
    <w:rsid w:val="0044082A"/>
    <w:rsid w:val="00444C9E"/>
    <w:rsid w:val="00445557"/>
    <w:rsid w:val="00445823"/>
    <w:rsid w:val="00446F37"/>
    <w:rsid w:val="004471BB"/>
    <w:rsid w:val="00447A37"/>
    <w:rsid w:val="00451C56"/>
    <w:rsid w:val="004526AE"/>
    <w:rsid w:val="004528F9"/>
    <w:rsid w:val="00452900"/>
    <w:rsid w:val="0045402A"/>
    <w:rsid w:val="00454EF8"/>
    <w:rsid w:val="00461A98"/>
    <w:rsid w:val="00461B04"/>
    <w:rsid w:val="00462CD8"/>
    <w:rsid w:val="00464E6F"/>
    <w:rsid w:val="00464E76"/>
    <w:rsid w:val="0046509A"/>
    <w:rsid w:val="00465228"/>
    <w:rsid w:val="00472188"/>
    <w:rsid w:val="00472A19"/>
    <w:rsid w:val="0047326F"/>
    <w:rsid w:val="00474786"/>
    <w:rsid w:val="0048010A"/>
    <w:rsid w:val="0048034E"/>
    <w:rsid w:val="004808ED"/>
    <w:rsid w:val="00480BF3"/>
    <w:rsid w:val="004822EA"/>
    <w:rsid w:val="00483EDE"/>
    <w:rsid w:val="00485309"/>
    <w:rsid w:val="00485C28"/>
    <w:rsid w:val="004900BD"/>
    <w:rsid w:val="00490C68"/>
    <w:rsid w:val="00491140"/>
    <w:rsid w:val="0049362A"/>
    <w:rsid w:val="004A25A1"/>
    <w:rsid w:val="004A2670"/>
    <w:rsid w:val="004A3E92"/>
    <w:rsid w:val="004A4A27"/>
    <w:rsid w:val="004A578F"/>
    <w:rsid w:val="004A5CB8"/>
    <w:rsid w:val="004A5D3E"/>
    <w:rsid w:val="004B2275"/>
    <w:rsid w:val="004B4FB5"/>
    <w:rsid w:val="004B5DE1"/>
    <w:rsid w:val="004B6601"/>
    <w:rsid w:val="004B6E70"/>
    <w:rsid w:val="004C17BA"/>
    <w:rsid w:val="004C1F9E"/>
    <w:rsid w:val="004C4643"/>
    <w:rsid w:val="004C4EBF"/>
    <w:rsid w:val="004D054F"/>
    <w:rsid w:val="004D145E"/>
    <w:rsid w:val="004D1BD5"/>
    <w:rsid w:val="004D2B6C"/>
    <w:rsid w:val="004D3041"/>
    <w:rsid w:val="004D318F"/>
    <w:rsid w:val="004D6829"/>
    <w:rsid w:val="004D7293"/>
    <w:rsid w:val="004D7D35"/>
    <w:rsid w:val="004E0D10"/>
    <w:rsid w:val="004E130F"/>
    <w:rsid w:val="004E3F15"/>
    <w:rsid w:val="004F4108"/>
    <w:rsid w:val="004F58F0"/>
    <w:rsid w:val="004F75ED"/>
    <w:rsid w:val="004F7C15"/>
    <w:rsid w:val="00501476"/>
    <w:rsid w:val="00501E38"/>
    <w:rsid w:val="00501E67"/>
    <w:rsid w:val="00504C79"/>
    <w:rsid w:val="00504D2A"/>
    <w:rsid w:val="0050650F"/>
    <w:rsid w:val="005110CE"/>
    <w:rsid w:val="00511B60"/>
    <w:rsid w:val="00512032"/>
    <w:rsid w:val="005144C6"/>
    <w:rsid w:val="00515077"/>
    <w:rsid w:val="00515512"/>
    <w:rsid w:val="0051595B"/>
    <w:rsid w:val="00516AD7"/>
    <w:rsid w:val="00520027"/>
    <w:rsid w:val="005207A7"/>
    <w:rsid w:val="005217DD"/>
    <w:rsid w:val="00521D1F"/>
    <w:rsid w:val="00527527"/>
    <w:rsid w:val="005302CE"/>
    <w:rsid w:val="00533885"/>
    <w:rsid w:val="005344A4"/>
    <w:rsid w:val="00534515"/>
    <w:rsid w:val="005346AD"/>
    <w:rsid w:val="00536A51"/>
    <w:rsid w:val="005372CF"/>
    <w:rsid w:val="00540C44"/>
    <w:rsid w:val="00541549"/>
    <w:rsid w:val="00541F2C"/>
    <w:rsid w:val="00543B5C"/>
    <w:rsid w:val="00545B54"/>
    <w:rsid w:val="00546C50"/>
    <w:rsid w:val="005474E2"/>
    <w:rsid w:val="00551D26"/>
    <w:rsid w:val="0055307A"/>
    <w:rsid w:val="005531CD"/>
    <w:rsid w:val="005542AA"/>
    <w:rsid w:val="0055455D"/>
    <w:rsid w:val="00554A71"/>
    <w:rsid w:val="00556974"/>
    <w:rsid w:val="00556F99"/>
    <w:rsid w:val="0056036F"/>
    <w:rsid w:val="0056067E"/>
    <w:rsid w:val="005607E0"/>
    <w:rsid w:val="00563A89"/>
    <w:rsid w:val="00563ADB"/>
    <w:rsid w:val="0056592D"/>
    <w:rsid w:val="00567006"/>
    <w:rsid w:val="00570A3F"/>
    <w:rsid w:val="00570DFE"/>
    <w:rsid w:val="00573414"/>
    <w:rsid w:val="0057405A"/>
    <w:rsid w:val="005748B2"/>
    <w:rsid w:val="0058021D"/>
    <w:rsid w:val="00580CC0"/>
    <w:rsid w:val="00584FF2"/>
    <w:rsid w:val="005864C1"/>
    <w:rsid w:val="00586854"/>
    <w:rsid w:val="00586A21"/>
    <w:rsid w:val="00592257"/>
    <w:rsid w:val="00592937"/>
    <w:rsid w:val="005967B3"/>
    <w:rsid w:val="00596951"/>
    <w:rsid w:val="005A170B"/>
    <w:rsid w:val="005A19AC"/>
    <w:rsid w:val="005A2351"/>
    <w:rsid w:val="005A2605"/>
    <w:rsid w:val="005A4B58"/>
    <w:rsid w:val="005A529A"/>
    <w:rsid w:val="005B0165"/>
    <w:rsid w:val="005B126A"/>
    <w:rsid w:val="005B2C48"/>
    <w:rsid w:val="005B2F09"/>
    <w:rsid w:val="005B4428"/>
    <w:rsid w:val="005B44EB"/>
    <w:rsid w:val="005B52F2"/>
    <w:rsid w:val="005B55DA"/>
    <w:rsid w:val="005B6C53"/>
    <w:rsid w:val="005C1925"/>
    <w:rsid w:val="005C4772"/>
    <w:rsid w:val="005C61C9"/>
    <w:rsid w:val="005C679E"/>
    <w:rsid w:val="005C68D9"/>
    <w:rsid w:val="005D03D9"/>
    <w:rsid w:val="005D14C6"/>
    <w:rsid w:val="005D24E4"/>
    <w:rsid w:val="005D4937"/>
    <w:rsid w:val="005D7672"/>
    <w:rsid w:val="005E162E"/>
    <w:rsid w:val="005E17DC"/>
    <w:rsid w:val="005E1DB1"/>
    <w:rsid w:val="005E2DE3"/>
    <w:rsid w:val="005E4211"/>
    <w:rsid w:val="005E4663"/>
    <w:rsid w:val="005E5E08"/>
    <w:rsid w:val="005F1418"/>
    <w:rsid w:val="005F148E"/>
    <w:rsid w:val="005F516F"/>
    <w:rsid w:val="005F520C"/>
    <w:rsid w:val="005F56E0"/>
    <w:rsid w:val="005F5A81"/>
    <w:rsid w:val="005F668B"/>
    <w:rsid w:val="005F791B"/>
    <w:rsid w:val="00602118"/>
    <w:rsid w:val="00604B5E"/>
    <w:rsid w:val="00606056"/>
    <w:rsid w:val="00606728"/>
    <w:rsid w:val="0060769D"/>
    <w:rsid w:val="0061171F"/>
    <w:rsid w:val="0061214A"/>
    <w:rsid w:val="00613098"/>
    <w:rsid w:val="00613FBF"/>
    <w:rsid w:val="006145CF"/>
    <w:rsid w:val="0061561C"/>
    <w:rsid w:val="00615DDE"/>
    <w:rsid w:val="006204CA"/>
    <w:rsid w:val="006213AC"/>
    <w:rsid w:val="006233E4"/>
    <w:rsid w:val="006241F0"/>
    <w:rsid w:val="006244D5"/>
    <w:rsid w:val="00625E60"/>
    <w:rsid w:val="006266FE"/>
    <w:rsid w:val="0063057C"/>
    <w:rsid w:val="006307D2"/>
    <w:rsid w:val="00633046"/>
    <w:rsid w:val="006332CC"/>
    <w:rsid w:val="00633591"/>
    <w:rsid w:val="00634D36"/>
    <w:rsid w:val="00636EAC"/>
    <w:rsid w:val="0063751B"/>
    <w:rsid w:val="00637539"/>
    <w:rsid w:val="00637844"/>
    <w:rsid w:val="0064095E"/>
    <w:rsid w:val="00642CE5"/>
    <w:rsid w:val="006453DB"/>
    <w:rsid w:val="00645B96"/>
    <w:rsid w:val="00645C60"/>
    <w:rsid w:val="0064618D"/>
    <w:rsid w:val="00646578"/>
    <w:rsid w:val="0065020B"/>
    <w:rsid w:val="006522EF"/>
    <w:rsid w:val="006540D1"/>
    <w:rsid w:val="006552BE"/>
    <w:rsid w:val="00656D28"/>
    <w:rsid w:val="00661D9F"/>
    <w:rsid w:val="006626B0"/>
    <w:rsid w:val="006660B5"/>
    <w:rsid w:val="006667F1"/>
    <w:rsid w:val="0066707A"/>
    <w:rsid w:val="0066720F"/>
    <w:rsid w:val="0067034F"/>
    <w:rsid w:val="006716CF"/>
    <w:rsid w:val="00671866"/>
    <w:rsid w:val="00673725"/>
    <w:rsid w:val="00676CB8"/>
    <w:rsid w:val="0067777C"/>
    <w:rsid w:val="006777A2"/>
    <w:rsid w:val="00680844"/>
    <w:rsid w:val="006811DA"/>
    <w:rsid w:val="00681A39"/>
    <w:rsid w:val="00684E43"/>
    <w:rsid w:val="006862A2"/>
    <w:rsid w:val="00687C35"/>
    <w:rsid w:val="00692362"/>
    <w:rsid w:val="00694F31"/>
    <w:rsid w:val="00695BB8"/>
    <w:rsid w:val="006962B5"/>
    <w:rsid w:val="006A0497"/>
    <w:rsid w:val="006A0B0E"/>
    <w:rsid w:val="006A1B27"/>
    <w:rsid w:val="006A4FDE"/>
    <w:rsid w:val="006A6AC1"/>
    <w:rsid w:val="006B2EC9"/>
    <w:rsid w:val="006B412C"/>
    <w:rsid w:val="006B43BA"/>
    <w:rsid w:val="006B5E93"/>
    <w:rsid w:val="006B5EF0"/>
    <w:rsid w:val="006B66A2"/>
    <w:rsid w:val="006B6DCA"/>
    <w:rsid w:val="006C2BCB"/>
    <w:rsid w:val="006C4D02"/>
    <w:rsid w:val="006C5301"/>
    <w:rsid w:val="006D0C73"/>
    <w:rsid w:val="006D101F"/>
    <w:rsid w:val="006D2D92"/>
    <w:rsid w:val="006D47FF"/>
    <w:rsid w:val="006D5996"/>
    <w:rsid w:val="006D6649"/>
    <w:rsid w:val="006D688B"/>
    <w:rsid w:val="006E02F7"/>
    <w:rsid w:val="006E2752"/>
    <w:rsid w:val="006E41A9"/>
    <w:rsid w:val="006E645F"/>
    <w:rsid w:val="006E6574"/>
    <w:rsid w:val="006E706C"/>
    <w:rsid w:val="006F0830"/>
    <w:rsid w:val="006F0DCE"/>
    <w:rsid w:val="006F1C5C"/>
    <w:rsid w:val="006F2308"/>
    <w:rsid w:val="006F2CC4"/>
    <w:rsid w:val="006F480B"/>
    <w:rsid w:val="006F5C5C"/>
    <w:rsid w:val="006F706E"/>
    <w:rsid w:val="006F736C"/>
    <w:rsid w:val="0070125A"/>
    <w:rsid w:val="007019B5"/>
    <w:rsid w:val="00701C44"/>
    <w:rsid w:val="007035E4"/>
    <w:rsid w:val="00703A54"/>
    <w:rsid w:val="007051C6"/>
    <w:rsid w:val="007065EA"/>
    <w:rsid w:val="00707C85"/>
    <w:rsid w:val="00710656"/>
    <w:rsid w:val="00711E8D"/>
    <w:rsid w:val="0071448F"/>
    <w:rsid w:val="00715186"/>
    <w:rsid w:val="00715B67"/>
    <w:rsid w:val="007170E9"/>
    <w:rsid w:val="00727000"/>
    <w:rsid w:val="007312DD"/>
    <w:rsid w:val="00731F56"/>
    <w:rsid w:val="00732A34"/>
    <w:rsid w:val="00733D40"/>
    <w:rsid w:val="00733E86"/>
    <w:rsid w:val="00734304"/>
    <w:rsid w:val="00734522"/>
    <w:rsid w:val="00734591"/>
    <w:rsid w:val="00735DCC"/>
    <w:rsid w:val="00737148"/>
    <w:rsid w:val="00737FB6"/>
    <w:rsid w:val="00742C76"/>
    <w:rsid w:val="00743C3B"/>
    <w:rsid w:val="00743E4A"/>
    <w:rsid w:val="00744A0C"/>
    <w:rsid w:val="0074759B"/>
    <w:rsid w:val="007501ED"/>
    <w:rsid w:val="00754DEE"/>
    <w:rsid w:val="00755635"/>
    <w:rsid w:val="007560A0"/>
    <w:rsid w:val="007565CE"/>
    <w:rsid w:val="00760E08"/>
    <w:rsid w:val="0076374B"/>
    <w:rsid w:val="0076410C"/>
    <w:rsid w:val="007659A3"/>
    <w:rsid w:val="00765C46"/>
    <w:rsid w:val="00765EF7"/>
    <w:rsid w:val="00766008"/>
    <w:rsid w:val="00767A0E"/>
    <w:rsid w:val="007701FC"/>
    <w:rsid w:val="0077030B"/>
    <w:rsid w:val="00771D79"/>
    <w:rsid w:val="007727A1"/>
    <w:rsid w:val="00772FE1"/>
    <w:rsid w:val="0077429D"/>
    <w:rsid w:val="00774677"/>
    <w:rsid w:val="007753C4"/>
    <w:rsid w:val="0077784C"/>
    <w:rsid w:val="00780A6F"/>
    <w:rsid w:val="007831C0"/>
    <w:rsid w:val="007831F3"/>
    <w:rsid w:val="00783932"/>
    <w:rsid w:val="00785003"/>
    <w:rsid w:val="00785400"/>
    <w:rsid w:val="0078797B"/>
    <w:rsid w:val="007913AB"/>
    <w:rsid w:val="00791732"/>
    <w:rsid w:val="007922F7"/>
    <w:rsid w:val="00794A99"/>
    <w:rsid w:val="0079532E"/>
    <w:rsid w:val="007A00BB"/>
    <w:rsid w:val="007A0726"/>
    <w:rsid w:val="007A07C2"/>
    <w:rsid w:val="007A13EF"/>
    <w:rsid w:val="007A1D60"/>
    <w:rsid w:val="007A2168"/>
    <w:rsid w:val="007A7BDC"/>
    <w:rsid w:val="007B0F29"/>
    <w:rsid w:val="007B1385"/>
    <w:rsid w:val="007B1D1A"/>
    <w:rsid w:val="007B1F18"/>
    <w:rsid w:val="007B2405"/>
    <w:rsid w:val="007B3DC4"/>
    <w:rsid w:val="007B4663"/>
    <w:rsid w:val="007B5246"/>
    <w:rsid w:val="007B69BB"/>
    <w:rsid w:val="007B7B2D"/>
    <w:rsid w:val="007B7D50"/>
    <w:rsid w:val="007C1059"/>
    <w:rsid w:val="007C3A99"/>
    <w:rsid w:val="007C642D"/>
    <w:rsid w:val="007C745A"/>
    <w:rsid w:val="007D083F"/>
    <w:rsid w:val="007D1990"/>
    <w:rsid w:val="007E1265"/>
    <w:rsid w:val="007E42DC"/>
    <w:rsid w:val="007E4DE5"/>
    <w:rsid w:val="007E53DE"/>
    <w:rsid w:val="007E7D08"/>
    <w:rsid w:val="007F2428"/>
    <w:rsid w:val="007F3610"/>
    <w:rsid w:val="007F471C"/>
    <w:rsid w:val="007F58AD"/>
    <w:rsid w:val="008001AA"/>
    <w:rsid w:val="00803079"/>
    <w:rsid w:val="00805B78"/>
    <w:rsid w:val="00805D45"/>
    <w:rsid w:val="00811BB8"/>
    <w:rsid w:val="00811CB6"/>
    <w:rsid w:val="008124BE"/>
    <w:rsid w:val="00812EF3"/>
    <w:rsid w:val="0081490B"/>
    <w:rsid w:val="0081510B"/>
    <w:rsid w:val="00817149"/>
    <w:rsid w:val="008174BD"/>
    <w:rsid w:val="00821F6B"/>
    <w:rsid w:val="008227CA"/>
    <w:rsid w:val="00824621"/>
    <w:rsid w:val="00824EC1"/>
    <w:rsid w:val="00825157"/>
    <w:rsid w:val="008258A8"/>
    <w:rsid w:val="00826164"/>
    <w:rsid w:val="0082697D"/>
    <w:rsid w:val="00832FE0"/>
    <w:rsid w:val="008331EA"/>
    <w:rsid w:val="008332B9"/>
    <w:rsid w:val="00833EAD"/>
    <w:rsid w:val="00834CB7"/>
    <w:rsid w:val="00834CD2"/>
    <w:rsid w:val="0083578A"/>
    <w:rsid w:val="008359E0"/>
    <w:rsid w:val="00835D33"/>
    <w:rsid w:val="00840159"/>
    <w:rsid w:val="008407AA"/>
    <w:rsid w:val="00841D16"/>
    <w:rsid w:val="008421AD"/>
    <w:rsid w:val="008439BA"/>
    <w:rsid w:val="00843C84"/>
    <w:rsid w:val="008441FF"/>
    <w:rsid w:val="008449D8"/>
    <w:rsid w:val="00844F5B"/>
    <w:rsid w:val="0084581F"/>
    <w:rsid w:val="00845FEA"/>
    <w:rsid w:val="0084701F"/>
    <w:rsid w:val="0084705A"/>
    <w:rsid w:val="008503C6"/>
    <w:rsid w:val="00850F23"/>
    <w:rsid w:val="00854015"/>
    <w:rsid w:val="0085436D"/>
    <w:rsid w:val="0086011C"/>
    <w:rsid w:val="00862490"/>
    <w:rsid w:val="00862FD3"/>
    <w:rsid w:val="00863AF3"/>
    <w:rsid w:val="00866154"/>
    <w:rsid w:val="0087157F"/>
    <w:rsid w:val="008765A2"/>
    <w:rsid w:val="00880E7A"/>
    <w:rsid w:val="00883485"/>
    <w:rsid w:val="00883DF5"/>
    <w:rsid w:val="0088423F"/>
    <w:rsid w:val="00884B1A"/>
    <w:rsid w:val="00887E80"/>
    <w:rsid w:val="00891130"/>
    <w:rsid w:val="00891196"/>
    <w:rsid w:val="008919AA"/>
    <w:rsid w:val="00894FF2"/>
    <w:rsid w:val="008962E5"/>
    <w:rsid w:val="00897DB8"/>
    <w:rsid w:val="008A1297"/>
    <w:rsid w:val="008A2566"/>
    <w:rsid w:val="008A27FA"/>
    <w:rsid w:val="008A2EB0"/>
    <w:rsid w:val="008A3C36"/>
    <w:rsid w:val="008A5DCD"/>
    <w:rsid w:val="008A5FAB"/>
    <w:rsid w:val="008A7C7E"/>
    <w:rsid w:val="008B0171"/>
    <w:rsid w:val="008B0F55"/>
    <w:rsid w:val="008B2C7D"/>
    <w:rsid w:val="008B5A4B"/>
    <w:rsid w:val="008B6DEC"/>
    <w:rsid w:val="008C0B7B"/>
    <w:rsid w:val="008C1FED"/>
    <w:rsid w:val="008C248A"/>
    <w:rsid w:val="008C2880"/>
    <w:rsid w:val="008C6565"/>
    <w:rsid w:val="008C6C5D"/>
    <w:rsid w:val="008C6C82"/>
    <w:rsid w:val="008C7F61"/>
    <w:rsid w:val="008D320E"/>
    <w:rsid w:val="008D3E91"/>
    <w:rsid w:val="008D5DB9"/>
    <w:rsid w:val="008D68D8"/>
    <w:rsid w:val="008D74DC"/>
    <w:rsid w:val="008D7B46"/>
    <w:rsid w:val="008E13ED"/>
    <w:rsid w:val="008E20A2"/>
    <w:rsid w:val="008E2374"/>
    <w:rsid w:val="008E65CF"/>
    <w:rsid w:val="008E6857"/>
    <w:rsid w:val="008E6E4A"/>
    <w:rsid w:val="008E6EC3"/>
    <w:rsid w:val="008F179D"/>
    <w:rsid w:val="008F42AE"/>
    <w:rsid w:val="008F646B"/>
    <w:rsid w:val="008F724A"/>
    <w:rsid w:val="008F7EB9"/>
    <w:rsid w:val="00904F07"/>
    <w:rsid w:val="00906232"/>
    <w:rsid w:val="00906A2C"/>
    <w:rsid w:val="00911067"/>
    <w:rsid w:val="009116C8"/>
    <w:rsid w:val="009120BA"/>
    <w:rsid w:val="0091286C"/>
    <w:rsid w:val="0091419F"/>
    <w:rsid w:val="0091492A"/>
    <w:rsid w:val="00921C63"/>
    <w:rsid w:val="00921E37"/>
    <w:rsid w:val="00922351"/>
    <w:rsid w:val="0092431C"/>
    <w:rsid w:val="00926EC1"/>
    <w:rsid w:val="00932F3F"/>
    <w:rsid w:val="00933DFA"/>
    <w:rsid w:val="00936459"/>
    <w:rsid w:val="0093779E"/>
    <w:rsid w:val="00940AC0"/>
    <w:rsid w:val="00941291"/>
    <w:rsid w:val="00942ADB"/>
    <w:rsid w:val="009449D6"/>
    <w:rsid w:val="009463ED"/>
    <w:rsid w:val="00946A8B"/>
    <w:rsid w:val="00946D0F"/>
    <w:rsid w:val="00946E29"/>
    <w:rsid w:val="00950A94"/>
    <w:rsid w:val="0095199B"/>
    <w:rsid w:val="00952345"/>
    <w:rsid w:val="00954729"/>
    <w:rsid w:val="0095664C"/>
    <w:rsid w:val="00956D80"/>
    <w:rsid w:val="00961F38"/>
    <w:rsid w:val="009626D1"/>
    <w:rsid w:val="00962883"/>
    <w:rsid w:val="00964741"/>
    <w:rsid w:val="009652C5"/>
    <w:rsid w:val="0097053C"/>
    <w:rsid w:val="009708A1"/>
    <w:rsid w:val="00974508"/>
    <w:rsid w:val="00974AD1"/>
    <w:rsid w:val="00974B62"/>
    <w:rsid w:val="0098057A"/>
    <w:rsid w:val="009814B8"/>
    <w:rsid w:val="00981685"/>
    <w:rsid w:val="009824AB"/>
    <w:rsid w:val="009826D8"/>
    <w:rsid w:val="00982E17"/>
    <w:rsid w:val="00983F99"/>
    <w:rsid w:val="00984B5D"/>
    <w:rsid w:val="00984BBC"/>
    <w:rsid w:val="009854E5"/>
    <w:rsid w:val="00985D04"/>
    <w:rsid w:val="0098609C"/>
    <w:rsid w:val="0098717D"/>
    <w:rsid w:val="009927D9"/>
    <w:rsid w:val="00993585"/>
    <w:rsid w:val="00993A78"/>
    <w:rsid w:val="009955E0"/>
    <w:rsid w:val="009A2938"/>
    <w:rsid w:val="009A2D58"/>
    <w:rsid w:val="009A3A86"/>
    <w:rsid w:val="009A4CA4"/>
    <w:rsid w:val="009A539B"/>
    <w:rsid w:val="009A5B86"/>
    <w:rsid w:val="009B2624"/>
    <w:rsid w:val="009B2A84"/>
    <w:rsid w:val="009B39E6"/>
    <w:rsid w:val="009B49CD"/>
    <w:rsid w:val="009B4D7B"/>
    <w:rsid w:val="009B547E"/>
    <w:rsid w:val="009B69C6"/>
    <w:rsid w:val="009B75AF"/>
    <w:rsid w:val="009B77D4"/>
    <w:rsid w:val="009C0BCB"/>
    <w:rsid w:val="009C0CD4"/>
    <w:rsid w:val="009C171F"/>
    <w:rsid w:val="009C1AD4"/>
    <w:rsid w:val="009C3190"/>
    <w:rsid w:val="009C3F21"/>
    <w:rsid w:val="009C6889"/>
    <w:rsid w:val="009C7FEE"/>
    <w:rsid w:val="009D018C"/>
    <w:rsid w:val="009D01EB"/>
    <w:rsid w:val="009D022F"/>
    <w:rsid w:val="009D10D9"/>
    <w:rsid w:val="009D11DE"/>
    <w:rsid w:val="009D17E9"/>
    <w:rsid w:val="009D27FA"/>
    <w:rsid w:val="009D3441"/>
    <w:rsid w:val="009D5F0B"/>
    <w:rsid w:val="009E2128"/>
    <w:rsid w:val="009E3B8B"/>
    <w:rsid w:val="009E4EDA"/>
    <w:rsid w:val="009F0A3E"/>
    <w:rsid w:val="009F2274"/>
    <w:rsid w:val="009F2F70"/>
    <w:rsid w:val="009F47BC"/>
    <w:rsid w:val="009F4FB1"/>
    <w:rsid w:val="009F602D"/>
    <w:rsid w:val="009F616C"/>
    <w:rsid w:val="00A022C5"/>
    <w:rsid w:val="00A0419A"/>
    <w:rsid w:val="00A05108"/>
    <w:rsid w:val="00A07B99"/>
    <w:rsid w:val="00A116D3"/>
    <w:rsid w:val="00A1220E"/>
    <w:rsid w:val="00A13932"/>
    <w:rsid w:val="00A14CF6"/>
    <w:rsid w:val="00A2043C"/>
    <w:rsid w:val="00A2047B"/>
    <w:rsid w:val="00A20A96"/>
    <w:rsid w:val="00A217C9"/>
    <w:rsid w:val="00A2194A"/>
    <w:rsid w:val="00A23F64"/>
    <w:rsid w:val="00A24272"/>
    <w:rsid w:val="00A24458"/>
    <w:rsid w:val="00A2464B"/>
    <w:rsid w:val="00A2613A"/>
    <w:rsid w:val="00A27055"/>
    <w:rsid w:val="00A27727"/>
    <w:rsid w:val="00A321AE"/>
    <w:rsid w:val="00A32CA6"/>
    <w:rsid w:val="00A33C8E"/>
    <w:rsid w:val="00A35A53"/>
    <w:rsid w:val="00A35B45"/>
    <w:rsid w:val="00A36436"/>
    <w:rsid w:val="00A40284"/>
    <w:rsid w:val="00A41939"/>
    <w:rsid w:val="00A42B7A"/>
    <w:rsid w:val="00A44029"/>
    <w:rsid w:val="00A53684"/>
    <w:rsid w:val="00A53C7C"/>
    <w:rsid w:val="00A53D5C"/>
    <w:rsid w:val="00A541FB"/>
    <w:rsid w:val="00A54250"/>
    <w:rsid w:val="00A544DE"/>
    <w:rsid w:val="00A575FF"/>
    <w:rsid w:val="00A605D4"/>
    <w:rsid w:val="00A615D7"/>
    <w:rsid w:val="00A61A1E"/>
    <w:rsid w:val="00A62C0E"/>
    <w:rsid w:val="00A62C70"/>
    <w:rsid w:val="00A62ED3"/>
    <w:rsid w:val="00A64853"/>
    <w:rsid w:val="00A67489"/>
    <w:rsid w:val="00A702B1"/>
    <w:rsid w:val="00A70623"/>
    <w:rsid w:val="00A70767"/>
    <w:rsid w:val="00A72B9B"/>
    <w:rsid w:val="00A73B66"/>
    <w:rsid w:val="00A76FE4"/>
    <w:rsid w:val="00A83652"/>
    <w:rsid w:val="00A85661"/>
    <w:rsid w:val="00A8790E"/>
    <w:rsid w:val="00A9072D"/>
    <w:rsid w:val="00A9474C"/>
    <w:rsid w:val="00A9671D"/>
    <w:rsid w:val="00AA02CA"/>
    <w:rsid w:val="00AA1E8D"/>
    <w:rsid w:val="00AA227D"/>
    <w:rsid w:val="00AA353A"/>
    <w:rsid w:val="00AA36B9"/>
    <w:rsid w:val="00AA4891"/>
    <w:rsid w:val="00AA4C05"/>
    <w:rsid w:val="00AA57A9"/>
    <w:rsid w:val="00AA5B42"/>
    <w:rsid w:val="00AA71BF"/>
    <w:rsid w:val="00AB1243"/>
    <w:rsid w:val="00AB190D"/>
    <w:rsid w:val="00AB283A"/>
    <w:rsid w:val="00AB5161"/>
    <w:rsid w:val="00AC255A"/>
    <w:rsid w:val="00AC5E19"/>
    <w:rsid w:val="00AC6371"/>
    <w:rsid w:val="00AD0DA9"/>
    <w:rsid w:val="00AD5C7B"/>
    <w:rsid w:val="00AE26B0"/>
    <w:rsid w:val="00AE4B02"/>
    <w:rsid w:val="00AF3F92"/>
    <w:rsid w:val="00AF4AF4"/>
    <w:rsid w:val="00AF6371"/>
    <w:rsid w:val="00AF6C68"/>
    <w:rsid w:val="00AF7FFC"/>
    <w:rsid w:val="00B03B6A"/>
    <w:rsid w:val="00B113E0"/>
    <w:rsid w:val="00B11696"/>
    <w:rsid w:val="00B11C08"/>
    <w:rsid w:val="00B122B2"/>
    <w:rsid w:val="00B146CC"/>
    <w:rsid w:val="00B15536"/>
    <w:rsid w:val="00B15AB0"/>
    <w:rsid w:val="00B21260"/>
    <w:rsid w:val="00B226B7"/>
    <w:rsid w:val="00B2476F"/>
    <w:rsid w:val="00B30265"/>
    <w:rsid w:val="00B32563"/>
    <w:rsid w:val="00B341A9"/>
    <w:rsid w:val="00B350AB"/>
    <w:rsid w:val="00B352F4"/>
    <w:rsid w:val="00B3768B"/>
    <w:rsid w:val="00B377A3"/>
    <w:rsid w:val="00B4351F"/>
    <w:rsid w:val="00B43C1A"/>
    <w:rsid w:val="00B4414F"/>
    <w:rsid w:val="00B45905"/>
    <w:rsid w:val="00B45B69"/>
    <w:rsid w:val="00B46095"/>
    <w:rsid w:val="00B533AE"/>
    <w:rsid w:val="00B56387"/>
    <w:rsid w:val="00B56AB6"/>
    <w:rsid w:val="00B61521"/>
    <w:rsid w:val="00B629E8"/>
    <w:rsid w:val="00B631CF"/>
    <w:rsid w:val="00B6406A"/>
    <w:rsid w:val="00B649C7"/>
    <w:rsid w:val="00B6502E"/>
    <w:rsid w:val="00B71125"/>
    <w:rsid w:val="00B713E1"/>
    <w:rsid w:val="00B72500"/>
    <w:rsid w:val="00B731EC"/>
    <w:rsid w:val="00B74424"/>
    <w:rsid w:val="00B746F9"/>
    <w:rsid w:val="00B75C15"/>
    <w:rsid w:val="00B76B5D"/>
    <w:rsid w:val="00B779BA"/>
    <w:rsid w:val="00B77A02"/>
    <w:rsid w:val="00B802F3"/>
    <w:rsid w:val="00B821C6"/>
    <w:rsid w:val="00B82B55"/>
    <w:rsid w:val="00B85349"/>
    <w:rsid w:val="00B85A92"/>
    <w:rsid w:val="00B86694"/>
    <w:rsid w:val="00B90254"/>
    <w:rsid w:val="00B930F1"/>
    <w:rsid w:val="00B97AC0"/>
    <w:rsid w:val="00BA3AB8"/>
    <w:rsid w:val="00BA3D05"/>
    <w:rsid w:val="00BA5DF1"/>
    <w:rsid w:val="00BA6022"/>
    <w:rsid w:val="00BB3274"/>
    <w:rsid w:val="00BB3D70"/>
    <w:rsid w:val="00BB76E2"/>
    <w:rsid w:val="00BC01C7"/>
    <w:rsid w:val="00BC0977"/>
    <w:rsid w:val="00BD1874"/>
    <w:rsid w:val="00BD1877"/>
    <w:rsid w:val="00BD1A8D"/>
    <w:rsid w:val="00BD23AC"/>
    <w:rsid w:val="00BD2AD8"/>
    <w:rsid w:val="00BD482F"/>
    <w:rsid w:val="00BD6AA3"/>
    <w:rsid w:val="00BD6BB6"/>
    <w:rsid w:val="00BE262D"/>
    <w:rsid w:val="00BE2970"/>
    <w:rsid w:val="00BE2E40"/>
    <w:rsid w:val="00BE3BBB"/>
    <w:rsid w:val="00BE4BE5"/>
    <w:rsid w:val="00BE6EC1"/>
    <w:rsid w:val="00BF05F4"/>
    <w:rsid w:val="00BF462B"/>
    <w:rsid w:val="00BF4C02"/>
    <w:rsid w:val="00BF5FDC"/>
    <w:rsid w:val="00C006B2"/>
    <w:rsid w:val="00C00DEF"/>
    <w:rsid w:val="00C01EB4"/>
    <w:rsid w:val="00C02521"/>
    <w:rsid w:val="00C03AE2"/>
    <w:rsid w:val="00C052EB"/>
    <w:rsid w:val="00C06552"/>
    <w:rsid w:val="00C06FDF"/>
    <w:rsid w:val="00C07636"/>
    <w:rsid w:val="00C07F4E"/>
    <w:rsid w:val="00C112A3"/>
    <w:rsid w:val="00C115D8"/>
    <w:rsid w:val="00C14912"/>
    <w:rsid w:val="00C15253"/>
    <w:rsid w:val="00C16235"/>
    <w:rsid w:val="00C17EDD"/>
    <w:rsid w:val="00C2097D"/>
    <w:rsid w:val="00C216E7"/>
    <w:rsid w:val="00C24DEF"/>
    <w:rsid w:val="00C26EA0"/>
    <w:rsid w:val="00C315E8"/>
    <w:rsid w:val="00C31A8F"/>
    <w:rsid w:val="00C31F0B"/>
    <w:rsid w:val="00C32E29"/>
    <w:rsid w:val="00C35E16"/>
    <w:rsid w:val="00C37072"/>
    <w:rsid w:val="00C41816"/>
    <w:rsid w:val="00C4214C"/>
    <w:rsid w:val="00C42411"/>
    <w:rsid w:val="00C42A28"/>
    <w:rsid w:val="00C4488A"/>
    <w:rsid w:val="00C45392"/>
    <w:rsid w:val="00C45983"/>
    <w:rsid w:val="00C459FF"/>
    <w:rsid w:val="00C4611D"/>
    <w:rsid w:val="00C4679D"/>
    <w:rsid w:val="00C47893"/>
    <w:rsid w:val="00C5376C"/>
    <w:rsid w:val="00C549E3"/>
    <w:rsid w:val="00C574B2"/>
    <w:rsid w:val="00C576D8"/>
    <w:rsid w:val="00C57BF4"/>
    <w:rsid w:val="00C57FEB"/>
    <w:rsid w:val="00C60CE8"/>
    <w:rsid w:val="00C610EB"/>
    <w:rsid w:val="00C625B1"/>
    <w:rsid w:val="00C62C32"/>
    <w:rsid w:val="00C63610"/>
    <w:rsid w:val="00C64626"/>
    <w:rsid w:val="00C64DD4"/>
    <w:rsid w:val="00C651C7"/>
    <w:rsid w:val="00C66261"/>
    <w:rsid w:val="00C7061B"/>
    <w:rsid w:val="00C70AE8"/>
    <w:rsid w:val="00C71577"/>
    <w:rsid w:val="00C7263C"/>
    <w:rsid w:val="00C7377D"/>
    <w:rsid w:val="00C7398A"/>
    <w:rsid w:val="00C740DD"/>
    <w:rsid w:val="00C75A62"/>
    <w:rsid w:val="00C778E1"/>
    <w:rsid w:val="00C80967"/>
    <w:rsid w:val="00C82A1E"/>
    <w:rsid w:val="00C82A82"/>
    <w:rsid w:val="00C84A49"/>
    <w:rsid w:val="00C85935"/>
    <w:rsid w:val="00C86341"/>
    <w:rsid w:val="00C87154"/>
    <w:rsid w:val="00C87513"/>
    <w:rsid w:val="00C87E82"/>
    <w:rsid w:val="00C90FCA"/>
    <w:rsid w:val="00C9172F"/>
    <w:rsid w:val="00C9189E"/>
    <w:rsid w:val="00C928EF"/>
    <w:rsid w:val="00C97586"/>
    <w:rsid w:val="00C97707"/>
    <w:rsid w:val="00CA19CF"/>
    <w:rsid w:val="00CA38A7"/>
    <w:rsid w:val="00CA6404"/>
    <w:rsid w:val="00CA72DA"/>
    <w:rsid w:val="00CB021D"/>
    <w:rsid w:val="00CB2087"/>
    <w:rsid w:val="00CB29F8"/>
    <w:rsid w:val="00CB3614"/>
    <w:rsid w:val="00CB374F"/>
    <w:rsid w:val="00CB43BE"/>
    <w:rsid w:val="00CB5D0F"/>
    <w:rsid w:val="00CB749E"/>
    <w:rsid w:val="00CC0A79"/>
    <w:rsid w:val="00CC1481"/>
    <w:rsid w:val="00CC3289"/>
    <w:rsid w:val="00CC4E24"/>
    <w:rsid w:val="00CD08C6"/>
    <w:rsid w:val="00CD0D4C"/>
    <w:rsid w:val="00CD249E"/>
    <w:rsid w:val="00CD4F89"/>
    <w:rsid w:val="00CD50C9"/>
    <w:rsid w:val="00CD73F3"/>
    <w:rsid w:val="00CD7712"/>
    <w:rsid w:val="00CD79A1"/>
    <w:rsid w:val="00CE0A96"/>
    <w:rsid w:val="00CE0B50"/>
    <w:rsid w:val="00CE15FE"/>
    <w:rsid w:val="00CE21BB"/>
    <w:rsid w:val="00CE3B74"/>
    <w:rsid w:val="00CE64AD"/>
    <w:rsid w:val="00CE6BF3"/>
    <w:rsid w:val="00CE7E48"/>
    <w:rsid w:val="00CF2D74"/>
    <w:rsid w:val="00CF2EF3"/>
    <w:rsid w:val="00CF7341"/>
    <w:rsid w:val="00CF7542"/>
    <w:rsid w:val="00D02CF0"/>
    <w:rsid w:val="00D0385E"/>
    <w:rsid w:val="00D06F07"/>
    <w:rsid w:val="00D07AD7"/>
    <w:rsid w:val="00D11208"/>
    <w:rsid w:val="00D153E0"/>
    <w:rsid w:val="00D17ECB"/>
    <w:rsid w:val="00D212AC"/>
    <w:rsid w:val="00D216EB"/>
    <w:rsid w:val="00D23FD0"/>
    <w:rsid w:val="00D245EA"/>
    <w:rsid w:val="00D25F1C"/>
    <w:rsid w:val="00D27E11"/>
    <w:rsid w:val="00D30C1F"/>
    <w:rsid w:val="00D3161C"/>
    <w:rsid w:val="00D3403A"/>
    <w:rsid w:val="00D3469B"/>
    <w:rsid w:val="00D352B7"/>
    <w:rsid w:val="00D37E46"/>
    <w:rsid w:val="00D40014"/>
    <w:rsid w:val="00D41CE3"/>
    <w:rsid w:val="00D41D7E"/>
    <w:rsid w:val="00D43330"/>
    <w:rsid w:val="00D43F56"/>
    <w:rsid w:val="00D517C9"/>
    <w:rsid w:val="00D52A19"/>
    <w:rsid w:val="00D52B6C"/>
    <w:rsid w:val="00D55611"/>
    <w:rsid w:val="00D56543"/>
    <w:rsid w:val="00D609B9"/>
    <w:rsid w:val="00D60ABC"/>
    <w:rsid w:val="00D60B65"/>
    <w:rsid w:val="00D6150C"/>
    <w:rsid w:val="00D625BF"/>
    <w:rsid w:val="00D6262E"/>
    <w:rsid w:val="00D65FC5"/>
    <w:rsid w:val="00D676C5"/>
    <w:rsid w:val="00D71D23"/>
    <w:rsid w:val="00D732D5"/>
    <w:rsid w:val="00D73CA0"/>
    <w:rsid w:val="00D73D1D"/>
    <w:rsid w:val="00D76495"/>
    <w:rsid w:val="00D81E8E"/>
    <w:rsid w:val="00D82C90"/>
    <w:rsid w:val="00D8371F"/>
    <w:rsid w:val="00D84305"/>
    <w:rsid w:val="00D84C64"/>
    <w:rsid w:val="00D8623A"/>
    <w:rsid w:val="00D86ECD"/>
    <w:rsid w:val="00D876B9"/>
    <w:rsid w:val="00D93CDB"/>
    <w:rsid w:val="00D93D87"/>
    <w:rsid w:val="00D970A2"/>
    <w:rsid w:val="00DA130A"/>
    <w:rsid w:val="00DA17A8"/>
    <w:rsid w:val="00DA18A6"/>
    <w:rsid w:val="00DA1BAE"/>
    <w:rsid w:val="00DA3E37"/>
    <w:rsid w:val="00DA6BCB"/>
    <w:rsid w:val="00DB0374"/>
    <w:rsid w:val="00DB07BD"/>
    <w:rsid w:val="00DB1379"/>
    <w:rsid w:val="00DB27DE"/>
    <w:rsid w:val="00DB2A98"/>
    <w:rsid w:val="00DB393D"/>
    <w:rsid w:val="00DB3A59"/>
    <w:rsid w:val="00DB49ED"/>
    <w:rsid w:val="00DB4AB0"/>
    <w:rsid w:val="00DB4B51"/>
    <w:rsid w:val="00DB573E"/>
    <w:rsid w:val="00DB66C9"/>
    <w:rsid w:val="00DB6D99"/>
    <w:rsid w:val="00DC258F"/>
    <w:rsid w:val="00DC38DB"/>
    <w:rsid w:val="00DC3B42"/>
    <w:rsid w:val="00DC4372"/>
    <w:rsid w:val="00DC51F1"/>
    <w:rsid w:val="00DC5AA2"/>
    <w:rsid w:val="00DC5D65"/>
    <w:rsid w:val="00DC7861"/>
    <w:rsid w:val="00DD1146"/>
    <w:rsid w:val="00DD2013"/>
    <w:rsid w:val="00DD27BA"/>
    <w:rsid w:val="00DD549C"/>
    <w:rsid w:val="00DD7628"/>
    <w:rsid w:val="00DE439E"/>
    <w:rsid w:val="00DE4473"/>
    <w:rsid w:val="00DE66D4"/>
    <w:rsid w:val="00DF0D3D"/>
    <w:rsid w:val="00DF3026"/>
    <w:rsid w:val="00DF3A03"/>
    <w:rsid w:val="00DF4687"/>
    <w:rsid w:val="00DF4FD2"/>
    <w:rsid w:val="00DF6292"/>
    <w:rsid w:val="00DF7BD8"/>
    <w:rsid w:val="00E02410"/>
    <w:rsid w:val="00E0394D"/>
    <w:rsid w:val="00E03FEB"/>
    <w:rsid w:val="00E06C6E"/>
    <w:rsid w:val="00E07AEC"/>
    <w:rsid w:val="00E11ABB"/>
    <w:rsid w:val="00E11EF4"/>
    <w:rsid w:val="00E12695"/>
    <w:rsid w:val="00E12B2E"/>
    <w:rsid w:val="00E12D1C"/>
    <w:rsid w:val="00E13C9E"/>
    <w:rsid w:val="00E13E1A"/>
    <w:rsid w:val="00E13F45"/>
    <w:rsid w:val="00E14A49"/>
    <w:rsid w:val="00E151BD"/>
    <w:rsid w:val="00E17848"/>
    <w:rsid w:val="00E17F40"/>
    <w:rsid w:val="00E221A7"/>
    <w:rsid w:val="00E232F7"/>
    <w:rsid w:val="00E23AF3"/>
    <w:rsid w:val="00E23E33"/>
    <w:rsid w:val="00E310C9"/>
    <w:rsid w:val="00E320AB"/>
    <w:rsid w:val="00E32E44"/>
    <w:rsid w:val="00E33ABF"/>
    <w:rsid w:val="00E34387"/>
    <w:rsid w:val="00E35051"/>
    <w:rsid w:val="00E425A1"/>
    <w:rsid w:val="00E42746"/>
    <w:rsid w:val="00E43272"/>
    <w:rsid w:val="00E432D1"/>
    <w:rsid w:val="00E4499F"/>
    <w:rsid w:val="00E449A9"/>
    <w:rsid w:val="00E44BF2"/>
    <w:rsid w:val="00E45F80"/>
    <w:rsid w:val="00E46BF5"/>
    <w:rsid w:val="00E509DA"/>
    <w:rsid w:val="00E51431"/>
    <w:rsid w:val="00E516CD"/>
    <w:rsid w:val="00E54F84"/>
    <w:rsid w:val="00E55198"/>
    <w:rsid w:val="00E55ABE"/>
    <w:rsid w:val="00E603A8"/>
    <w:rsid w:val="00E675AA"/>
    <w:rsid w:val="00E676AC"/>
    <w:rsid w:val="00E67998"/>
    <w:rsid w:val="00E67B13"/>
    <w:rsid w:val="00E70CE1"/>
    <w:rsid w:val="00E710E3"/>
    <w:rsid w:val="00E71D3B"/>
    <w:rsid w:val="00E73F28"/>
    <w:rsid w:val="00E74BB5"/>
    <w:rsid w:val="00E75927"/>
    <w:rsid w:val="00E75AE5"/>
    <w:rsid w:val="00E76DCA"/>
    <w:rsid w:val="00E776D2"/>
    <w:rsid w:val="00E77B1F"/>
    <w:rsid w:val="00E8006F"/>
    <w:rsid w:val="00E804DA"/>
    <w:rsid w:val="00E81589"/>
    <w:rsid w:val="00E815C5"/>
    <w:rsid w:val="00E81F31"/>
    <w:rsid w:val="00E83D69"/>
    <w:rsid w:val="00E86BF9"/>
    <w:rsid w:val="00E925DA"/>
    <w:rsid w:val="00E93908"/>
    <w:rsid w:val="00E95F21"/>
    <w:rsid w:val="00E96ABE"/>
    <w:rsid w:val="00EA05A6"/>
    <w:rsid w:val="00EA0D37"/>
    <w:rsid w:val="00EA4148"/>
    <w:rsid w:val="00EA51C0"/>
    <w:rsid w:val="00EB1055"/>
    <w:rsid w:val="00EB1CEA"/>
    <w:rsid w:val="00EB2B22"/>
    <w:rsid w:val="00EB53C8"/>
    <w:rsid w:val="00EB644B"/>
    <w:rsid w:val="00EB6468"/>
    <w:rsid w:val="00EB6DE3"/>
    <w:rsid w:val="00EC0A66"/>
    <w:rsid w:val="00EC1E23"/>
    <w:rsid w:val="00EC241C"/>
    <w:rsid w:val="00EC3C19"/>
    <w:rsid w:val="00EC6250"/>
    <w:rsid w:val="00EC7BA3"/>
    <w:rsid w:val="00ED616A"/>
    <w:rsid w:val="00ED703B"/>
    <w:rsid w:val="00ED74E7"/>
    <w:rsid w:val="00EE07BE"/>
    <w:rsid w:val="00EE178E"/>
    <w:rsid w:val="00EE2167"/>
    <w:rsid w:val="00EE2B72"/>
    <w:rsid w:val="00EE3F94"/>
    <w:rsid w:val="00EE51F3"/>
    <w:rsid w:val="00EE5C48"/>
    <w:rsid w:val="00EE659C"/>
    <w:rsid w:val="00EE6967"/>
    <w:rsid w:val="00EE7A73"/>
    <w:rsid w:val="00EF10D0"/>
    <w:rsid w:val="00EF12C4"/>
    <w:rsid w:val="00EF2E73"/>
    <w:rsid w:val="00EF3030"/>
    <w:rsid w:val="00EF34C5"/>
    <w:rsid w:val="00EF3CC3"/>
    <w:rsid w:val="00EF4EB3"/>
    <w:rsid w:val="00EF7128"/>
    <w:rsid w:val="00EF7F30"/>
    <w:rsid w:val="00F01874"/>
    <w:rsid w:val="00F0216F"/>
    <w:rsid w:val="00F05DA3"/>
    <w:rsid w:val="00F070A8"/>
    <w:rsid w:val="00F10D6E"/>
    <w:rsid w:val="00F13B4D"/>
    <w:rsid w:val="00F13C08"/>
    <w:rsid w:val="00F1518F"/>
    <w:rsid w:val="00F16320"/>
    <w:rsid w:val="00F1695F"/>
    <w:rsid w:val="00F17EDE"/>
    <w:rsid w:val="00F22D02"/>
    <w:rsid w:val="00F236A0"/>
    <w:rsid w:val="00F24FB8"/>
    <w:rsid w:val="00F251D2"/>
    <w:rsid w:val="00F26658"/>
    <w:rsid w:val="00F26E2B"/>
    <w:rsid w:val="00F3131E"/>
    <w:rsid w:val="00F3290B"/>
    <w:rsid w:val="00F34091"/>
    <w:rsid w:val="00F34E14"/>
    <w:rsid w:val="00F35054"/>
    <w:rsid w:val="00F35870"/>
    <w:rsid w:val="00F35E32"/>
    <w:rsid w:val="00F36BBC"/>
    <w:rsid w:val="00F3750A"/>
    <w:rsid w:val="00F37F80"/>
    <w:rsid w:val="00F400D7"/>
    <w:rsid w:val="00F41334"/>
    <w:rsid w:val="00F41CE0"/>
    <w:rsid w:val="00F44DC9"/>
    <w:rsid w:val="00F45447"/>
    <w:rsid w:val="00F46548"/>
    <w:rsid w:val="00F5195D"/>
    <w:rsid w:val="00F51A7C"/>
    <w:rsid w:val="00F51B79"/>
    <w:rsid w:val="00F52967"/>
    <w:rsid w:val="00F53CA0"/>
    <w:rsid w:val="00F54067"/>
    <w:rsid w:val="00F54105"/>
    <w:rsid w:val="00F551A4"/>
    <w:rsid w:val="00F5626F"/>
    <w:rsid w:val="00F56FCC"/>
    <w:rsid w:val="00F61462"/>
    <w:rsid w:val="00F61A6F"/>
    <w:rsid w:val="00F62703"/>
    <w:rsid w:val="00F64055"/>
    <w:rsid w:val="00F6488B"/>
    <w:rsid w:val="00F6575A"/>
    <w:rsid w:val="00F7016B"/>
    <w:rsid w:val="00F7116A"/>
    <w:rsid w:val="00F7194C"/>
    <w:rsid w:val="00F72B74"/>
    <w:rsid w:val="00F7353A"/>
    <w:rsid w:val="00F770D0"/>
    <w:rsid w:val="00F7769A"/>
    <w:rsid w:val="00F77AA6"/>
    <w:rsid w:val="00F77D02"/>
    <w:rsid w:val="00F806DB"/>
    <w:rsid w:val="00F81710"/>
    <w:rsid w:val="00F81E9E"/>
    <w:rsid w:val="00F82B90"/>
    <w:rsid w:val="00F83492"/>
    <w:rsid w:val="00F835ED"/>
    <w:rsid w:val="00F85170"/>
    <w:rsid w:val="00F861C4"/>
    <w:rsid w:val="00F91B55"/>
    <w:rsid w:val="00F92E8B"/>
    <w:rsid w:val="00F938C5"/>
    <w:rsid w:val="00F95AE9"/>
    <w:rsid w:val="00F965C0"/>
    <w:rsid w:val="00F96629"/>
    <w:rsid w:val="00FA29D7"/>
    <w:rsid w:val="00FA2EED"/>
    <w:rsid w:val="00FA2F98"/>
    <w:rsid w:val="00FA4462"/>
    <w:rsid w:val="00FA4719"/>
    <w:rsid w:val="00FA622E"/>
    <w:rsid w:val="00FA6CD3"/>
    <w:rsid w:val="00FA76DF"/>
    <w:rsid w:val="00FB1AAB"/>
    <w:rsid w:val="00FB2A96"/>
    <w:rsid w:val="00FB3F0E"/>
    <w:rsid w:val="00FB433B"/>
    <w:rsid w:val="00FB459F"/>
    <w:rsid w:val="00FB4623"/>
    <w:rsid w:val="00FB52C9"/>
    <w:rsid w:val="00FC12F3"/>
    <w:rsid w:val="00FC2A2B"/>
    <w:rsid w:val="00FC50D7"/>
    <w:rsid w:val="00FC55E2"/>
    <w:rsid w:val="00FC68AE"/>
    <w:rsid w:val="00FC6D66"/>
    <w:rsid w:val="00FC6F3E"/>
    <w:rsid w:val="00FC7B67"/>
    <w:rsid w:val="00FD0B3B"/>
    <w:rsid w:val="00FD2E38"/>
    <w:rsid w:val="00FD2F45"/>
    <w:rsid w:val="00FD3170"/>
    <w:rsid w:val="00FD36AF"/>
    <w:rsid w:val="00FD4C77"/>
    <w:rsid w:val="00FD6CD5"/>
    <w:rsid w:val="00FD70E6"/>
    <w:rsid w:val="00FD75E1"/>
    <w:rsid w:val="00FE08FD"/>
    <w:rsid w:val="00FE36B0"/>
    <w:rsid w:val="00FE523E"/>
    <w:rsid w:val="00FF0347"/>
    <w:rsid w:val="00FF19EA"/>
    <w:rsid w:val="00FF3A6F"/>
    <w:rsid w:val="00FF5A87"/>
    <w:rsid w:val="02D51B41"/>
    <w:rsid w:val="04FD45A6"/>
    <w:rsid w:val="0C6208F5"/>
    <w:rsid w:val="0E411363"/>
    <w:rsid w:val="1E670351"/>
    <w:rsid w:val="207C33CD"/>
    <w:rsid w:val="2267521A"/>
    <w:rsid w:val="268972D3"/>
    <w:rsid w:val="315A07EA"/>
    <w:rsid w:val="31F15B29"/>
    <w:rsid w:val="3C872539"/>
    <w:rsid w:val="3E5366CC"/>
    <w:rsid w:val="3EB3133C"/>
    <w:rsid w:val="4326593D"/>
    <w:rsid w:val="50F87443"/>
    <w:rsid w:val="51526DE5"/>
    <w:rsid w:val="5CEC2D76"/>
    <w:rsid w:val="600F6C83"/>
    <w:rsid w:val="675E18F0"/>
    <w:rsid w:val="701E1368"/>
    <w:rsid w:val="793A7A0A"/>
    <w:rsid w:val="7ABB71C2"/>
    <w:rsid w:val="7CC550C0"/>
    <w:rsid w:val="7E9D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39" w:semiHidden="0" w:name="Table Grid"/>
    <w:lsdException w:qFormat="1" w:uiPriority="99" w:semiHidden="0" w:name="Table Theme"/>
    <w:lsdException w:qFormat="1" w:unhideWhenUsed="0" w:uiPriority="99" w:name="Placeholder Text"/>
    <w:lsdException w:uiPriority="99"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uiPriority="70" w:name="Dark List"/>
    <w:lsdException w:uiPriority="71" w:name="Colorful Shading"/>
    <w:lsdException w:uiPriority="72" w:name="Colorful List"/>
    <w:lsdException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uiPriority="99" w:name="Quote"/>
    <w:lsdException w:qFormat="1" w:uiPriority="99" w:name="Intense Quote"/>
    <w:lsdException w:qFormat="1" w:uiPriority="66" w:name="Medium List 2 Accent 1"/>
    <w:lsdException w:qFormat="1" w:uiPriority="67" w:name="Medium Grid 1 Accent 1"/>
    <w:lsdException w:qFormat="1"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uiPriority="69" w:name="Medium Grid 3 Accent 4"/>
    <w:lsdException w:uiPriority="70" w:name="Dark List Accent 4"/>
    <w:lsdException w:uiPriority="71" w:name="Colorful Shading Accent 4"/>
    <w:lsdException w:qFormat="1" w:uiPriority="72" w:name="Colorful List Accent 4"/>
    <w:lsdException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2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3"/>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275"/>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276"/>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277"/>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8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pPr>
    <w:rPr>
      <w:rFonts w:ascii="Courier New" w:hAnsi="Courier New" w:eastAsia="宋体" w:cs="Courier New"/>
      <w:kern w:val="2"/>
      <w:sz w:val="24"/>
      <w:szCs w:val="24"/>
      <w:lang w:val="en-US" w:eastAsia="zh-CN" w:bidi="ar-SA"/>
      <w14:ligatures w14:val="standardContextual"/>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semiHidden/>
    <w:unhideWhenUsed/>
    <w:qFormat/>
    <w:uiPriority w:val="39"/>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416"/>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282"/>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396"/>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rPr>
  </w:style>
  <w:style w:type="paragraph" w:styleId="28">
    <w:name w:val="annotation text"/>
    <w:basedOn w:val="1"/>
    <w:link w:val="263"/>
    <w:semiHidden/>
    <w:unhideWhenUsed/>
    <w:qFormat/>
    <w:uiPriority w:val="99"/>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280"/>
    <w:semiHidden/>
    <w:unhideWhenUsed/>
    <w:qFormat/>
    <w:uiPriority w:val="99"/>
  </w:style>
  <w:style w:type="paragraph" w:styleId="31">
    <w:name w:val="Body Text 3"/>
    <w:basedOn w:val="1"/>
    <w:link w:val="408"/>
    <w:semiHidden/>
    <w:unhideWhenUsed/>
    <w:qFormat/>
    <w:uiPriority w:val="99"/>
    <w:pPr>
      <w:spacing w:after="120"/>
    </w:pPr>
    <w:rPr>
      <w:sz w:val="16"/>
      <w:szCs w:val="16"/>
    </w:rPr>
  </w:style>
  <w:style w:type="paragraph" w:styleId="32">
    <w:name w:val="Closing"/>
    <w:basedOn w:val="1"/>
    <w:link w:val="286"/>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406"/>
    <w:semiHidden/>
    <w:unhideWhenUsed/>
    <w:qFormat/>
    <w:uiPriority w:val="99"/>
    <w:pPr>
      <w:spacing w:after="120"/>
    </w:pPr>
  </w:style>
  <w:style w:type="paragraph" w:styleId="35">
    <w:name w:val="Body Text Indent"/>
    <w:basedOn w:val="1"/>
    <w:link w:val="410"/>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266"/>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semiHidden/>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281"/>
    <w:semiHidden/>
    <w:unhideWhenUsed/>
    <w:qFormat/>
    <w:uiPriority w:val="99"/>
    <w:rPr>
      <w:rFonts w:hAnsi="Courier New" w:cs="Courier New" w:asciiTheme="minorEastAsia"/>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256"/>
    <w:semiHidden/>
    <w:unhideWhenUsed/>
    <w:qFormat/>
    <w:uiPriority w:val="99"/>
    <w:pPr>
      <w:ind w:left="100" w:leftChars="2500"/>
    </w:pPr>
  </w:style>
  <w:style w:type="paragraph" w:styleId="51">
    <w:name w:val="Body Text Indent 2"/>
    <w:basedOn w:val="1"/>
    <w:link w:val="412"/>
    <w:semiHidden/>
    <w:unhideWhenUsed/>
    <w:qFormat/>
    <w:uiPriority w:val="99"/>
    <w:pPr>
      <w:spacing w:after="120" w:line="480" w:lineRule="auto"/>
      <w:ind w:left="420" w:leftChars="200"/>
    </w:pPr>
  </w:style>
  <w:style w:type="paragraph" w:styleId="52">
    <w:name w:val="endnote text"/>
    <w:basedOn w:val="1"/>
    <w:link w:val="394"/>
    <w:semiHidden/>
    <w:unhideWhenUsed/>
    <w:qFormat/>
    <w:uiPriority w:val="99"/>
    <w:pPr>
      <w:snapToGrid w:val="0"/>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262"/>
    <w:semiHidden/>
    <w:unhideWhenUsed/>
    <w:qFormat/>
    <w:uiPriority w:val="99"/>
    <w:pPr>
      <w:spacing w:after="0" w:line="240" w:lineRule="auto"/>
    </w:pPr>
    <w:rPr>
      <w:sz w:val="18"/>
      <w:szCs w:val="18"/>
    </w:rPr>
  </w:style>
  <w:style w:type="paragraph" w:styleId="55">
    <w:name w:val="footer"/>
    <w:basedOn w:val="1"/>
    <w:link w:val="250"/>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249"/>
    <w:unhideWhenUsed/>
    <w:qFormat/>
    <w:uiPriority w:val="99"/>
    <w:pPr>
      <w:tabs>
        <w:tab w:val="center" w:pos="4153"/>
        <w:tab w:val="right" w:pos="8306"/>
      </w:tabs>
      <w:snapToGrid w:val="0"/>
      <w:spacing w:line="240" w:lineRule="auto"/>
      <w:jc w:val="center"/>
    </w:pPr>
    <w:rPr>
      <w:sz w:val="18"/>
      <w:szCs w:val="18"/>
    </w:rPr>
  </w:style>
  <w:style w:type="paragraph" w:styleId="58">
    <w:name w:val="Signature"/>
    <w:basedOn w:val="1"/>
    <w:link w:val="292"/>
    <w:semiHidden/>
    <w:unhideWhenUsed/>
    <w:qFormat/>
    <w:uiPriority w:val="99"/>
    <w:pPr>
      <w:ind w:left="100" w:leftChars="2100"/>
    </w:pPr>
  </w:style>
  <w:style w:type="paragraph" w:styleId="59">
    <w:name w:val="toc 1"/>
    <w:basedOn w:val="1"/>
    <w:next w:val="1"/>
    <w:unhideWhenUsed/>
    <w:qFormat/>
    <w:uiPriority w:val="39"/>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semiHidden/>
    <w:unhideWhenUsed/>
    <w:qFormat/>
    <w:uiPriority w:val="39"/>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283"/>
    <w:qFormat/>
    <w:uiPriority w:val="11"/>
    <w:pPr>
      <w:spacing w:before="240" w:after="60" w:line="312" w:lineRule="auto"/>
      <w:jc w:val="center"/>
      <w:outlineLvl w:val="1"/>
    </w:pPr>
    <w:rPr>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285"/>
    <w:semiHidden/>
    <w:unhideWhenUsed/>
    <w:uiPriority w:val="99"/>
    <w:pPr>
      <w:snapToGrid w:val="0"/>
    </w:pPr>
    <w:rPr>
      <w:sz w:val="18"/>
      <w:szCs w:val="18"/>
    </w:rPr>
  </w:style>
  <w:style w:type="paragraph" w:styleId="68">
    <w:name w:val="toc 6"/>
    <w:basedOn w:val="1"/>
    <w:next w:val="1"/>
    <w:semiHidden/>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413"/>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unhideWhenUsed/>
    <w:qFormat/>
    <w:uiPriority w:val="39"/>
    <w:pPr>
      <w:ind w:left="420" w:leftChars="200"/>
    </w:pPr>
  </w:style>
  <w:style w:type="paragraph" w:styleId="75">
    <w:name w:val="toc 9"/>
    <w:basedOn w:val="1"/>
    <w:next w:val="1"/>
    <w:semiHidden/>
    <w:unhideWhenUsed/>
    <w:qFormat/>
    <w:uiPriority w:val="39"/>
    <w:pPr>
      <w:ind w:left="3360" w:leftChars="1600"/>
    </w:pPr>
  </w:style>
  <w:style w:type="paragraph" w:styleId="76">
    <w:name w:val="Body Text 2"/>
    <w:basedOn w:val="1"/>
    <w:link w:val="407"/>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0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267"/>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269"/>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264"/>
    <w:semiHidden/>
    <w:unhideWhenUsed/>
    <w:qFormat/>
    <w:uiPriority w:val="99"/>
    <w:rPr>
      <w:b/>
      <w:bCs/>
    </w:rPr>
  </w:style>
  <w:style w:type="paragraph" w:styleId="86">
    <w:name w:val="Body Text First Indent"/>
    <w:basedOn w:val="34"/>
    <w:link w:val="409"/>
    <w:semiHidden/>
    <w:unhideWhenUsed/>
    <w:qFormat/>
    <w:uiPriority w:val="99"/>
    <w:pPr>
      <w:ind w:firstLine="420" w:firstLineChars="100"/>
    </w:pPr>
  </w:style>
  <w:style w:type="paragraph" w:styleId="87">
    <w:name w:val="Body Text First Indent 2"/>
    <w:basedOn w:val="35"/>
    <w:link w:val="411"/>
    <w:semiHidden/>
    <w:unhideWhenUsed/>
    <w:qFormat/>
    <w:uiPriority w:val="99"/>
    <w:pPr>
      <w:ind w:firstLine="420" w:firstLineChars="200"/>
    </w:p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spacing w:after="160" w:line="278"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spacing w:after="160" w:line="278"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spacing w:after="160" w:line="278"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spacing w:after="160" w:line="278"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spacing w:after="160" w:line="278"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spacing w:after="160" w:line="278"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spacing w:after="160" w:line="278"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spacing w:after="160" w:line="278"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spacing w:after="160" w:line="278"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spacing w:after="160" w:line="278"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spacing w:after="160" w:line="278"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spacing w:after="160" w:line="278"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spacing w:after="160" w:line="278"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spacing w:after="160" w:line="278"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spacing w:after="160" w:line="278"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spacing w:after="160" w:line="278"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spacing w:after="160" w:line="278"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spacing w:after="160" w:line="278"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spacing w:after="160" w:line="278"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spacing w:after="160" w:line="278"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spacing w:after="160" w:line="278"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spacing w:after="160" w:line="278"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spacing w:after="160" w:line="278"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spacing w:after="160" w:line="278"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spacing w:after="160" w:line="278"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spacing w:after="160" w:line="278"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spacing w:after="160" w:line="278"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spacing w:after="160" w:line="278"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spacing w:after="160" w:line="278"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spacing w:after="160" w:line="278"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spacing w:after="160" w:line="27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spacing w:after="160" w:line="278"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spacing w:after="160" w:line="278"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spacing w:after="160" w:line="278"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spacing w:after="160" w:line="278"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spacing w:after="160" w:line="278"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spacing w:after="160" w:line="278"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spacing w:after="160" w:line="278"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spacing w:after="160" w:line="278"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spacing w:after="160" w:line="278"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spacing w:after="160" w:line="278"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spacing w:after="160" w:line="27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104862" w:themeColor="accent1" w:themeShade="BF"/>
    </w:rPr>
    <w:tblPr>
      <w:tblBorders>
        <w:top w:val="single" w:color="156082" w:themeColor="accent1" w:sz="8" w:space="0"/>
        <w:bottom w:val="single" w:color="156082" w:themeColor="accent1" w:sz="8" w:space="0"/>
      </w:tblBorders>
    </w:tblPr>
    <w:tblStylePr w:type="firstRow">
      <w:pPr>
        <w:spacing w:before="0" w:after="0" w:line="240" w:lineRule="auto"/>
      </w:pPr>
      <w:rPr>
        <w:b/>
        <w:bCs/>
      </w:rPr>
      <w:tblPr/>
      <w:tcPr>
        <w:tcBorders>
          <w:top w:val="single" w:color="156082" w:themeColor="accent1" w:sz="8" w:space="0"/>
          <w:left w:val="nil"/>
          <w:bottom w:val="single" w:color="156082" w:themeColor="accent1" w:sz="8" w:space="0"/>
          <w:right w:val="nil"/>
          <w:insideH w:val="nil"/>
          <w:insideV w:val="nil"/>
        </w:tcBorders>
      </w:tcPr>
    </w:tblStylePr>
    <w:tblStylePr w:type="lastRow">
      <w:pPr>
        <w:spacing w:before="0" w:after="0" w:line="240" w:lineRule="auto"/>
      </w:pPr>
      <w:rPr>
        <w:b/>
        <w:bCs/>
      </w:rPr>
      <w:tblPr/>
      <w:tcPr>
        <w:tcBorders>
          <w:top w:val="single" w:color="156082" w:themeColor="accent1" w:sz="8" w:space="0"/>
          <w:left w:val="nil"/>
          <w:bottom w:val="single" w:color="156082"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135">
    <w:name w:val="Light Shading Accent 2"/>
    <w:basedOn w:val="88"/>
    <w:semiHidden/>
    <w:unhideWhenUsed/>
    <w:qFormat/>
    <w:uiPriority w:val="60"/>
    <w:rPr>
      <w:color w:val="C04F15" w:themeColor="accent2" w:themeShade="BF"/>
    </w:rPr>
    <w:tblPr>
      <w:tblBorders>
        <w:top w:val="single" w:color="E97132" w:themeColor="accent2" w:sz="8" w:space="0"/>
        <w:bottom w:val="single" w:color="E97132" w:themeColor="accent2" w:sz="8" w:space="0"/>
      </w:tblBorders>
    </w:tblPr>
    <w:tblStylePr w:type="firstRow">
      <w:pPr>
        <w:spacing w:before="0" w:after="0" w:line="240" w:lineRule="auto"/>
      </w:pPr>
      <w:rPr>
        <w:b/>
        <w:bCs/>
      </w:rPr>
      <w:tblPr/>
      <w:tcPr>
        <w:tcBorders>
          <w:top w:val="single" w:color="E97132" w:themeColor="accent2" w:sz="8" w:space="0"/>
          <w:left w:val="nil"/>
          <w:bottom w:val="single" w:color="E97132" w:themeColor="accent2" w:sz="8" w:space="0"/>
          <w:right w:val="nil"/>
          <w:insideH w:val="nil"/>
          <w:insideV w:val="nil"/>
        </w:tcBorders>
      </w:tcPr>
    </w:tblStylePr>
    <w:tblStylePr w:type="lastRow">
      <w:pPr>
        <w:spacing w:before="0" w:after="0" w:line="240" w:lineRule="auto"/>
      </w:pPr>
      <w:rPr>
        <w:b/>
        <w:bCs/>
      </w:rPr>
      <w:tblPr/>
      <w:tcPr>
        <w:tcBorders>
          <w:top w:val="single" w:color="E97132" w:themeColor="accent2" w:sz="8" w:space="0"/>
          <w:left w:val="nil"/>
          <w:bottom w:val="single" w:color="E9713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136">
    <w:name w:val="Light Shading Accent 3"/>
    <w:basedOn w:val="88"/>
    <w:semiHidden/>
    <w:unhideWhenUsed/>
    <w:qFormat/>
    <w:uiPriority w:val="60"/>
    <w:rPr>
      <w:color w:val="13501B" w:themeColor="accent3" w:themeShade="BF"/>
    </w:rPr>
    <w:tblPr>
      <w:tblBorders>
        <w:top w:val="single" w:color="196B24" w:themeColor="accent3" w:sz="8" w:space="0"/>
        <w:bottom w:val="single" w:color="196B24" w:themeColor="accent3" w:sz="8" w:space="0"/>
      </w:tblBorders>
    </w:tblPr>
    <w:tblStylePr w:type="firstRow">
      <w:pPr>
        <w:spacing w:before="0" w:after="0" w:line="240" w:lineRule="auto"/>
      </w:pPr>
      <w:rPr>
        <w:b/>
        <w:bCs/>
      </w:rPr>
      <w:tblPr/>
      <w:tcPr>
        <w:tcBorders>
          <w:top w:val="single" w:color="196B24" w:themeColor="accent3" w:sz="8" w:space="0"/>
          <w:left w:val="nil"/>
          <w:bottom w:val="single" w:color="196B24" w:themeColor="accent3" w:sz="8" w:space="0"/>
          <w:right w:val="nil"/>
          <w:insideH w:val="nil"/>
          <w:insideV w:val="nil"/>
        </w:tcBorders>
      </w:tcPr>
    </w:tblStylePr>
    <w:tblStylePr w:type="lastRow">
      <w:pPr>
        <w:spacing w:before="0" w:after="0" w:line="240" w:lineRule="auto"/>
      </w:pPr>
      <w:rPr>
        <w:b/>
        <w:bCs/>
      </w:rPr>
      <w:tblPr/>
      <w:tcPr>
        <w:tcBorders>
          <w:top w:val="single" w:color="196B24" w:themeColor="accent3" w:sz="8" w:space="0"/>
          <w:left w:val="nil"/>
          <w:bottom w:val="single" w:color="196B2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B" w:themeFill="accent3" w:themeFillTint="3F"/>
      </w:tcPr>
    </w:tblStylePr>
    <w:tblStylePr w:type="band1Horz">
      <w:tblPr/>
      <w:tcPr>
        <w:tcBorders>
          <w:left w:val="nil"/>
          <w:right w:val="nil"/>
          <w:insideH w:val="nil"/>
          <w:insideV w:val="nil"/>
        </w:tcBorders>
        <w:shd w:val="clear" w:color="auto" w:fill="B3EDBB" w:themeFill="accent3" w:themeFillTint="3F"/>
      </w:tcPr>
    </w:tblStylePr>
  </w:style>
  <w:style w:type="table" w:styleId="137">
    <w:name w:val="Light Shading Accent 4"/>
    <w:basedOn w:val="88"/>
    <w:semiHidden/>
    <w:unhideWhenUsed/>
    <w:qFormat/>
    <w:uiPriority w:val="60"/>
    <w:rPr>
      <w:color w:val="0B76A0" w:themeColor="accent4" w:themeShade="BF"/>
    </w:rPr>
    <w:tblPr>
      <w:tblBorders>
        <w:top w:val="single" w:color="0F9ED5" w:themeColor="accent4" w:sz="8" w:space="0"/>
        <w:bottom w:val="single" w:color="0F9ED5" w:themeColor="accent4" w:sz="8" w:space="0"/>
      </w:tblBorders>
    </w:tblPr>
    <w:tblStylePr w:type="firstRow">
      <w:pPr>
        <w:spacing w:before="0" w:after="0" w:line="240" w:lineRule="auto"/>
      </w:pPr>
      <w:rPr>
        <w:b/>
        <w:bCs/>
      </w:rPr>
      <w:tblPr/>
      <w:tcPr>
        <w:tcBorders>
          <w:top w:val="single" w:color="0F9ED5" w:themeColor="accent4" w:sz="8" w:space="0"/>
          <w:left w:val="nil"/>
          <w:bottom w:val="single" w:color="0F9ED5" w:themeColor="accent4" w:sz="8" w:space="0"/>
          <w:right w:val="nil"/>
          <w:insideH w:val="nil"/>
          <w:insideV w:val="nil"/>
        </w:tcBorders>
      </w:tcPr>
    </w:tblStylePr>
    <w:tblStylePr w:type="lastRow">
      <w:pPr>
        <w:spacing w:before="0" w:after="0" w:line="240" w:lineRule="auto"/>
      </w:pPr>
      <w:rPr>
        <w:b/>
        <w:bCs/>
      </w:rPr>
      <w:tblPr/>
      <w:tcPr>
        <w:tcBorders>
          <w:top w:val="single" w:color="0F9ED5" w:themeColor="accent4" w:sz="8" w:space="0"/>
          <w:left w:val="nil"/>
          <w:bottom w:val="single" w:color="0F9ED5"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138">
    <w:name w:val="Light Shading Accent 5"/>
    <w:basedOn w:val="88"/>
    <w:semiHidden/>
    <w:unhideWhenUsed/>
    <w:qFormat/>
    <w:uiPriority w:val="60"/>
    <w:rPr>
      <w:color w:val="78206E" w:themeColor="accent5" w:themeShade="BF"/>
    </w:rPr>
    <w:tblPr>
      <w:tblBorders>
        <w:top w:val="single" w:color="A02B93" w:themeColor="accent5" w:sz="8" w:space="0"/>
        <w:bottom w:val="single" w:color="A02B93" w:themeColor="accent5" w:sz="8" w:space="0"/>
      </w:tblBorders>
    </w:tblPr>
    <w:tblStylePr w:type="firstRow">
      <w:pPr>
        <w:spacing w:before="0" w:after="0" w:line="240" w:lineRule="auto"/>
      </w:pPr>
      <w:rPr>
        <w:b/>
        <w:bCs/>
      </w:rPr>
      <w:tblPr/>
      <w:tcPr>
        <w:tcBorders>
          <w:top w:val="single" w:color="A02B93" w:themeColor="accent5" w:sz="8" w:space="0"/>
          <w:left w:val="nil"/>
          <w:bottom w:val="single" w:color="A02B93" w:themeColor="accent5" w:sz="8" w:space="0"/>
          <w:right w:val="nil"/>
          <w:insideH w:val="nil"/>
          <w:insideV w:val="nil"/>
        </w:tcBorders>
      </w:tcPr>
    </w:tblStylePr>
    <w:tblStylePr w:type="lastRow">
      <w:pPr>
        <w:spacing w:before="0" w:after="0" w:line="240" w:lineRule="auto"/>
      </w:pPr>
      <w:rPr>
        <w:b/>
        <w:bCs/>
      </w:rPr>
      <w:tblPr/>
      <w:tcPr>
        <w:tcBorders>
          <w:top w:val="single" w:color="A02B93" w:themeColor="accent5" w:sz="8" w:space="0"/>
          <w:left w:val="nil"/>
          <w:bottom w:val="single" w:color="A02B9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3EA" w:themeFill="accent5" w:themeFillTint="3F"/>
      </w:tcPr>
    </w:tblStylePr>
    <w:tblStylePr w:type="band1Horz">
      <w:tblPr/>
      <w:tcPr>
        <w:tcBorders>
          <w:left w:val="nil"/>
          <w:right w:val="nil"/>
          <w:insideH w:val="nil"/>
          <w:insideV w:val="nil"/>
        </w:tcBorders>
        <w:shd w:val="clear" w:color="auto" w:fill="EEC3EA" w:themeFill="accent5" w:themeFillTint="3F"/>
      </w:tcPr>
    </w:tblStylePr>
  </w:style>
  <w:style w:type="table" w:styleId="139">
    <w:name w:val="Light Shading Accent 6"/>
    <w:basedOn w:val="88"/>
    <w:semiHidden/>
    <w:unhideWhenUsed/>
    <w:qFormat/>
    <w:uiPriority w:val="60"/>
    <w:rPr>
      <w:color w:val="3B7D23" w:themeColor="accent6" w:themeShade="BF"/>
    </w:rPr>
    <w:tblPr>
      <w:tblBorders>
        <w:top w:val="single" w:color="4EA72E" w:themeColor="accent6" w:sz="8" w:space="0"/>
        <w:bottom w:val="single" w:color="4EA72E" w:themeColor="accent6" w:sz="8" w:space="0"/>
      </w:tblBorders>
    </w:tblPr>
    <w:tblStylePr w:type="firstRow">
      <w:pPr>
        <w:spacing w:before="0" w:after="0" w:line="240" w:lineRule="auto"/>
      </w:pPr>
      <w:rPr>
        <w:b/>
        <w:bCs/>
      </w:rPr>
      <w:tblPr/>
      <w:tcPr>
        <w:tcBorders>
          <w:top w:val="single" w:color="4EA72E" w:themeColor="accent6" w:sz="8" w:space="0"/>
          <w:left w:val="nil"/>
          <w:bottom w:val="single" w:color="4EA72E" w:themeColor="accent6" w:sz="8" w:space="0"/>
          <w:right w:val="nil"/>
          <w:insideH w:val="nil"/>
          <w:insideV w:val="nil"/>
        </w:tcBorders>
      </w:tcPr>
    </w:tblStylePr>
    <w:tblStylePr w:type="lastRow">
      <w:pPr>
        <w:spacing w:before="0" w:after="0" w:line="240" w:lineRule="auto"/>
      </w:pPr>
      <w:rPr>
        <w:b/>
        <w:bCs/>
      </w:rPr>
      <w:tblPr/>
      <w:tcPr>
        <w:tcBorders>
          <w:top w:val="single" w:color="4EA72E" w:themeColor="accent6" w:sz="8" w:space="0"/>
          <w:left w:val="nil"/>
          <w:bottom w:val="single" w:color="4EA72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156082" w:themeColor="accent1" w:sz="8" w:space="0"/>
        <w:left w:val="single" w:color="156082" w:themeColor="accent1" w:sz="8" w:space="0"/>
        <w:bottom w:val="single" w:color="156082" w:themeColor="accent1" w:sz="8" w:space="0"/>
        <w:right w:val="single" w:color="156082"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156082" w:themeFill="accent1"/>
      </w:tcPr>
    </w:tblStylePr>
    <w:tblStylePr w:type="lastRow">
      <w:pPr>
        <w:spacing w:before="0" w:after="0" w:line="240" w:lineRule="auto"/>
      </w:pPr>
      <w:rPr>
        <w:b/>
        <w:bCs/>
      </w:rPr>
      <w:tblPr/>
      <w:tcPr>
        <w:tcBorders>
          <w:top w:val="double" w:color="156082" w:themeColor="accent1" w:sz="6" w:space="0"/>
          <w:left w:val="single" w:color="156082" w:themeColor="accent1" w:sz="8" w:space="0"/>
          <w:bottom w:val="single" w:color="156082" w:themeColor="accent1" w:sz="8" w:space="0"/>
          <w:right w:val="single" w:color="156082" w:themeColor="accent1" w:sz="8" w:space="0"/>
        </w:tcBorders>
      </w:tcPr>
    </w:tblStylePr>
    <w:tblStylePr w:type="firstCol">
      <w:rPr>
        <w:b/>
        <w:bCs/>
      </w:rPr>
    </w:tblStylePr>
    <w:tblStylePr w:type="lastCol">
      <w:rPr>
        <w:b/>
        <w:bCs/>
      </w:rPr>
    </w:tblStylePr>
    <w:tblStylePr w:type="band1Vert">
      <w:tblPr/>
      <w:tcPr>
        <w:tcBorders>
          <w:top w:val="single" w:color="156082" w:themeColor="accent1" w:sz="8" w:space="0"/>
          <w:left w:val="single" w:color="156082" w:themeColor="accent1" w:sz="8" w:space="0"/>
          <w:bottom w:val="single" w:color="156082" w:themeColor="accent1" w:sz="8" w:space="0"/>
          <w:right w:val="single" w:color="156082" w:themeColor="accent1" w:sz="8" w:space="0"/>
        </w:tcBorders>
      </w:tcPr>
    </w:tblStylePr>
    <w:tblStylePr w:type="band1Horz">
      <w:tblPr/>
      <w:tcPr>
        <w:tcBorders>
          <w:top w:val="single" w:color="156082" w:themeColor="accent1" w:sz="8" w:space="0"/>
          <w:left w:val="single" w:color="156082" w:themeColor="accent1" w:sz="8" w:space="0"/>
          <w:bottom w:val="single" w:color="156082" w:themeColor="accent1" w:sz="8" w:space="0"/>
          <w:right w:val="single" w:color="156082" w:themeColor="accent1" w:sz="8" w:space="0"/>
        </w:tcBorders>
      </w:tcPr>
    </w:tblStylePr>
  </w:style>
  <w:style w:type="table" w:styleId="142">
    <w:name w:val="Light List Accent 2"/>
    <w:basedOn w:val="88"/>
    <w:semiHidden/>
    <w:unhideWhenUsed/>
    <w:qFormat/>
    <w:uiPriority w:val="61"/>
    <w:tblPr>
      <w:tblBorders>
        <w:top w:val="single" w:color="E97132" w:themeColor="accent2" w:sz="8" w:space="0"/>
        <w:left w:val="single" w:color="E97132" w:themeColor="accent2" w:sz="8" w:space="0"/>
        <w:bottom w:val="single" w:color="E97132" w:themeColor="accent2" w:sz="8" w:space="0"/>
        <w:right w:val="single" w:color="E97132"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97132" w:themeFill="accent2"/>
      </w:tcPr>
    </w:tblStylePr>
    <w:tblStylePr w:type="lastRow">
      <w:pPr>
        <w:spacing w:before="0" w:after="0" w:line="240" w:lineRule="auto"/>
      </w:pPr>
      <w:rPr>
        <w:b/>
        <w:bCs/>
      </w:rPr>
      <w:tblPr/>
      <w:tcPr>
        <w:tcBorders>
          <w:top w:val="double" w:color="E97132" w:themeColor="accent2" w:sz="6" w:space="0"/>
          <w:left w:val="single" w:color="E97132" w:themeColor="accent2" w:sz="8" w:space="0"/>
          <w:bottom w:val="single" w:color="E97132" w:themeColor="accent2" w:sz="8" w:space="0"/>
          <w:right w:val="single" w:color="E97132" w:themeColor="accent2" w:sz="8" w:space="0"/>
        </w:tcBorders>
      </w:tcPr>
    </w:tblStylePr>
    <w:tblStylePr w:type="firstCol">
      <w:rPr>
        <w:b/>
        <w:bCs/>
      </w:rPr>
    </w:tblStylePr>
    <w:tblStylePr w:type="lastCol">
      <w:rPr>
        <w:b/>
        <w:bCs/>
      </w:rPr>
    </w:tblStylePr>
    <w:tblStylePr w:type="band1Vert">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tcPr>
    </w:tblStylePr>
    <w:tblStylePr w:type="band1Horz">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tcPr>
    </w:tblStylePr>
  </w:style>
  <w:style w:type="table" w:styleId="143">
    <w:name w:val="Light List Accent 3"/>
    <w:basedOn w:val="88"/>
    <w:semiHidden/>
    <w:unhideWhenUsed/>
    <w:qFormat/>
    <w:uiPriority w:val="61"/>
    <w:tblPr>
      <w:tblBorders>
        <w:top w:val="single" w:color="196B24" w:themeColor="accent3" w:sz="8" w:space="0"/>
        <w:left w:val="single" w:color="196B24" w:themeColor="accent3" w:sz="8" w:space="0"/>
        <w:bottom w:val="single" w:color="196B24" w:themeColor="accent3" w:sz="8" w:space="0"/>
        <w:right w:val="single" w:color="196B24"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196B24" w:themeFill="accent3"/>
      </w:tcPr>
    </w:tblStylePr>
    <w:tblStylePr w:type="lastRow">
      <w:pPr>
        <w:spacing w:before="0" w:after="0" w:line="240" w:lineRule="auto"/>
      </w:pPr>
      <w:rPr>
        <w:b/>
        <w:bCs/>
      </w:rPr>
      <w:tblPr/>
      <w:tcPr>
        <w:tcBorders>
          <w:top w:val="double" w:color="196B24" w:themeColor="accent3" w:sz="6" w:space="0"/>
          <w:left w:val="single" w:color="196B24" w:themeColor="accent3" w:sz="8" w:space="0"/>
          <w:bottom w:val="single" w:color="196B24" w:themeColor="accent3" w:sz="8" w:space="0"/>
          <w:right w:val="single" w:color="196B24" w:themeColor="accent3" w:sz="8" w:space="0"/>
        </w:tcBorders>
      </w:tcPr>
    </w:tblStylePr>
    <w:tblStylePr w:type="firstCol">
      <w:rPr>
        <w:b/>
        <w:bCs/>
      </w:rPr>
    </w:tblStylePr>
    <w:tblStylePr w:type="lastCol">
      <w:rPr>
        <w:b/>
        <w:bCs/>
      </w:rPr>
    </w:tblStylePr>
    <w:tblStylePr w:type="band1Vert">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tblStylePr w:type="band1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style>
  <w:style w:type="table" w:styleId="144">
    <w:name w:val="Light List Accent 4"/>
    <w:basedOn w:val="88"/>
    <w:semiHidden/>
    <w:unhideWhenUsed/>
    <w:qFormat/>
    <w:uiPriority w:val="61"/>
    <w:tblPr>
      <w:tblBorders>
        <w:top w:val="single" w:color="0F9ED5" w:themeColor="accent4" w:sz="8" w:space="0"/>
        <w:left w:val="single" w:color="0F9ED5" w:themeColor="accent4" w:sz="8" w:space="0"/>
        <w:bottom w:val="single" w:color="0F9ED5" w:themeColor="accent4" w:sz="8" w:space="0"/>
        <w:right w:val="single" w:color="0F9ED5"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F9ED5" w:themeFill="accent4"/>
      </w:tcPr>
    </w:tblStylePr>
    <w:tblStylePr w:type="lastRow">
      <w:pPr>
        <w:spacing w:before="0" w:after="0" w:line="240" w:lineRule="auto"/>
      </w:pPr>
      <w:rPr>
        <w:b/>
        <w:bCs/>
      </w:rPr>
      <w:tblPr/>
      <w:tcPr>
        <w:tcBorders>
          <w:top w:val="double" w:color="0F9ED5" w:themeColor="accent4" w:sz="6" w:space="0"/>
          <w:left w:val="single" w:color="0F9ED5" w:themeColor="accent4" w:sz="8" w:space="0"/>
          <w:bottom w:val="single" w:color="0F9ED5" w:themeColor="accent4" w:sz="8" w:space="0"/>
          <w:right w:val="single" w:color="0F9ED5" w:themeColor="accent4" w:sz="8" w:space="0"/>
        </w:tcBorders>
      </w:tcPr>
    </w:tblStylePr>
    <w:tblStylePr w:type="firstCol">
      <w:rPr>
        <w:b/>
        <w:bCs/>
      </w:rPr>
    </w:tblStylePr>
    <w:tblStylePr w:type="lastCol">
      <w:rPr>
        <w:b/>
        <w:bCs/>
      </w:rPr>
    </w:tblStylePr>
    <w:tblStylePr w:type="band1Vert">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tcPr>
    </w:tblStylePr>
    <w:tblStylePr w:type="band1Horz">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tcPr>
    </w:tblStylePr>
  </w:style>
  <w:style w:type="table" w:styleId="145">
    <w:name w:val="Light List Accent 5"/>
    <w:basedOn w:val="88"/>
    <w:semiHidden/>
    <w:unhideWhenUsed/>
    <w:qFormat/>
    <w:uiPriority w:val="61"/>
    <w:tblPr>
      <w:tblBorders>
        <w:top w:val="single" w:color="A02B93" w:themeColor="accent5" w:sz="8" w:space="0"/>
        <w:left w:val="single" w:color="A02B93" w:themeColor="accent5" w:sz="8" w:space="0"/>
        <w:bottom w:val="single" w:color="A02B93" w:themeColor="accent5" w:sz="8" w:space="0"/>
        <w:right w:val="single" w:color="A02B93"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02B93" w:themeFill="accent5"/>
      </w:tcPr>
    </w:tblStylePr>
    <w:tblStylePr w:type="lastRow">
      <w:pPr>
        <w:spacing w:before="0" w:after="0" w:line="240" w:lineRule="auto"/>
      </w:pPr>
      <w:rPr>
        <w:b/>
        <w:bCs/>
      </w:rPr>
      <w:tblPr/>
      <w:tcPr>
        <w:tcBorders>
          <w:top w:val="double" w:color="A02B93" w:themeColor="accent5" w:sz="6" w:space="0"/>
          <w:left w:val="single" w:color="A02B93" w:themeColor="accent5" w:sz="8" w:space="0"/>
          <w:bottom w:val="single" w:color="A02B93" w:themeColor="accent5" w:sz="8" w:space="0"/>
          <w:right w:val="single" w:color="A02B93" w:themeColor="accent5" w:sz="8" w:space="0"/>
        </w:tcBorders>
      </w:tcPr>
    </w:tblStylePr>
    <w:tblStylePr w:type="firstCol">
      <w:rPr>
        <w:b/>
        <w:bCs/>
      </w:rPr>
    </w:tblStylePr>
    <w:tblStylePr w:type="lastCol">
      <w:rPr>
        <w:b/>
        <w:bCs/>
      </w:rPr>
    </w:tblStylePr>
    <w:tblStylePr w:type="band1Vert">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tcPr>
    </w:tblStylePr>
    <w:tblStylePr w:type="band1Horz">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tcPr>
    </w:tblStylePr>
  </w:style>
  <w:style w:type="table" w:styleId="146">
    <w:name w:val="Light List Accent 6"/>
    <w:basedOn w:val="88"/>
    <w:semiHidden/>
    <w:unhideWhenUsed/>
    <w:qFormat/>
    <w:uiPriority w:val="61"/>
    <w:tblPr>
      <w:tblBorders>
        <w:top w:val="single" w:color="4EA72E" w:themeColor="accent6" w:sz="8" w:space="0"/>
        <w:left w:val="single" w:color="4EA72E" w:themeColor="accent6" w:sz="8" w:space="0"/>
        <w:bottom w:val="single" w:color="4EA72E" w:themeColor="accent6" w:sz="8" w:space="0"/>
        <w:right w:val="single" w:color="4EA72E"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EA72E" w:themeFill="accent6"/>
      </w:tcPr>
    </w:tblStylePr>
    <w:tblStylePr w:type="lastRow">
      <w:pPr>
        <w:spacing w:before="0" w:after="0" w:line="240" w:lineRule="auto"/>
      </w:pPr>
      <w:rPr>
        <w:b/>
        <w:bCs/>
      </w:rPr>
      <w:tblPr/>
      <w:tcPr>
        <w:tcBorders>
          <w:top w:val="double" w:color="4EA72E" w:themeColor="accent6" w:sz="6" w:space="0"/>
          <w:left w:val="single" w:color="4EA72E" w:themeColor="accent6" w:sz="8" w:space="0"/>
          <w:bottom w:val="single" w:color="4EA72E" w:themeColor="accent6" w:sz="8" w:space="0"/>
          <w:right w:val="single" w:color="4EA72E" w:themeColor="accent6" w:sz="8" w:space="0"/>
        </w:tcBorders>
      </w:tcPr>
    </w:tblStylePr>
    <w:tblStylePr w:type="firstCol">
      <w:rPr>
        <w:b/>
        <w:bCs/>
      </w:rPr>
    </w:tblStylePr>
    <w:tblStylePr w:type="lastCol">
      <w:rPr>
        <w:b/>
        <w:bCs/>
      </w:rPr>
    </w:tblStylePr>
    <w:tblStylePr w:type="band1Vert">
      <w:tblPr/>
      <w:tcPr>
        <w:tcBorders>
          <w:top w:val="single" w:color="4EA72E" w:themeColor="accent6" w:sz="8" w:space="0"/>
          <w:left w:val="single" w:color="4EA72E" w:themeColor="accent6" w:sz="8" w:space="0"/>
          <w:bottom w:val="single" w:color="4EA72E" w:themeColor="accent6" w:sz="8" w:space="0"/>
          <w:right w:val="single" w:color="4EA72E" w:themeColor="accent6" w:sz="8" w:space="0"/>
        </w:tcBorders>
      </w:tcPr>
    </w:tblStylePr>
    <w:tblStylePr w:type="band1Horz">
      <w:tblPr/>
      <w:tcPr>
        <w:tcBorders>
          <w:top w:val="single" w:color="4EA72E" w:themeColor="accent6" w:sz="8" w:space="0"/>
          <w:left w:val="single" w:color="4EA72E" w:themeColor="accent6" w:sz="8" w:space="0"/>
          <w:bottom w:val="single" w:color="4EA72E" w:themeColor="accent6" w:sz="8" w:space="0"/>
          <w:right w:val="single" w:color="4EA72E"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156082" w:themeColor="accent1" w:sz="8" w:space="0"/>
        <w:left w:val="single" w:color="156082" w:themeColor="accent1" w:sz="8" w:space="0"/>
        <w:bottom w:val="single" w:color="156082" w:themeColor="accent1" w:sz="8" w:space="0"/>
        <w:right w:val="single" w:color="156082" w:themeColor="accent1" w:sz="8" w:space="0"/>
        <w:insideH w:val="single" w:color="156082" w:themeColor="accent1" w:sz="8" w:space="0"/>
        <w:insideV w:val="single" w:color="15608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56082" w:themeColor="accent1" w:sz="8" w:space="0"/>
          <w:left w:val="single" w:color="156082" w:themeColor="accent1" w:sz="8" w:space="0"/>
          <w:bottom w:val="single" w:color="156082" w:themeColor="accent1" w:sz="18" w:space="0"/>
          <w:right w:val="single" w:color="156082"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56082" w:themeColor="accent1" w:sz="6" w:space="0"/>
          <w:left w:val="single" w:color="156082" w:themeColor="accent1" w:sz="8" w:space="0"/>
          <w:bottom w:val="single" w:color="156082" w:themeColor="accent1" w:sz="8" w:space="0"/>
          <w:right w:val="single" w:color="156082"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56082" w:themeColor="accent1" w:sz="8" w:space="0"/>
          <w:left w:val="single" w:color="156082" w:themeColor="accent1" w:sz="8" w:space="0"/>
          <w:bottom w:val="single" w:color="156082" w:themeColor="accent1" w:sz="8" w:space="0"/>
          <w:right w:val="single" w:color="156082" w:themeColor="accent1" w:sz="8" w:space="0"/>
        </w:tcBorders>
      </w:tcPr>
    </w:tblStylePr>
    <w:tblStylePr w:type="band1Vert">
      <w:tblPr/>
      <w:tcPr>
        <w:tcBorders>
          <w:top w:val="single" w:color="156082" w:themeColor="accent1" w:sz="8" w:space="0"/>
          <w:left w:val="single" w:color="156082" w:themeColor="accent1" w:sz="8" w:space="0"/>
          <w:bottom w:val="single" w:color="156082" w:themeColor="accent1" w:sz="8" w:space="0"/>
          <w:right w:val="single" w:color="156082" w:themeColor="accent1" w:sz="8" w:space="0"/>
        </w:tcBorders>
        <w:shd w:val="clear" w:color="auto" w:fill="B2DEF2" w:themeFill="accent1" w:themeFillTint="3F"/>
      </w:tcPr>
    </w:tblStylePr>
    <w:tblStylePr w:type="band1Horz">
      <w:tblPr/>
      <w:tcPr>
        <w:tcBorders>
          <w:top w:val="single" w:color="156082" w:themeColor="accent1" w:sz="8" w:space="0"/>
          <w:left w:val="single" w:color="156082" w:themeColor="accent1" w:sz="8" w:space="0"/>
          <w:bottom w:val="single" w:color="156082" w:themeColor="accent1" w:sz="8" w:space="0"/>
          <w:right w:val="single" w:color="156082" w:themeColor="accent1" w:sz="8" w:space="0"/>
          <w:insideV w:val="single" w:sz="8" w:space="0"/>
        </w:tcBorders>
        <w:shd w:val="clear" w:color="auto" w:fill="B2DEF2" w:themeFill="accent1" w:themeFillTint="3F"/>
      </w:tcPr>
    </w:tblStylePr>
    <w:tblStylePr w:type="band2Horz">
      <w:tblPr/>
      <w:tcPr>
        <w:tcBorders>
          <w:top w:val="single" w:color="156082" w:themeColor="accent1" w:sz="8" w:space="0"/>
          <w:left w:val="single" w:color="156082" w:themeColor="accent1" w:sz="8" w:space="0"/>
          <w:bottom w:val="single" w:color="156082" w:themeColor="accent1" w:sz="8" w:space="0"/>
          <w:right w:val="single" w:color="156082" w:themeColor="accent1" w:sz="8" w:space="0"/>
          <w:insideV w:val="single" w:sz="8" w:space="0"/>
        </w:tcBorders>
      </w:tcPr>
    </w:tblStylePr>
  </w:style>
  <w:style w:type="table" w:styleId="149">
    <w:name w:val="Light Grid Accent 2"/>
    <w:basedOn w:val="88"/>
    <w:semiHidden/>
    <w:unhideWhenUsed/>
    <w:qFormat/>
    <w:uiPriority w:val="62"/>
    <w:tblPr>
      <w:tblBorders>
        <w:top w:val="single" w:color="E97132" w:themeColor="accent2" w:sz="8" w:space="0"/>
        <w:left w:val="single" w:color="E97132" w:themeColor="accent2" w:sz="8" w:space="0"/>
        <w:bottom w:val="single" w:color="E97132" w:themeColor="accent2" w:sz="8" w:space="0"/>
        <w:right w:val="single" w:color="E97132" w:themeColor="accent2" w:sz="8" w:space="0"/>
        <w:insideH w:val="single" w:color="E97132" w:themeColor="accent2" w:sz="8" w:space="0"/>
        <w:insideV w:val="single" w:color="E9713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97132" w:themeColor="accent2" w:sz="8" w:space="0"/>
          <w:left w:val="single" w:color="E97132" w:themeColor="accent2" w:sz="8" w:space="0"/>
          <w:bottom w:val="single" w:color="E97132" w:themeColor="accent2" w:sz="18" w:space="0"/>
          <w:right w:val="single" w:color="E97132"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97132" w:themeColor="accent2" w:sz="6" w:space="0"/>
          <w:left w:val="single" w:color="E97132" w:themeColor="accent2" w:sz="8" w:space="0"/>
          <w:bottom w:val="single" w:color="E97132" w:themeColor="accent2" w:sz="8" w:space="0"/>
          <w:right w:val="single" w:color="E97132"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tcPr>
    </w:tblStylePr>
    <w:tblStylePr w:type="band1Vert">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shd w:val="clear" w:color="auto" w:fill="F9DBCC" w:themeFill="accent2" w:themeFillTint="3F"/>
      </w:tcPr>
    </w:tblStylePr>
    <w:tblStylePr w:type="band1Horz">
      <w:tblPr/>
      <w:tcPr>
        <w:tcBorders>
          <w:top w:val="single" w:color="E97132" w:themeColor="accent2" w:sz="8" w:space="0"/>
          <w:left w:val="single" w:color="E97132" w:themeColor="accent2" w:sz="8" w:space="0"/>
          <w:bottom w:val="single" w:color="E97132" w:themeColor="accent2" w:sz="8" w:space="0"/>
          <w:right w:val="single" w:color="E97132" w:themeColor="accent2" w:sz="8" w:space="0"/>
          <w:insideV w:val="single" w:sz="8" w:space="0"/>
        </w:tcBorders>
        <w:shd w:val="clear" w:color="auto" w:fill="F9DBCC" w:themeFill="accent2" w:themeFillTint="3F"/>
      </w:tcPr>
    </w:tblStylePr>
    <w:tblStylePr w:type="band2Horz">
      <w:tblPr/>
      <w:tcPr>
        <w:tcBorders>
          <w:top w:val="single" w:color="E97132" w:themeColor="accent2" w:sz="8" w:space="0"/>
          <w:left w:val="single" w:color="E97132" w:themeColor="accent2" w:sz="8" w:space="0"/>
          <w:bottom w:val="single" w:color="E97132" w:themeColor="accent2" w:sz="8" w:space="0"/>
          <w:right w:val="single" w:color="E97132" w:themeColor="accent2" w:sz="8" w:space="0"/>
          <w:insideV w:val="single" w:sz="8" w:space="0"/>
        </w:tcBorders>
      </w:tcPr>
    </w:tblStylePr>
  </w:style>
  <w:style w:type="table" w:styleId="150">
    <w:name w:val="Light Grid Accent 3"/>
    <w:basedOn w:val="88"/>
    <w:semiHidden/>
    <w:unhideWhenUsed/>
    <w:qFormat/>
    <w:uiPriority w:val="62"/>
    <w:tblPr>
      <w:tblBorders>
        <w:top w:val="single" w:color="196B24" w:themeColor="accent3" w:sz="8" w:space="0"/>
        <w:left w:val="single" w:color="196B24" w:themeColor="accent3" w:sz="8" w:space="0"/>
        <w:bottom w:val="single" w:color="196B24" w:themeColor="accent3" w:sz="8" w:space="0"/>
        <w:right w:val="single" w:color="196B24" w:themeColor="accent3" w:sz="8" w:space="0"/>
        <w:insideH w:val="single" w:color="196B24" w:themeColor="accent3" w:sz="8" w:space="0"/>
        <w:insideV w:val="single" w:color="196B2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96B24" w:themeColor="accent3" w:sz="8" w:space="0"/>
          <w:left w:val="single" w:color="196B24" w:themeColor="accent3" w:sz="8" w:space="0"/>
          <w:bottom w:val="single" w:color="196B24" w:themeColor="accent3" w:sz="18" w:space="0"/>
          <w:right w:val="single" w:color="196B24"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96B24" w:themeColor="accent3" w:sz="6" w:space="0"/>
          <w:left w:val="single" w:color="196B24" w:themeColor="accent3" w:sz="8" w:space="0"/>
          <w:bottom w:val="single" w:color="196B24" w:themeColor="accent3" w:sz="8" w:space="0"/>
          <w:right w:val="single" w:color="196B24"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tblStylePr w:type="band1Vert">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shd w:val="clear" w:color="auto" w:fill="B3EDBB" w:themeFill="accent3" w:themeFillTint="3F"/>
      </w:tcPr>
    </w:tblStylePr>
    <w:tblStylePr w:type="band1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insideV w:val="single" w:sz="8" w:space="0"/>
        </w:tcBorders>
        <w:shd w:val="clear" w:color="auto" w:fill="B3EDBB" w:themeFill="accent3" w:themeFillTint="3F"/>
      </w:tcPr>
    </w:tblStylePr>
    <w:tblStylePr w:type="band2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insideV w:val="single" w:sz="8" w:space="0"/>
        </w:tcBorders>
      </w:tcPr>
    </w:tblStylePr>
  </w:style>
  <w:style w:type="table" w:styleId="151">
    <w:name w:val="Light Grid Accent 4"/>
    <w:basedOn w:val="88"/>
    <w:semiHidden/>
    <w:unhideWhenUsed/>
    <w:qFormat/>
    <w:uiPriority w:val="62"/>
    <w:tblPr>
      <w:tblBorders>
        <w:top w:val="single" w:color="0F9ED5" w:themeColor="accent4" w:sz="8" w:space="0"/>
        <w:left w:val="single" w:color="0F9ED5" w:themeColor="accent4" w:sz="8" w:space="0"/>
        <w:bottom w:val="single" w:color="0F9ED5" w:themeColor="accent4" w:sz="8" w:space="0"/>
        <w:right w:val="single" w:color="0F9ED5" w:themeColor="accent4" w:sz="8" w:space="0"/>
        <w:insideH w:val="single" w:color="0F9ED5" w:themeColor="accent4" w:sz="8" w:space="0"/>
        <w:insideV w:val="single" w:color="0F9ED5"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F9ED5" w:themeColor="accent4" w:sz="8" w:space="0"/>
          <w:left w:val="single" w:color="0F9ED5" w:themeColor="accent4" w:sz="8" w:space="0"/>
          <w:bottom w:val="single" w:color="0F9ED5" w:themeColor="accent4" w:sz="18" w:space="0"/>
          <w:right w:val="single" w:color="0F9ED5"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F9ED5" w:themeColor="accent4" w:sz="6" w:space="0"/>
          <w:left w:val="single" w:color="0F9ED5" w:themeColor="accent4" w:sz="8" w:space="0"/>
          <w:bottom w:val="single" w:color="0F9ED5" w:themeColor="accent4" w:sz="8" w:space="0"/>
          <w:right w:val="single" w:color="0F9ED5"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tcPr>
    </w:tblStylePr>
    <w:tblStylePr w:type="band1Vert">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shd w:val="clear" w:color="auto" w:fill="BDE9FA" w:themeFill="accent4" w:themeFillTint="3F"/>
      </w:tcPr>
    </w:tblStylePr>
    <w:tblStylePr w:type="band1Horz">
      <w:tblPr/>
      <w:tcPr>
        <w:tcBorders>
          <w:top w:val="single" w:color="0F9ED5" w:themeColor="accent4" w:sz="8" w:space="0"/>
          <w:left w:val="single" w:color="0F9ED5" w:themeColor="accent4" w:sz="8" w:space="0"/>
          <w:bottom w:val="single" w:color="0F9ED5" w:themeColor="accent4" w:sz="8" w:space="0"/>
          <w:right w:val="single" w:color="0F9ED5" w:themeColor="accent4" w:sz="8" w:space="0"/>
          <w:insideV w:val="single" w:sz="8" w:space="0"/>
        </w:tcBorders>
        <w:shd w:val="clear" w:color="auto" w:fill="BDE9FA" w:themeFill="accent4" w:themeFillTint="3F"/>
      </w:tcPr>
    </w:tblStylePr>
    <w:tblStylePr w:type="band2Horz">
      <w:tblPr/>
      <w:tcPr>
        <w:tcBorders>
          <w:top w:val="single" w:color="0F9ED5" w:themeColor="accent4" w:sz="8" w:space="0"/>
          <w:left w:val="single" w:color="0F9ED5" w:themeColor="accent4" w:sz="8" w:space="0"/>
          <w:bottom w:val="single" w:color="0F9ED5" w:themeColor="accent4" w:sz="8" w:space="0"/>
          <w:right w:val="single" w:color="0F9ED5" w:themeColor="accent4" w:sz="8" w:space="0"/>
          <w:insideV w:val="single" w:sz="8" w:space="0"/>
        </w:tcBorders>
      </w:tcPr>
    </w:tblStylePr>
  </w:style>
  <w:style w:type="table" w:styleId="152">
    <w:name w:val="Light Grid Accent 5"/>
    <w:basedOn w:val="88"/>
    <w:semiHidden/>
    <w:unhideWhenUsed/>
    <w:qFormat/>
    <w:uiPriority w:val="62"/>
    <w:tblPr>
      <w:tblBorders>
        <w:top w:val="single" w:color="A02B93" w:themeColor="accent5" w:sz="8" w:space="0"/>
        <w:left w:val="single" w:color="A02B93" w:themeColor="accent5" w:sz="8" w:space="0"/>
        <w:bottom w:val="single" w:color="A02B93" w:themeColor="accent5" w:sz="8" w:space="0"/>
        <w:right w:val="single" w:color="A02B93" w:themeColor="accent5" w:sz="8" w:space="0"/>
        <w:insideH w:val="single" w:color="A02B93" w:themeColor="accent5" w:sz="8" w:space="0"/>
        <w:insideV w:val="single" w:color="A02B9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02B93" w:themeColor="accent5" w:sz="8" w:space="0"/>
          <w:left w:val="single" w:color="A02B93" w:themeColor="accent5" w:sz="8" w:space="0"/>
          <w:bottom w:val="single" w:color="A02B93" w:themeColor="accent5" w:sz="18" w:space="0"/>
          <w:right w:val="single" w:color="A02B93"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02B93" w:themeColor="accent5" w:sz="6" w:space="0"/>
          <w:left w:val="single" w:color="A02B93" w:themeColor="accent5" w:sz="8" w:space="0"/>
          <w:bottom w:val="single" w:color="A02B93" w:themeColor="accent5" w:sz="8" w:space="0"/>
          <w:right w:val="single" w:color="A02B93"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tcPr>
    </w:tblStylePr>
    <w:tblStylePr w:type="band1Vert">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shd w:val="clear" w:color="auto" w:fill="EEC3EA" w:themeFill="accent5" w:themeFillTint="3F"/>
      </w:tcPr>
    </w:tblStylePr>
    <w:tblStylePr w:type="band1Horz">
      <w:tblPr/>
      <w:tcPr>
        <w:tcBorders>
          <w:top w:val="single" w:color="A02B93" w:themeColor="accent5" w:sz="8" w:space="0"/>
          <w:left w:val="single" w:color="A02B93" w:themeColor="accent5" w:sz="8" w:space="0"/>
          <w:bottom w:val="single" w:color="A02B93" w:themeColor="accent5" w:sz="8" w:space="0"/>
          <w:right w:val="single" w:color="A02B93" w:themeColor="accent5" w:sz="8" w:space="0"/>
          <w:insideV w:val="single" w:sz="8" w:space="0"/>
        </w:tcBorders>
        <w:shd w:val="clear" w:color="auto" w:fill="EEC3EA" w:themeFill="accent5" w:themeFillTint="3F"/>
      </w:tcPr>
    </w:tblStylePr>
    <w:tblStylePr w:type="band2Horz">
      <w:tblPr/>
      <w:tcPr>
        <w:tcBorders>
          <w:top w:val="single" w:color="A02B93" w:themeColor="accent5" w:sz="8" w:space="0"/>
          <w:left w:val="single" w:color="A02B93" w:themeColor="accent5" w:sz="8" w:space="0"/>
          <w:bottom w:val="single" w:color="A02B93" w:themeColor="accent5" w:sz="8" w:space="0"/>
          <w:right w:val="single" w:color="A02B93" w:themeColor="accent5" w:sz="8" w:space="0"/>
          <w:insideV w:val="single" w:sz="8" w:space="0"/>
        </w:tcBorders>
      </w:tcPr>
    </w:tblStylePr>
  </w:style>
  <w:style w:type="table" w:styleId="153">
    <w:name w:val="Light Grid Accent 6"/>
    <w:basedOn w:val="88"/>
    <w:semiHidden/>
    <w:unhideWhenUsed/>
    <w:qFormat/>
    <w:uiPriority w:val="62"/>
    <w:tblPr>
      <w:tblBorders>
        <w:top w:val="single" w:color="4EA72E" w:themeColor="accent6" w:sz="8" w:space="0"/>
        <w:left w:val="single" w:color="4EA72E" w:themeColor="accent6" w:sz="8" w:space="0"/>
        <w:bottom w:val="single" w:color="4EA72E" w:themeColor="accent6" w:sz="8" w:space="0"/>
        <w:right w:val="single" w:color="4EA72E" w:themeColor="accent6" w:sz="8" w:space="0"/>
        <w:insideH w:val="single" w:color="4EA72E" w:themeColor="accent6" w:sz="8" w:space="0"/>
        <w:insideV w:val="single" w:color="4EA72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EA72E" w:themeColor="accent6" w:sz="8" w:space="0"/>
          <w:left w:val="single" w:color="4EA72E" w:themeColor="accent6" w:sz="8" w:space="0"/>
          <w:bottom w:val="single" w:color="4EA72E" w:themeColor="accent6" w:sz="18" w:space="0"/>
          <w:right w:val="single" w:color="4EA72E"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EA72E" w:themeColor="accent6" w:sz="6" w:space="0"/>
          <w:left w:val="single" w:color="4EA72E" w:themeColor="accent6" w:sz="8" w:space="0"/>
          <w:bottom w:val="single" w:color="4EA72E" w:themeColor="accent6" w:sz="8" w:space="0"/>
          <w:right w:val="single" w:color="4EA72E"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EA72E" w:themeColor="accent6" w:sz="8" w:space="0"/>
          <w:left w:val="single" w:color="4EA72E" w:themeColor="accent6" w:sz="8" w:space="0"/>
          <w:bottom w:val="single" w:color="4EA72E" w:themeColor="accent6" w:sz="8" w:space="0"/>
          <w:right w:val="single" w:color="4EA72E" w:themeColor="accent6" w:sz="8" w:space="0"/>
        </w:tcBorders>
      </w:tcPr>
    </w:tblStylePr>
    <w:tblStylePr w:type="band1Vert">
      <w:tblPr/>
      <w:tcPr>
        <w:tcBorders>
          <w:top w:val="single" w:color="4EA72E" w:themeColor="accent6" w:sz="8" w:space="0"/>
          <w:left w:val="single" w:color="4EA72E" w:themeColor="accent6" w:sz="8" w:space="0"/>
          <w:bottom w:val="single" w:color="4EA72E" w:themeColor="accent6" w:sz="8" w:space="0"/>
          <w:right w:val="single" w:color="4EA72E" w:themeColor="accent6" w:sz="8" w:space="0"/>
        </w:tcBorders>
        <w:shd w:val="clear" w:color="auto" w:fill="D0EFC5" w:themeFill="accent6" w:themeFillTint="3F"/>
      </w:tcPr>
    </w:tblStylePr>
    <w:tblStylePr w:type="band1Horz">
      <w:tblPr/>
      <w:tcPr>
        <w:tcBorders>
          <w:top w:val="single" w:color="4EA72E" w:themeColor="accent6" w:sz="8" w:space="0"/>
          <w:left w:val="single" w:color="4EA72E" w:themeColor="accent6" w:sz="8" w:space="0"/>
          <w:bottom w:val="single" w:color="4EA72E" w:themeColor="accent6" w:sz="8" w:space="0"/>
          <w:right w:val="single" w:color="4EA72E" w:themeColor="accent6" w:sz="8" w:space="0"/>
          <w:insideV w:val="single" w:sz="8" w:space="0"/>
        </w:tcBorders>
        <w:shd w:val="clear" w:color="auto" w:fill="D0EFC5" w:themeFill="accent6" w:themeFillTint="3F"/>
      </w:tcPr>
    </w:tblStylePr>
    <w:tblStylePr w:type="band2Horz">
      <w:tblPr/>
      <w:tcPr>
        <w:tcBorders>
          <w:top w:val="single" w:color="4EA72E" w:themeColor="accent6" w:sz="8" w:space="0"/>
          <w:left w:val="single" w:color="4EA72E" w:themeColor="accent6" w:sz="8" w:space="0"/>
          <w:bottom w:val="single" w:color="4EA72E" w:themeColor="accent6" w:sz="8" w:space="0"/>
          <w:right w:val="single" w:color="4EA72E"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2199CF" w:themeColor="accent1" w:themeTint="BF" w:sz="8" w:space="0"/>
        <w:left w:val="single" w:color="2199CF" w:themeColor="accent1" w:themeTint="BF" w:sz="8" w:space="0"/>
        <w:bottom w:val="single" w:color="2199CF" w:themeColor="accent1" w:themeTint="BF" w:sz="8" w:space="0"/>
        <w:right w:val="single" w:color="2199CF" w:themeColor="accent1" w:themeTint="BF" w:sz="8" w:space="0"/>
        <w:insideH w:val="single" w:color="2199C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2199CF" w:themeColor="accent1" w:themeTint="BF" w:sz="8" w:space="0"/>
          <w:left w:val="single" w:color="2199CF" w:themeColor="accent1" w:themeTint="BF" w:sz="8" w:space="0"/>
          <w:bottom w:val="single" w:color="2199CF" w:themeColor="accent1" w:themeTint="BF" w:sz="8" w:space="0"/>
          <w:right w:val="single" w:color="2199CF" w:themeColor="accent1" w:themeTint="BF" w:sz="8" w:space="0"/>
          <w:insideH w:val="nil"/>
          <w:insideV w:val="nil"/>
        </w:tcBorders>
        <w:shd w:val="clear" w:color="auto" w:fill="156082" w:themeFill="accent1"/>
      </w:tcPr>
    </w:tblStylePr>
    <w:tblStylePr w:type="lastRow">
      <w:pPr>
        <w:spacing w:before="0" w:after="0" w:line="240" w:lineRule="auto"/>
      </w:pPr>
      <w:rPr>
        <w:b/>
        <w:bCs/>
      </w:rPr>
      <w:tblPr/>
      <w:tcPr>
        <w:tcBorders>
          <w:top w:val="double" w:color="2199CF" w:themeColor="accent1" w:themeTint="BF" w:sz="6" w:space="0"/>
          <w:left w:val="single" w:color="2199CF" w:themeColor="accent1" w:themeTint="BF" w:sz="8" w:space="0"/>
          <w:bottom w:val="single" w:color="2199CF" w:themeColor="accent1" w:themeTint="BF" w:sz="8" w:space="0"/>
          <w:right w:val="single" w:color="2199C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EE9465" w:themeColor="accent2" w:themeTint="BF" w:sz="8" w:space="0"/>
        <w:left w:val="single" w:color="EE9465" w:themeColor="accent2" w:themeTint="BF" w:sz="8" w:space="0"/>
        <w:bottom w:val="single" w:color="EE9465" w:themeColor="accent2" w:themeTint="BF" w:sz="8" w:space="0"/>
        <w:right w:val="single" w:color="EE9465" w:themeColor="accent2" w:themeTint="BF" w:sz="8" w:space="0"/>
        <w:insideH w:val="single" w:color="EE9465"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E9465" w:themeColor="accent2" w:themeTint="BF" w:sz="8" w:space="0"/>
          <w:left w:val="single" w:color="EE9465" w:themeColor="accent2" w:themeTint="BF" w:sz="8" w:space="0"/>
          <w:bottom w:val="single" w:color="EE9465" w:themeColor="accent2" w:themeTint="BF" w:sz="8" w:space="0"/>
          <w:right w:val="single" w:color="EE9465" w:themeColor="accent2" w:themeTint="BF" w:sz="8" w:space="0"/>
          <w:insideH w:val="nil"/>
          <w:insideV w:val="nil"/>
        </w:tcBorders>
        <w:shd w:val="clear" w:color="auto" w:fill="E97132" w:themeFill="accent2"/>
      </w:tcPr>
    </w:tblStylePr>
    <w:tblStylePr w:type="lastRow">
      <w:pPr>
        <w:spacing w:before="0" w:after="0" w:line="240" w:lineRule="auto"/>
      </w:pPr>
      <w:rPr>
        <w:b/>
        <w:bCs/>
      </w:rPr>
      <w:tblPr/>
      <w:tcPr>
        <w:tcBorders>
          <w:top w:val="double" w:color="EE9465" w:themeColor="accent2" w:themeTint="BF" w:sz="6" w:space="0"/>
          <w:left w:val="single" w:color="EE9465" w:themeColor="accent2" w:themeTint="BF" w:sz="8" w:space="0"/>
          <w:bottom w:val="single" w:color="EE9465" w:themeColor="accent2" w:themeTint="BF" w:sz="8" w:space="0"/>
          <w:right w:val="single" w:color="EE946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2AB73D" w:themeColor="accent3" w:themeTint="BF" w:sz="8" w:space="0"/>
        <w:left w:val="single" w:color="2AB73D" w:themeColor="accent3" w:themeTint="BF" w:sz="8" w:space="0"/>
        <w:bottom w:val="single" w:color="2AB73D" w:themeColor="accent3" w:themeTint="BF" w:sz="8" w:space="0"/>
        <w:right w:val="single" w:color="2AB73D" w:themeColor="accent3" w:themeTint="BF" w:sz="8" w:space="0"/>
        <w:insideH w:val="single" w:color="2AB73D"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2AB73D" w:themeColor="accent3" w:themeTint="BF" w:sz="8" w:space="0"/>
          <w:left w:val="single" w:color="2AB73D" w:themeColor="accent3" w:themeTint="BF" w:sz="8" w:space="0"/>
          <w:bottom w:val="single" w:color="2AB73D" w:themeColor="accent3" w:themeTint="BF" w:sz="8" w:space="0"/>
          <w:right w:val="single" w:color="2AB73D" w:themeColor="accent3" w:themeTint="BF" w:sz="8" w:space="0"/>
          <w:insideH w:val="nil"/>
          <w:insideV w:val="nil"/>
        </w:tcBorders>
        <w:shd w:val="clear" w:color="auto" w:fill="196B24" w:themeFill="accent3"/>
      </w:tcPr>
    </w:tblStylePr>
    <w:tblStylePr w:type="lastRow">
      <w:pPr>
        <w:spacing w:before="0" w:after="0" w:line="240" w:lineRule="auto"/>
      </w:pPr>
      <w:rPr>
        <w:b/>
        <w:bCs/>
      </w:rPr>
      <w:tblPr/>
      <w:tcPr>
        <w:tcBorders>
          <w:top w:val="double" w:color="2AB73D" w:themeColor="accent3" w:themeTint="BF" w:sz="6" w:space="0"/>
          <w:left w:val="single" w:color="2AB73D" w:themeColor="accent3" w:themeTint="BF" w:sz="8" w:space="0"/>
          <w:bottom w:val="single" w:color="2AB73D" w:themeColor="accent3" w:themeTint="BF" w:sz="8" w:space="0"/>
          <w:right w:val="single" w:color="2AB73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DBB" w:themeFill="accent3" w:themeFillTint="3F"/>
      </w:tcPr>
    </w:tblStylePr>
    <w:tblStylePr w:type="band1Horz">
      <w:tblPr/>
      <w:tcPr>
        <w:tcBorders>
          <w:insideH w:val="nil"/>
          <w:insideV w:val="nil"/>
        </w:tcBorders>
        <w:shd w:val="clear" w:color="auto" w:fill="B3EDBB"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39BEF1" w:themeColor="accent4" w:themeTint="BF" w:sz="8" w:space="0"/>
        <w:left w:val="single" w:color="39BEF1" w:themeColor="accent4" w:themeTint="BF" w:sz="8" w:space="0"/>
        <w:bottom w:val="single" w:color="39BEF1" w:themeColor="accent4" w:themeTint="BF" w:sz="8" w:space="0"/>
        <w:right w:val="single" w:color="39BEF1" w:themeColor="accent4" w:themeTint="BF" w:sz="8" w:space="0"/>
        <w:insideH w:val="single" w:color="39BEF1"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9BEF1" w:themeColor="accent4" w:themeTint="BF" w:sz="8" w:space="0"/>
          <w:left w:val="single" w:color="39BEF1" w:themeColor="accent4" w:themeTint="BF" w:sz="8" w:space="0"/>
          <w:bottom w:val="single" w:color="39BEF1" w:themeColor="accent4" w:themeTint="BF" w:sz="8" w:space="0"/>
          <w:right w:val="single" w:color="39BEF1" w:themeColor="accent4" w:themeTint="BF" w:sz="8" w:space="0"/>
          <w:insideH w:val="nil"/>
          <w:insideV w:val="nil"/>
        </w:tcBorders>
        <w:shd w:val="clear" w:color="auto" w:fill="0F9ED5" w:themeFill="accent4"/>
      </w:tcPr>
    </w:tblStylePr>
    <w:tblStylePr w:type="lastRow">
      <w:pPr>
        <w:spacing w:before="0" w:after="0" w:line="240" w:lineRule="auto"/>
      </w:pPr>
      <w:rPr>
        <w:b/>
        <w:bCs/>
      </w:rPr>
      <w:tblPr/>
      <w:tcPr>
        <w:tcBorders>
          <w:top w:val="double" w:color="39BEF1" w:themeColor="accent4" w:themeTint="BF" w:sz="6" w:space="0"/>
          <w:left w:val="single" w:color="39BEF1" w:themeColor="accent4" w:themeTint="BF" w:sz="8" w:space="0"/>
          <w:bottom w:val="single" w:color="39BEF1" w:themeColor="accent4" w:themeTint="BF" w:sz="8" w:space="0"/>
          <w:right w:val="single" w:color="39BE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CE49BF" w:themeColor="accent5" w:themeTint="BF" w:sz="8" w:space="0"/>
        <w:left w:val="single" w:color="CE49BF" w:themeColor="accent5" w:themeTint="BF" w:sz="8" w:space="0"/>
        <w:bottom w:val="single" w:color="CE49BF" w:themeColor="accent5" w:themeTint="BF" w:sz="8" w:space="0"/>
        <w:right w:val="single" w:color="CE49BF" w:themeColor="accent5" w:themeTint="BF" w:sz="8" w:space="0"/>
        <w:insideH w:val="single" w:color="CE49B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E49BF" w:themeColor="accent5" w:themeTint="BF" w:sz="8" w:space="0"/>
          <w:left w:val="single" w:color="CE49BF" w:themeColor="accent5" w:themeTint="BF" w:sz="8" w:space="0"/>
          <w:bottom w:val="single" w:color="CE49BF" w:themeColor="accent5" w:themeTint="BF" w:sz="8" w:space="0"/>
          <w:right w:val="single" w:color="CE49BF" w:themeColor="accent5" w:themeTint="BF" w:sz="8" w:space="0"/>
          <w:insideH w:val="nil"/>
          <w:insideV w:val="nil"/>
        </w:tcBorders>
        <w:shd w:val="clear" w:color="auto" w:fill="A02B93" w:themeFill="accent5"/>
      </w:tcPr>
    </w:tblStylePr>
    <w:tblStylePr w:type="lastRow">
      <w:pPr>
        <w:spacing w:before="0" w:after="0" w:line="240" w:lineRule="auto"/>
      </w:pPr>
      <w:rPr>
        <w:b/>
        <w:bCs/>
      </w:rPr>
      <w:tblPr/>
      <w:tcPr>
        <w:tcBorders>
          <w:top w:val="double" w:color="CE49BF" w:themeColor="accent5" w:themeTint="BF" w:sz="6" w:space="0"/>
          <w:left w:val="single" w:color="CE49BF" w:themeColor="accent5" w:themeTint="BF" w:sz="8" w:space="0"/>
          <w:bottom w:val="single" w:color="CE49BF" w:themeColor="accent5" w:themeTint="BF" w:sz="8" w:space="0"/>
          <w:right w:val="single" w:color="CE49B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EC3EA" w:themeFill="accent5" w:themeFillTint="3F"/>
      </w:tcPr>
    </w:tblStylePr>
    <w:tblStylePr w:type="band1Horz">
      <w:tblPr/>
      <w:tcPr>
        <w:tcBorders>
          <w:insideH w:val="nil"/>
          <w:insideV w:val="nil"/>
        </w:tcBorders>
        <w:shd w:val="clear" w:color="auto" w:fill="EEC3EA"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72CE50" w:themeColor="accent6" w:themeTint="BF" w:sz="8" w:space="0"/>
        <w:left w:val="single" w:color="72CE50" w:themeColor="accent6" w:themeTint="BF" w:sz="8" w:space="0"/>
        <w:bottom w:val="single" w:color="72CE50" w:themeColor="accent6" w:themeTint="BF" w:sz="8" w:space="0"/>
        <w:right w:val="single" w:color="72CE50" w:themeColor="accent6" w:themeTint="BF" w:sz="8" w:space="0"/>
        <w:insideH w:val="single" w:color="72CE50"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CE50" w:themeColor="accent6" w:themeTint="BF" w:sz="8" w:space="0"/>
          <w:left w:val="single" w:color="72CE50" w:themeColor="accent6" w:themeTint="BF" w:sz="8" w:space="0"/>
          <w:bottom w:val="single" w:color="72CE50" w:themeColor="accent6" w:themeTint="BF" w:sz="8" w:space="0"/>
          <w:right w:val="single" w:color="72CE50" w:themeColor="accent6" w:themeTint="BF" w:sz="8" w:space="0"/>
          <w:insideH w:val="nil"/>
          <w:insideV w:val="nil"/>
        </w:tcBorders>
        <w:shd w:val="clear" w:color="auto" w:fill="4EA72E" w:themeFill="accent6"/>
      </w:tcPr>
    </w:tblStylePr>
    <w:tblStylePr w:type="lastRow">
      <w:pPr>
        <w:spacing w:before="0" w:after="0" w:line="240" w:lineRule="auto"/>
      </w:pPr>
      <w:rPr>
        <w:b/>
        <w:bCs/>
      </w:rPr>
      <w:tblPr/>
      <w:tcPr>
        <w:tcBorders>
          <w:top w:val="double" w:color="72CE50" w:themeColor="accent6" w:themeTint="BF" w:sz="6" w:space="0"/>
          <w:left w:val="single" w:color="72CE50" w:themeColor="accent6" w:themeTint="BF" w:sz="8" w:space="0"/>
          <w:bottom w:val="single" w:color="72CE50" w:themeColor="accent6" w:themeTint="BF" w:sz="8" w:space="0"/>
          <w:right w:val="single" w:color="72CE50"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156082"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97132"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196B24"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F9ED5"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02B93"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EA72E"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E2841"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156082" w:themeColor="accent1" w:sz="8" w:space="0"/>
        <w:bottom w:val="single" w:color="156082" w:themeColor="accent1" w:sz="8" w:space="0"/>
      </w:tblBorders>
    </w:tblPr>
    <w:tblStylePr w:type="firstRow">
      <w:rPr>
        <w:rFonts w:asciiTheme="majorHAnsi" w:hAnsiTheme="majorHAnsi" w:eastAsiaTheme="majorEastAsia" w:cstheme="majorBidi"/>
      </w:rPr>
      <w:tblPr/>
      <w:tcPr>
        <w:tcBorders>
          <w:top w:val="nil"/>
          <w:bottom w:val="single" w:color="156082" w:themeColor="accent1" w:sz="8" w:space="0"/>
        </w:tcBorders>
      </w:tcPr>
    </w:tblStylePr>
    <w:tblStylePr w:type="lastRow">
      <w:rPr>
        <w:b/>
        <w:bCs/>
        <w:color w:val="0E2841" w:themeColor="text2"/>
        <w14:textFill>
          <w14:solidFill>
            <w14:schemeClr w14:val="tx2"/>
          </w14:solidFill>
        </w14:textFill>
      </w:rPr>
      <w:tblPr/>
      <w:tcPr>
        <w:tcBorders>
          <w:top w:val="single" w:color="156082" w:themeColor="accent1" w:sz="8" w:space="0"/>
          <w:bottom w:val="single" w:color="156082" w:themeColor="accent1" w:sz="8" w:space="0"/>
        </w:tcBorders>
      </w:tcPr>
    </w:tblStylePr>
    <w:tblStylePr w:type="firstCol">
      <w:rPr>
        <w:b/>
        <w:bCs/>
      </w:rPr>
    </w:tblStylePr>
    <w:tblStylePr w:type="lastCol">
      <w:rPr>
        <w:b/>
        <w:bCs/>
      </w:rPr>
      <w:tblPr/>
      <w:tcPr>
        <w:tcBorders>
          <w:top w:val="single" w:color="156082" w:themeColor="accent1" w:sz="8" w:space="0"/>
          <w:bottom w:val="single" w:color="156082" w:themeColor="accent1" w:sz="8" w:space="0"/>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97132" w:themeColor="accent2" w:sz="8" w:space="0"/>
        <w:bottom w:val="single" w:color="E97132" w:themeColor="accent2" w:sz="8" w:space="0"/>
      </w:tblBorders>
    </w:tblPr>
    <w:tblStylePr w:type="firstRow">
      <w:rPr>
        <w:rFonts w:asciiTheme="majorHAnsi" w:hAnsiTheme="majorHAnsi" w:eastAsiaTheme="majorEastAsia" w:cstheme="majorBidi"/>
      </w:rPr>
      <w:tblPr/>
      <w:tcPr>
        <w:tcBorders>
          <w:top w:val="nil"/>
          <w:bottom w:val="single" w:color="E97132" w:themeColor="accent2" w:sz="8" w:space="0"/>
        </w:tcBorders>
      </w:tcPr>
    </w:tblStylePr>
    <w:tblStylePr w:type="lastRow">
      <w:rPr>
        <w:b/>
        <w:bCs/>
        <w:color w:val="0E2841" w:themeColor="text2"/>
        <w14:textFill>
          <w14:solidFill>
            <w14:schemeClr w14:val="tx2"/>
          </w14:solidFill>
        </w14:textFill>
      </w:rPr>
      <w:tblPr/>
      <w:tcPr>
        <w:tcBorders>
          <w:top w:val="single" w:color="E97132" w:themeColor="accent2" w:sz="8" w:space="0"/>
          <w:bottom w:val="single" w:color="E97132" w:themeColor="accent2" w:sz="8" w:space="0"/>
        </w:tcBorders>
      </w:tcPr>
    </w:tblStylePr>
    <w:tblStylePr w:type="firstCol">
      <w:rPr>
        <w:b/>
        <w:bCs/>
      </w:rPr>
    </w:tblStylePr>
    <w:tblStylePr w:type="lastCol">
      <w:rPr>
        <w:b/>
        <w:bCs/>
      </w:rPr>
      <w:tblPr/>
      <w:tcPr>
        <w:tcBorders>
          <w:top w:val="single" w:color="E97132" w:themeColor="accent2" w:sz="8" w:space="0"/>
          <w:bottom w:val="single" w:color="E97132" w:themeColor="accent2" w:sz="8" w:space="0"/>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196B24" w:themeColor="accent3" w:sz="8" w:space="0"/>
        <w:bottom w:val="single" w:color="196B24" w:themeColor="accent3" w:sz="8" w:space="0"/>
      </w:tblBorders>
    </w:tblPr>
    <w:tblStylePr w:type="firstRow">
      <w:rPr>
        <w:rFonts w:asciiTheme="majorHAnsi" w:hAnsiTheme="majorHAnsi" w:eastAsiaTheme="majorEastAsia" w:cstheme="majorBidi"/>
      </w:rPr>
      <w:tblPr/>
      <w:tcPr>
        <w:tcBorders>
          <w:top w:val="nil"/>
          <w:bottom w:val="single" w:color="196B24" w:themeColor="accent3" w:sz="8" w:space="0"/>
        </w:tcBorders>
      </w:tcPr>
    </w:tblStylePr>
    <w:tblStylePr w:type="lastRow">
      <w:rPr>
        <w:b/>
        <w:bCs/>
        <w:color w:val="0E2841" w:themeColor="text2"/>
        <w14:textFill>
          <w14:solidFill>
            <w14:schemeClr w14:val="tx2"/>
          </w14:solidFill>
        </w14:textFill>
      </w:rPr>
      <w:tblPr/>
      <w:tcPr>
        <w:tcBorders>
          <w:top w:val="single" w:color="196B24" w:themeColor="accent3" w:sz="8" w:space="0"/>
          <w:bottom w:val="single" w:color="196B24" w:themeColor="accent3" w:sz="8" w:space="0"/>
        </w:tcBorders>
      </w:tcPr>
    </w:tblStylePr>
    <w:tblStylePr w:type="firstCol">
      <w:rPr>
        <w:b/>
        <w:bCs/>
      </w:rPr>
    </w:tblStylePr>
    <w:tblStylePr w:type="lastCol">
      <w:rPr>
        <w:b/>
        <w:bCs/>
      </w:rPr>
      <w:tblPr/>
      <w:tcPr>
        <w:tcBorders>
          <w:top w:val="single" w:color="196B24" w:themeColor="accent3" w:sz="8" w:space="0"/>
          <w:bottom w:val="single" w:color="196B24" w:themeColor="accent3" w:sz="8" w:space="0"/>
        </w:tcBorders>
      </w:tcPr>
    </w:tblStylePr>
    <w:tblStylePr w:type="band1Vert">
      <w:tblPr/>
      <w:tcPr>
        <w:shd w:val="clear" w:color="auto" w:fill="B3EDBB" w:themeFill="accent3" w:themeFillTint="3F"/>
      </w:tcPr>
    </w:tblStylePr>
    <w:tblStylePr w:type="band1Horz">
      <w:tblPr/>
      <w:tcPr>
        <w:shd w:val="clear" w:color="auto" w:fill="B3EDBB"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0F9ED5" w:themeColor="accent4" w:sz="8" w:space="0"/>
        <w:bottom w:val="single" w:color="0F9ED5" w:themeColor="accent4" w:sz="8" w:space="0"/>
      </w:tblBorders>
    </w:tblPr>
    <w:tblStylePr w:type="firstRow">
      <w:rPr>
        <w:rFonts w:asciiTheme="majorHAnsi" w:hAnsiTheme="majorHAnsi" w:eastAsiaTheme="majorEastAsia" w:cstheme="majorBidi"/>
      </w:rPr>
      <w:tblPr/>
      <w:tcPr>
        <w:tcBorders>
          <w:top w:val="nil"/>
          <w:bottom w:val="single" w:color="0F9ED5" w:themeColor="accent4" w:sz="8" w:space="0"/>
        </w:tcBorders>
      </w:tcPr>
    </w:tblStylePr>
    <w:tblStylePr w:type="lastRow">
      <w:rPr>
        <w:b/>
        <w:bCs/>
        <w:color w:val="0E2841" w:themeColor="text2"/>
        <w14:textFill>
          <w14:solidFill>
            <w14:schemeClr w14:val="tx2"/>
          </w14:solidFill>
        </w14:textFill>
      </w:rPr>
      <w:tblPr/>
      <w:tcPr>
        <w:tcBorders>
          <w:top w:val="single" w:color="0F9ED5" w:themeColor="accent4" w:sz="8" w:space="0"/>
          <w:bottom w:val="single" w:color="0F9ED5" w:themeColor="accent4" w:sz="8" w:space="0"/>
        </w:tcBorders>
      </w:tcPr>
    </w:tblStylePr>
    <w:tblStylePr w:type="firstCol">
      <w:rPr>
        <w:b/>
        <w:bCs/>
      </w:rPr>
    </w:tblStylePr>
    <w:tblStylePr w:type="lastCol">
      <w:rPr>
        <w:b/>
        <w:bCs/>
      </w:rPr>
      <w:tblPr/>
      <w:tcPr>
        <w:tcBorders>
          <w:top w:val="single" w:color="0F9ED5" w:themeColor="accent4" w:sz="8" w:space="0"/>
          <w:bottom w:val="single" w:color="0F9ED5" w:themeColor="accent4" w:sz="8" w:space="0"/>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A02B93" w:themeColor="accent5" w:sz="8" w:space="0"/>
        <w:bottom w:val="single" w:color="A02B93" w:themeColor="accent5" w:sz="8" w:space="0"/>
      </w:tblBorders>
    </w:tblPr>
    <w:tblStylePr w:type="firstRow">
      <w:rPr>
        <w:rFonts w:asciiTheme="majorHAnsi" w:hAnsiTheme="majorHAnsi" w:eastAsiaTheme="majorEastAsia" w:cstheme="majorBidi"/>
      </w:rPr>
      <w:tblPr/>
      <w:tcPr>
        <w:tcBorders>
          <w:top w:val="nil"/>
          <w:bottom w:val="single" w:color="A02B93" w:themeColor="accent5" w:sz="8" w:space="0"/>
        </w:tcBorders>
      </w:tcPr>
    </w:tblStylePr>
    <w:tblStylePr w:type="lastRow">
      <w:rPr>
        <w:b/>
        <w:bCs/>
        <w:color w:val="0E2841" w:themeColor="text2"/>
        <w14:textFill>
          <w14:solidFill>
            <w14:schemeClr w14:val="tx2"/>
          </w14:solidFill>
        </w14:textFill>
      </w:rPr>
      <w:tblPr/>
      <w:tcPr>
        <w:tcBorders>
          <w:top w:val="single" w:color="A02B93" w:themeColor="accent5" w:sz="8" w:space="0"/>
          <w:bottom w:val="single" w:color="A02B93" w:themeColor="accent5" w:sz="8" w:space="0"/>
        </w:tcBorders>
      </w:tcPr>
    </w:tblStylePr>
    <w:tblStylePr w:type="firstCol">
      <w:rPr>
        <w:b/>
        <w:bCs/>
      </w:rPr>
    </w:tblStylePr>
    <w:tblStylePr w:type="lastCol">
      <w:rPr>
        <w:b/>
        <w:bCs/>
      </w:rPr>
      <w:tblPr/>
      <w:tcPr>
        <w:tcBorders>
          <w:top w:val="single" w:color="A02B93" w:themeColor="accent5" w:sz="8" w:space="0"/>
          <w:bottom w:val="single" w:color="A02B93" w:themeColor="accent5" w:sz="8" w:space="0"/>
        </w:tcBorders>
      </w:tcPr>
    </w:tblStylePr>
    <w:tblStylePr w:type="band1Vert">
      <w:tblPr/>
      <w:tcPr>
        <w:shd w:val="clear" w:color="auto" w:fill="EEC3EA" w:themeFill="accent5" w:themeFillTint="3F"/>
      </w:tcPr>
    </w:tblStylePr>
    <w:tblStylePr w:type="band1Horz">
      <w:tblPr/>
      <w:tcPr>
        <w:shd w:val="clear" w:color="auto" w:fill="EEC3EA"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4EA72E" w:themeColor="accent6" w:sz="8" w:space="0"/>
        <w:bottom w:val="single" w:color="4EA72E" w:themeColor="accent6" w:sz="8" w:space="0"/>
      </w:tblBorders>
    </w:tblPr>
    <w:tblStylePr w:type="firstRow">
      <w:rPr>
        <w:rFonts w:asciiTheme="majorHAnsi" w:hAnsiTheme="majorHAnsi" w:eastAsiaTheme="majorEastAsia" w:cstheme="majorBidi"/>
      </w:rPr>
      <w:tblPr/>
      <w:tcPr>
        <w:tcBorders>
          <w:top w:val="nil"/>
          <w:bottom w:val="single" w:color="4EA72E" w:themeColor="accent6" w:sz="8" w:space="0"/>
        </w:tcBorders>
      </w:tcPr>
    </w:tblStylePr>
    <w:tblStylePr w:type="lastRow">
      <w:rPr>
        <w:b/>
        <w:bCs/>
        <w:color w:val="0E2841" w:themeColor="text2"/>
        <w14:textFill>
          <w14:solidFill>
            <w14:schemeClr w14:val="tx2"/>
          </w14:solidFill>
        </w14:textFill>
      </w:rPr>
      <w:tblPr/>
      <w:tcPr>
        <w:tcBorders>
          <w:top w:val="single" w:color="4EA72E" w:themeColor="accent6" w:sz="8" w:space="0"/>
          <w:bottom w:val="single" w:color="4EA72E" w:themeColor="accent6" w:sz="8" w:space="0"/>
        </w:tcBorders>
      </w:tcPr>
    </w:tblStylePr>
    <w:tblStylePr w:type="firstCol">
      <w:rPr>
        <w:b/>
        <w:bCs/>
      </w:rPr>
    </w:tblStylePr>
    <w:tblStylePr w:type="lastCol">
      <w:rPr>
        <w:b/>
        <w:bCs/>
      </w:rPr>
      <w:tblPr/>
      <w:tcPr>
        <w:tcBorders>
          <w:top w:val="single" w:color="4EA72E" w:themeColor="accent6" w:sz="8" w:space="0"/>
          <w:bottom w:val="single" w:color="4EA72E" w:themeColor="accent6" w:sz="8" w:space="0"/>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156082" w:themeColor="accent1" w:sz="8" w:space="0"/>
        <w:left w:val="single" w:color="156082" w:themeColor="accent1" w:sz="8" w:space="0"/>
        <w:bottom w:val="single" w:color="156082" w:themeColor="accent1" w:sz="8" w:space="0"/>
        <w:right w:val="single" w:color="156082" w:themeColor="accent1" w:sz="8" w:space="0"/>
      </w:tblBorders>
    </w:tblPr>
    <w:tblStylePr w:type="firstRow">
      <w:rPr>
        <w:sz w:val="24"/>
        <w:szCs w:val="24"/>
      </w:rPr>
      <w:tblPr/>
      <w:tcPr>
        <w:tcBorders>
          <w:top w:val="nil"/>
          <w:left w:val="nil"/>
          <w:bottom w:val="single" w:color="156082" w:themeColor="accent1" w:sz="24" w:space="0"/>
          <w:right w:val="nil"/>
          <w:insideH w:val="nil"/>
          <w:insideV w:val="nil"/>
        </w:tcBorders>
        <w:shd w:val="clear" w:color="auto" w:fill="FFFFFF" w:themeFill="background1"/>
      </w:tcPr>
    </w:tblStylePr>
    <w:tblStylePr w:type="lastRow">
      <w:tblPr/>
      <w:tcPr>
        <w:tcBorders>
          <w:top w:val="single" w:color="156082"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56082" w:themeColor="accent1" w:sz="8" w:space="0"/>
          <w:insideH w:val="nil"/>
          <w:insideV w:val="nil"/>
        </w:tcBorders>
        <w:shd w:val="clear" w:color="auto" w:fill="FFFFFF" w:themeFill="background1"/>
      </w:tcPr>
    </w:tblStylePr>
    <w:tblStylePr w:type="lastCol">
      <w:tblPr/>
      <w:tcPr>
        <w:tcBorders>
          <w:top w:val="nil"/>
          <w:left w:val="single" w:color="15608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97132" w:themeColor="accent2" w:sz="8" w:space="0"/>
        <w:left w:val="single" w:color="E97132" w:themeColor="accent2" w:sz="8" w:space="0"/>
        <w:bottom w:val="single" w:color="E97132" w:themeColor="accent2" w:sz="8" w:space="0"/>
        <w:right w:val="single" w:color="E97132" w:themeColor="accent2" w:sz="8" w:space="0"/>
      </w:tblBorders>
    </w:tblPr>
    <w:tblStylePr w:type="firstRow">
      <w:rPr>
        <w:sz w:val="24"/>
        <w:szCs w:val="24"/>
      </w:rPr>
      <w:tblPr/>
      <w:tcPr>
        <w:tcBorders>
          <w:top w:val="nil"/>
          <w:left w:val="nil"/>
          <w:bottom w:val="single" w:color="E97132" w:themeColor="accent2" w:sz="24" w:space="0"/>
          <w:right w:val="nil"/>
          <w:insideH w:val="nil"/>
          <w:insideV w:val="nil"/>
        </w:tcBorders>
        <w:shd w:val="clear" w:color="auto" w:fill="FFFFFF" w:themeFill="background1"/>
      </w:tcPr>
    </w:tblStylePr>
    <w:tblStylePr w:type="lastRow">
      <w:tblPr/>
      <w:tcPr>
        <w:tcBorders>
          <w:top w:val="single" w:color="E97132"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97132" w:themeColor="accent2" w:sz="8" w:space="0"/>
          <w:insideH w:val="nil"/>
          <w:insideV w:val="nil"/>
        </w:tcBorders>
        <w:shd w:val="clear" w:color="auto" w:fill="FFFFFF" w:themeFill="background1"/>
      </w:tcPr>
    </w:tblStylePr>
    <w:tblStylePr w:type="lastCol">
      <w:tblPr/>
      <w:tcPr>
        <w:tcBorders>
          <w:top w:val="nil"/>
          <w:left w:val="single" w:color="E9713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196B24" w:themeColor="accent3" w:sz="8" w:space="0"/>
        <w:left w:val="single" w:color="196B24" w:themeColor="accent3" w:sz="8" w:space="0"/>
        <w:bottom w:val="single" w:color="196B24" w:themeColor="accent3" w:sz="8" w:space="0"/>
        <w:right w:val="single" w:color="196B24" w:themeColor="accent3" w:sz="8" w:space="0"/>
      </w:tblBorders>
    </w:tblPr>
    <w:tblStylePr w:type="firstRow">
      <w:rPr>
        <w:sz w:val="24"/>
        <w:szCs w:val="24"/>
      </w:rPr>
      <w:tblPr/>
      <w:tcPr>
        <w:tcBorders>
          <w:top w:val="nil"/>
          <w:left w:val="nil"/>
          <w:bottom w:val="single" w:color="196B24" w:themeColor="accent3" w:sz="24" w:space="0"/>
          <w:right w:val="nil"/>
          <w:insideH w:val="nil"/>
          <w:insideV w:val="nil"/>
        </w:tcBorders>
        <w:shd w:val="clear" w:color="auto" w:fill="FFFFFF" w:themeFill="background1"/>
      </w:tcPr>
    </w:tblStylePr>
    <w:tblStylePr w:type="lastRow">
      <w:tblPr/>
      <w:tcPr>
        <w:tcBorders>
          <w:top w:val="single" w:color="196B24"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96B24" w:themeColor="accent3" w:sz="8" w:space="0"/>
          <w:insideH w:val="nil"/>
          <w:insideV w:val="nil"/>
        </w:tcBorders>
        <w:shd w:val="clear" w:color="auto" w:fill="FFFFFF" w:themeFill="background1"/>
      </w:tcPr>
    </w:tblStylePr>
    <w:tblStylePr w:type="lastCol">
      <w:tblPr/>
      <w:tcPr>
        <w:tcBorders>
          <w:top w:val="nil"/>
          <w:left w:val="single" w:color="196B2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B" w:themeFill="accent3" w:themeFillTint="3F"/>
      </w:tcPr>
    </w:tblStylePr>
    <w:tblStylePr w:type="band1Horz">
      <w:tblPr/>
      <w:tcPr>
        <w:tcBorders>
          <w:top w:val="nil"/>
          <w:bottom w:val="nil"/>
          <w:insideH w:val="nil"/>
          <w:insideV w:val="nil"/>
        </w:tcBorders>
        <w:shd w:val="clear" w:color="auto" w:fill="B3ED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F9ED5" w:themeColor="accent4" w:sz="8" w:space="0"/>
        <w:left w:val="single" w:color="0F9ED5" w:themeColor="accent4" w:sz="8" w:space="0"/>
        <w:bottom w:val="single" w:color="0F9ED5" w:themeColor="accent4" w:sz="8" w:space="0"/>
        <w:right w:val="single" w:color="0F9ED5" w:themeColor="accent4" w:sz="8" w:space="0"/>
      </w:tblBorders>
    </w:tblPr>
    <w:tblStylePr w:type="firstRow">
      <w:rPr>
        <w:sz w:val="24"/>
        <w:szCs w:val="24"/>
      </w:rPr>
      <w:tblPr/>
      <w:tcPr>
        <w:tcBorders>
          <w:top w:val="nil"/>
          <w:left w:val="nil"/>
          <w:bottom w:val="single" w:color="0F9ED5" w:themeColor="accent4" w:sz="24" w:space="0"/>
          <w:right w:val="nil"/>
          <w:insideH w:val="nil"/>
          <w:insideV w:val="nil"/>
        </w:tcBorders>
        <w:shd w:val="clear" w:color="auto" w:fill="FFFFFF" w:themeFill="background1"/>
      </w:tcPr>
    </w:tblStylePr>
    <w:tblStylePr w:type="lastRow">
      <w:tblPr/>
      <w:tcPr>
        <w:tcBorders>
          <w:top w:val="single" w:color="0F9ED5"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F9ED5" w:themeColor="accent4" w:sz="8" w:space="0"/>
          <w:insideH w:val="nil"/>
          <w:insideV w:val="nil"/>
        </w:tcBorders>
        <w:shd w:val="clear" w:color="auto" w:fill="FFFFFF" w:themeFill="background1"/>
      </w:tcPr>
    </w:tblStylePr>
    <w:tblStylePr w:type="lastCol">
      <w:tblPr/>
      <w:tcPr>
        <w:tcBorders>
          <w:top w:val="nil"/>
          <w:left w:val="single" w:color="0F9ED5"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02B93" w:themeColor="accent5" w:sz="8" w:space="0"/>
        <w:left w:val="single" w:color="A02B93" w:themeColor="accent5" w:sz="8" w:space="0"/>
        <w:bottom w:val="single" w:color="A02B93" w:themeColor="accent5" w:sz="8" w:space="0"/>
        <w:right w:val="single" w:color="A02B93" w:themeColor="accent5" w:sz="8" w:space="0"/>
      </w:tblBorders>
    </w:tblPr>
    <w:tblStylePr w:type="firstRow">
      <w:rPr>
        <w:sz w:val="24"/>
        <w:szCs w:val="24"/>
      </w:rPr>
      <w:tblPr/>
      <w:tcPr>
        <w:tcBorders>
          <w:top w:val="nil"/>
          <w:left w:val="nil"/>
          <w:bottom w:val="single" w:color="A02B93" w:themeColor="accent5" w:sz="24" w:space="0"/>
          <w:right w:val="nil"/>
          <w:insideH w:val="nil"/>
          <w:insideV w:val="nil"/>
        </w:tcBorders>
        <w:shd w:val="clear" w:color="auto" w:fill="FFFFFF" w:themeFill="background1"/>
      </w:tcPr>
    </w:tblStylePr>
    <w:tblStylePr w:type="lastRow">
      <w:tblPr/>
      <w:tcPr>
        <w:tcBorders>
          <w:top w:val="single" w:color="A02B9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02B93" w:themeColor="accent5" w:sz="8" w:space="0"/>
          <w:insideH w:val="nil"/>
          <w:insideV w:val="nil"/>
        </w:tcBorders>
        <w:shd w:val="clear" w:color="auto" w:fill="FFFFFF" w:themeFill="background1"/>
      </w:tcPr>
    </w:tblStylePr>
    <w:tblStylePr w:type="lastCol">
      <w:tblPr/>
      <w:tcPr>
        <w:tcBorders>
          <w:top w:val="nil"/>
          <w:left w:val="single" w:color="A02B9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3EA" w:themeFill="accent5" w:themeFillTint="3F"/>
      </w:tcPr>
    </w:tblStylePr>
    <w:tblStylePr w:type="band1Horz">
      <w:tblPr/>
      <w:tcPr>
        <w:tcBorders>
          <w:top w:val="nil"/>
          <w:bottom w:val="nil"/>
          <w:insideH w:val="nil"/>
          <w:insideV w:val="nil"/>
        </w:tcBorders>
        <w:shd w:val="clear" w:color="auto" w:fill="EEC3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EA72E" w:themeColor="accent6" w:sz="8" w:space="0"/>
        <w:left w:val="single" w:color="4EA72E" w:themeColor="accent6" w:sz="8" w:space="0"/>
        <w:bottom w:val="single" w:color="4EA72E" w:themeColor="accent6" w:sz="8" w:space="0"/>
        <w:right w:val="single" w:color="4EA72E" w:themeColor="accent6" w:sz="8" w:space="0"/>
      </w:tblBorders>
    </w:tblPr>
    <w:tblStylePr w:type="firstRow">
      <w:rPr>
        <w:sz w:val="24"/>
        <w:szCs w:val="24"/>
      </w:rPr>
      <w:tblPr/>
      <w:tcPr>
        <w:tcBorders>
          <w:top w:val="nil"/>
          <w:left w:val="nil"/>
          <w:bottom w:val="single" w:color="4EA72E" w:themeColor="accent6" w:sz="24" w:space="0"/>
          <w:right w:val="nil"/>
          <w:insideH w:val="nil"/>
          <w:insideV w:val="nil"/>
        </w:tcBorders>
        <w:shd w:val="clear" w:color="auto" w:fill="FFFFFF" w:themeFill="background1"/>
      </w:tcPr>
    </w:tblStylePr>
    <w:tblStylePr w:type="lastRow">
      <w:tblPr/>
      <w:tcPr>
        <w:tcBorders>
          <w:top w:val="single" w:color="4EA72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EA72E" w:themeColor="accent6" w:sz="8" w:space="0"/>
          <w:insideH w:val="nil"/>
          <w:insideV w:val="nil"/>
        </w:tcBorders>
        <w:shd w:val="clear" w:color="auto" w:fill="FFFFFF" w:themeFill="background1"/>
      </w:tcPr>
    </w:tblStylePr>
    <w:tblStylePr w:type="lastCol">
      <w:tblPr/>
      <w:tcPr>
        <w:tcBorders>
          <w:top w:val="nil"/>
          <w:left w:val="single" w:color="4EA72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2199CF" w:themeColor="accent1" w:themeTint="BF" w:sz="8" w:space="0"/>
        <w:left w:val="single" w:color="2199CF" w:themeColor="accent1" w:themeTint="BF" w:sz="8" w:space="0"/>
        <w:bottom w:val="single" w:color="2199CF" w:themeColor="accent1" w:themeTint="BF" w:sz="8" w:space="0"/>
        <w:right w:val="single" w:color="2199CF" w:themeColor="accent1" w:themeTint="BF" w:sz="8" w:space="0"/>
        <w:insideH w:val="single" w:color="2199CF" w:themeColor="accent1" w:themeTint="BF" w:sz="8" w:space="0"/>
        <w:insideV w:val="single" w:color="2199CF" w:themeColor="accent1" w:themeTint="BF" w:sz="8" w:space="0"/>
      </w:tblBorders>
    </w:tblPr>
    <w:tcPr>
      <w:shd w:val="clear" w:color="auto" w:fill="B2DEF2" w:themeFill="accent1" w:themeFillTint="3F"/>
    </w:tcPr>
    <w:tblStylePr w:type="firstRow">
      <w:rPr>
        <w:b/>
        <w:bCs/>
      </w:rPr>
    </w:tblStylePr>
    <w:tblStylePr w:type="lastRow">
      <w:rPr>
        <w:b/>
        <w:bCs/>
      </w:rPr>
      <w:tblPr/>
      <w:tcPr>
        <w:tcBorders>
          <w:top w:val="single" w:color="2199CF" w:themeColor="accent1" w:themeTint="BF" w:sz="18" w:space="0"/>
        </w:tcBorders>
      </w:tcPr>
    </w:tblStylePr>
    <w:tblStylePr w:type="firstCol">
      <w:rPr>
        <w:b/>
        <w:bCs/>
      </w:rPr>
    </w:tblStylePr>
    <w:tblStylePr w:type="lastCol">
      <w:rPr>
        <w:b/>
        <w:bCs/>
      </w:rPr>
    </w:tblStylePr>
    <w:tblStylePr w:type="band1Vert">
      <w:tblPr/>
      <w:tcPr>
        <w:shd w:val="clear" w:color="auto" w:fill="65BDE6" w:themeFill="accent1" w:themeFillTint="7F"/>
      </w:tcPr>
    </w:tblStylePr>
    <w:tblStylePr w:type="band1Horz">
      <w:tblPr/>
      <w:tcPr>
        <w:shd w:val="clear" w:color="auto" w:fill="65BDE6" w:themeFill="accent1" w:themeFillTint="7F"/>
      </w:tcPr>
    </w:tblStylePr>
  </w:style>
  <w:style w:type="table" w:styleId="184">
    <w:name w:val="Medium Grid 1 Accent 2"/>
    <w:basedOn w:val="88"/>
    <w:semiHidden/>
    <w:unhideWhenUsed/>
    <w:qFormat/>
    <w:uiPriority w:val="67"/>
    <w:tblPr>
      <w:tblBorders>
        <w:top w:val="single" w:color="EE9465" w:themeColor="accent2" w:themeTint="BF" w:sz="8" w:space="0"/>
        <w:left w:val="single" w:color="EE9465" w:themeColor="accent2" w:themeTint="BF" w:sz="8" w:space="0"/>
        <w:bottom w:val="single" w:color="EE9465" w:themeColor="accent2" w:themeTint="BF" w:sz="8" w:space="0"/>
        <w:right w:val="single" w:color="EE9465" w:themeColor="accent2" w:themeTint="BF" w:sz="8" w:space="0"/>
        <w:insideH w:val="single" w:color="EE9465" w:themeColor="accent2" w:themeTint="BF" w:sz="8" w:space="0"/>
        <w:insideV w:val="single" w:color="EE9465" w:themeColor="accent2" w:themeTint="BF" w:sz="8" w:space="0"/>
      </w:tblBorders>
    </w:tblPr>
    <w:tcPr>
      <w:shd w:val="clear" w:color="auto" w:fill="F9DBCC" w:themeFill="accent2" w:themeFillTint="3F"/>
    </w:tcPr>
    <w:tblStylePr w:type="firstRow">
      <w:rPr>
        <w:b/>
        <w:bCs/>
      </w:rPr>
    </w:tblStylePr>
    <w:tblStylePr w:type="lastRow">
      <w:rPr>
        <w:b/>
        <w:bCs/>
      </w:rPr>
      <w:tblPr/>
      <w:tcPr>
        <w:tcBorders>
          <w:top w:val="single" w:color="EE9465" w:themeColor="accent2" w:themeTint="BF" w:sz="18" w:space="0"/>
        </w:tcBorders>
      </w:tcPr>
    </w:tblStylePr>
    <w:tblStylePr w:type="firstCol">
      <w:rPr>
        <w:b/>
        <w:bCs/>
      </w:rPr>
    </w:tblStylePr>
    <w:tblStylePr w:type="lastCol">
      <w:rPr>
        <w:b/>
        <w:bCs/>
      </w:rPr>
    </w:tblStylePr>
    <w:tblStylePr w:type="band1Vert">
      <w:tblPr/>
      <w:tcPr>
        <w:shd w:val="clear" w:color="auto" w:fill="F4B898" w:themeFill="accent2" w:themeFillTint="7F"/>
      </w:tcPr>
    </w:tblStylePr>
    <w:tblStylePr w:type="band1Horz">
      <w:tblPr/>
      <w:tcPr>
        <w:shd w:val="clear" w:color="auto" w:fill="F4B898" w:themeFill="accent2" w:themeFillTint="7F"/>
      </w:tcPr>
    </w:tblStylePr>
  </w:style>
  <w:style w:type="table" w:styleId="185">
    <w:name w:val="Medium Grid 1 Accent 3"/>
    <w:basedOn w:val="88"/>
    <w:semiHidden/>
    <w:unhideWhenUsed/>
    <w:qFormat/>
    <w:uiPriority w:val="67"/>
    <w:tblPr>
      <w:tblBorders>
        <w:top w:val="single" w:color="2AB73D" w:themeColor="accent3" w:themeTint="BF" w:sz="8" w:space="0"/>
        <w:left w:val="single" w:color="2AB73D" w:themeColor="accent3" w:themeTint="BF" w:sz="8" w:space="0"/>
        <w:bottom w:val="single" w:color="2AB73D" w:themeColor="accent3" w:themeTint="BF" w:sz="8" w:space="0"/>
        <w:right w:val="single" w:color="2AB73D" w:themeColor="accent3" w:themeTint="BF" w:sz="8" w:space="0"/>
        <w:insideH w:val="single" w:color="2AB73D" w:themeColor="accent3" w:themeTint="BF" w:sz="8" w:space="0"/>
        <w:insideV w:val="single" w:color="2AB73D" w:themeColor="accent3" w:themeTint="BF" w:sz="8" w:space="0"/>
      </w:tblBorders>
    </w:tblPr>
    <w:tcPr>
      <w:shd w:val="clear" w:color="auto" w:fill="B3EDBB" w:themeFill="accent3" w:themeFillTint="3F"/>
    </w:tcPr>
    <w:tblStylePr w:type="firstRow">
      <w:rPr>
        <w:b/>
        <w:bCs/>
      </w:rPr>
    </w:tblStylePr>
    <w:tblStylePr w:type="lastRow">
      <w:rPr>
        <w:b/>
        <w:bCs/>
      </w:rPr>
      <w:tblPr/>
      <w:tcPr>
        <w:tcBorders>
          <w:top w:val="single" w:color="2AB73D" w:themeColor="accent3" w:themeTint="BF" w:sz="18" w:space="0"/>
        </w:tcBorders>
      </w:tcPr>
    </w:tblStylePr>
    <w:tblStylePr w:type="firstCol">
      <w:rPr>
        <w:b/>
        <w:bCs/>
      </w:rPr>
    </w:tblStylePr>
    <w:tblStylePr w:type="lastCol">
      <w:rPr>
        <w:b/>
        <w:bCs/>
      </w:rPr>
    </w:tblStylePr>
    <w:tblStylePr w:type="band1Vert">
      <w:tblPr/>
      <w:tcPr>
        <w:shd w:val="clear" w:color="auto" w:fill="66DB76" w:themeFill="accent3" w:themeFillTint="7F"/>
      </w:tcPr>
    </w:tblStylePr>
    <w:tblStylePr w:type="band1Horz">
      <w:tblPr/>
      <w:tcPr>
        <w:shd w:val="clear" w:color="auto" w:fill="66DB76" w:themeFill="accent3" w:themeFillTint="7F"/>
      </w:tcPr>
    </w:tblStylePr>
  </w:style>
  <w:style w:type="table" w:styleId="186">
    <w:name w:val="Medium Grid 1 Accent 4"/>
    <w:basedOn w:val="88"/>
    <w:semiHidden/>
    <w:unhideWhenUsed/>
    <w:qFormat/>
    <w:uiPriority w:val="67"/>
    <w:tblPr>
      <w:tblBorders>
        <w:top w:val="single" w:color="39BEF1" w:themeColor="accent4" w:themeTint="BF" w:sz="8" w:space="0"/>
        <w:left w:val="single" w:color="39BEF1" w:themeColor="accent4" w:themeTint="BF" w:sz="8" w:space="0"/>
        <w:bottom w:val="single" w:color="39BEF1" w:themeColor="accent4" w:themeTint="BF" w:sz="8" w:space="0"/>
        <w:right w:val="single" w:color="39BEF1" w:themeColor="accent4" w:themeTint="BF" w:sz="8" w:space="0"/>
        <w:insideH w:val="single" w:color="39BEF1" w:themeColor="accent4" w:themeTint="BF" w:sz="8" w:space="0"/>
        <w:insideV w:val="single" w:color="39BEF1" w:themeColor="accent4" w:themeTint="BF" w:sz="8" w:space="0"/>
      </w:tblBorders>
    </w:tblPr>
    <w:tcPr>
      <w:shd w:val="clear" w:color="auto" w:fill="BDE9FA" w:themeFill="accent4" w:themeFillTint="3F"/>
    </w:tcPr>
    <w:tblStylePr w:type="firstRow">
      <w:rPr>
        <w:b/>
        <w:bCs/>
      </w:rPr>
    </w:tblStylePr>
    <w:tblStylePr w:type="lastRow">
      <w:rPr>
        <w:b/>
        <w:bCs/>
      </w:rPr>
      <w:tblPr/>
      <w:tcPr>
        <w:tcBorders>
          <w:top w:val="single" w:color="39BEF1" w:themeColor="accent4" w:themeTint="BF" w:sz="18" w:space="0"/>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87">
    <w:name w:val="Medium Grid 1 Accent 5"/>
    <w:basedOn w:val="88"/>
    <w:semiHidden/>
    <w:unhideWhenUsed/>
    <w:qFormat/>
    <w:uiPriority w:val="67"/>
    <w:tblPr>
      <w:tblBorders>
        <w:top w:val="single" w:color="CE49BF" w:themeColor="accent5" w:themeTint="BF" w:sz="8" w:space="0"/>
        <w:left w:val="single" w:color="CE49BF" w:themeColor="accent5" w:themeTint="BF" w:sz="8" w:space="0"/>
        <w:bottom w:val="single" w:color="CE49BF" w:themeColor="accent5" w:themeTint="BF" w:sz="8" w:space="0"/>
        <w:right w:val="single" w:color="CE49BF" w:themeColor="accent5" w:themeTint="BF" w:sz="8" w:space="0"/>
        <w:insideH w:val="single" w:color="CE49BF" w:themeColor="accent5" w:themeTint="BF" w:sz="8" w:space="0"/>
        <w:insideV w:val="single" w:color="CE49BF" w:themeColor="accent5" w:themeTint="BF" w:sz="8" w:space="0"/>
      </w:tblBorders>
    </w:tblPr>
    <w:tcPr>
      <w:shd w:val="clear" w:color="auto" w:fill="EEC3EA" w:themeFill="accent5" w:themeFillTint="3F"/>
    </w:tcPr>
    <w:tblStylePr w:type="firstRow">
      <w:rPr>
        <w:b/>
        <w:bCs/>
      </w:rPr>
    </w:tblStylePr>
    <w:tblStylePr w:type="lastRow">
      <w:rPr>
        <w:b/>
        <w:bCs/>
      </w:rPr>
      <w:tblPr/>
      <w:tcPr>
        <w:tcBorders>
          <w:top w:val="single" w:color="CE49BF" w:themeColor="accent5" w:themeTint="BF" w:sz="18" w:space="0"/>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88">
    <w:name w:val="Medium Grid 1 Accent 6"/>
    <w:basedOn w:val="88"/>
    <w:semiHidden/>
    <w:unhideWhenUsed/>
    <w:qFormat/>
    <w:uiPriority w:val="67"/>
    <w:tblPr>
      <w:tblBorders>
        <w:top w:val="single" w:color="72CE50" w:themeColor="accent6" w:themeTint="BF" w:sz="8" w:space="0"/>
        <w:left w:val="single" w:color="72CE50" w:themeColor="accent6" w:themeTint="BF" w:sz="8" w:space="0"/>
        <w:bottom w:val="single" w:color="72CE50" w:themeColor="accent6" w:themeTint="BF" w:sz="8" w:space="0"/>
        <w:right w:val="single" w:color="72CE50" w:themeColor="accent6" w:themeTint="BF" w:sz="8" w:space="0"/>
        <w:insideH w:val="single" w:color="72CE50" w:themeColor="accent6" w:themeTint="BF" w:sz="8" w:space="0"/>
        <w:insideV w:val="single" w:color="72CE50" w:themeColor="accent6" w:themeTint="BF" w:sz="8" w:space="0"/>
      </w:tblBorders>
    </w:tblPr>
    <w:tcPr>
      <w:shd w:val="clear" w:color="auto" w:fill="D0EFC5" w:themeFill="accent6" w:themeFillTint="3F"/>
    </w:tcPr>
    <w:tblStylePr w:type="firstRow">
      <w:rPr>
        <w:b/>
        <w:bCs/>
      </w:rPr>
    </w:tblStylePr>
    <w:tblStylePr w:type="lastRow">
      <w:rPr>
        <w:b/>
        <w:bCs/>
      </w:rPr>
      <w:tblPr/>
      <w:tcPr>
        <w:tcBorders>
          <w:top w:val="single" w:color="72CE50" w:themeColor="accent6" w:themeTint="BF" w:sz="18" w:space="0"/>
        </w:tcBorders>
      </w:tcPr>
    </w:tblStylePr>
    <w:tblStylePr w:type="firstCol">
      <w:rPr>
        <w:b/>
        <w:bCs/>
      </w:rPr>
    </w:tblStylePr>
    <w:tblStylePr w:type="lastCol">
      <w:rPr>
        <w:b/>
        <w:bCs/>
      </w:rPr>
    </w:tblStylePr>
    <w:tblStylePr w:type="band1Vert">
      <w:tblPr/>
      <w:tcPr>
        <w:shd w:val="clear" w:color="auto" w:fill="A1DF8B" w:themeFill="accent6" w:themeFillTint="7F"/>
      </w:tcPr>
    </w:tblStylePr>
    <w:tblStylePr w:type="band1Horz">
      <w:tblPr/>
      <w:tcPr>
        <w:shd w:val="clear" w:color="auto" w:fill="A1DF8B"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156082" w:themeColor="accent1" w:sz="8" w:space="0"/>
        <w:left w:val="single" w:color="156082" w:themeColor="accent1" w:sz="8" w:space="0"/>
        <w:bottom w:val="single" w:color="156082" w:themeColor="accent1" w:sz="8" w:space="0"/>
        <w:right w:val="single" w:color="156082" w:themeColor="accent1" w:sz="8" w:space="0"/>
        <w:insideH w:val="single" w:color="156082" w:themeColor="accent1" w:sz="8" w:space="0"/>
        <w:insideV w:val="single" w:color="156082" w:themeColor="accent1" w:sz="8" w:space="0"/>
      </w:tblBorders>
    </w:tblPr>
    <w:tcPr>
      <w:shd w:val="clear" w:color="auto" w:fill="B2DEF2" w:themeFill="accent1" w:themeFillTint="3F"/>
    </w:tcPr>
    <w:tblStylePr w:type="firstRow">
      <w:rPr>
        <w:b/>
        <w:bCs/>
        <w:color w:val="000000" w:themeColor="text1"/>
        <w14:textFill>
          <w14:solidFill>
            <w14:schemeClr w14:val="tx1"/>
          </w14:solidFill>
        </w14:textFill>
      </w:rPr>
      <w:tblPr/>
      <w:tcPr>
        <w:shd w:val="clear" w:color="auto" w:fill="E0F2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5BDE6" w:themeFill="accent1" w:themeFillTint="7F"/>
      </w:tcPr>
    </w:tblStylePr>
    <w:tblStylePr w:type="band1Horz">
      <w:tblPr/>
      <w:tcPr>
        <w:tcBorders>
          <w:insideH w:val="single" w:sz="6" w:space="0"/>
          <w:insideV w:val="single" w:sz="6" w:space="0"/>
        </w:tcBorders>
        <w:shd w:val="clear" w:color="auto" w:fill="65BDE6"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97132" w:themeColor="accent2" w:sz="8" w:space="0"/>
        <w:left w:val="single" w:color="E97132" w:themeColor="accent2" w:sz="8" w:space="0"/>
        <w:bottom w:val="single" w:color="E97132" w:themeColor="accent2" w:sz="8" w:space="0"/>
        <w:right w:val="single" w:color="E97132" w:themeColor="accent2" w:sz="8" w:space="0"/>
        <w:insideH w:val="single" w:color="E97132" w:themeColor="accent2" w:sz="8" w:space="0"/>
        <w:insideV w:val="single" w:color="E97132" w:themeColor="accent2" w:sz="8" w:space="0"/>
      </w:tblBorders>
    </w:tblPr>
    <w:tcPr>
      <w:shd w:val="clear" w:color="auto" w:fill="F9DBCC" w:themeFill="accent2" w:themeFillTint="3F"/>
    </w:tcPr>
    <w:tblStylePr w:type="firstRow">
      <w:rPr>
        <w:b/>
        <w:bCs/>
        <w:color w:val="000000" w:themeColor="text1"/>
        <w14:textFill>
          <w14:solidFill>
            <w14:schemeClr w14:val="tx1"/>
          </w14:solidFill>
        </w14:textFill>
      </w:rPr>
      <w:tblPr/>
      <w:tcPr>
        <w:shd w:val="clear" w:color="auto" w:fill="FCF1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898" w:themeFill="accent2" w:themeFillTint="7F"/>
      </w:tcPr>
    </w:tblStylePr>
    <w:tblStylePr w:type="band1Horz">
      <w:tblPr/>
      <w:tcPr>
        <w:tcBorders>
          <w:insideH w:val="single" w:sz="6" w:space="0"/>
          <w:insideV w:val="single" w:sz="6" w:space="0"/>
        </w:tcBorders>
        <w:shd w:val="clear" w:color="auto" w:fill="F4B8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196B24" w:themeColor="accent3" w:sz="8" w:space="0"/>
        <w:left w:val="single" w:color="196B24" w:themeColor="accent3" w:sz="8" w:space="0"/>
        <w:bottom w:val="single" w:color="196B24" w:themeColor="accent3" w:sz="8" w:space="0"/>
        <w:right w:val="single" w:color="196B24" w:themeColor="accent3" w:sz="8" w:space="0"/>
        <w:insideH w:val="single" w:color="196B24" w:themeColor="accent3" w:sz="8" w:space="0"/>
        <w:insideV w:val="single" w:color="196B24" w:themeColor="accent3" w:sz="8" w:space="0"/>
      </w:tblBorders>
    </w:tblPr>
    <w:tcPr>
      <w:shd w:val="clear" w:color="auto" w:fill="B3EDBB" w:themeFill="accent3" w:themeFillTint="3F"/>
    </w:tcPr>
    <w:tblStylePr w:type="firstRow">
      <w:rPr>
        <w:b/>
        <w:bCs/>
        <w:color w:val="000000" w:themeColor="text1"/>
        <w14:textFill>
          <w14:solidFill>
            <w14:schemeClr w14:val="tx1"/>
          </w14:solidFill>
        </w14:textFill>
      </w:rPr>
      <w:tblPr/>
      <w:tcPr>
        <w:shd w:val="clear" w:color="auto" w:fill="E0F7E4"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1F0C8" w:themeFill="accent3" w:themeFillTint="33"/>
      </w:tcPr>
    </w:tblStylePr>
    <w:tblStylePr w:type="band1Vert">
      <w:tblPr/>
      <w:tcPr>
        <w:shd w:val="clear" w:color="auto" w:fill="66DB76" w:themeFill="accent3" w:themeFillTint="7F"/>
      </w:tcPr>
    </w:tblStylePr>
    <w:tblStylePr w:type="band1Horz">
      <w:tblPr/>
      <w:tcPr>
        <w:tcBorders>
          <w:insideH w:val="single" w:sz="6" w:space="0"/>
          <w:insideV w:val="single" w:sz="6" w:space="0"/>
        </w:tcBorders>
        <w:shd w:val="clear" w:color="auto" w:fill="66DB76"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F9ED5" w:themeColor="accent4" w:sz="8" w:space="0"/>
        <w:left w:val="single" w:color="0F9ED5" w:themeColor="accent4" w:sz="8" w:space="0"/>
        <w:bottom w:val="single" w:color="0F9ED5" w:themeColor="accent4" w:sz="8" w:space="0"/>
        <w:right w:val="single" w:color="0F9ED5" w:themeColor="accent4" w:sz="8" w:space="0"/>
        <w:insideH w:val="single" w:color="0F9ED5" w:themeColor="accent4" w:sz="8" w:space="0"/>
        <w:insideV w:val="single" w:color="0F9ED5" w:themeColor="accent4" w:sz="8" w:space="0"/>
      </w:tblBorders>
    </w:tblPr>
    <w:tcPr>
      <w:shd w:val="clear" w:color="auto" w:fill="BDE9FA" w:themeFill="accent4" w:themeFillTint="3F"/>
    </w:tcPr>
    <w:tblStylePr w:type="firstRow">
      <w:rPr>
        <w:b/>
        <w:bCs/>
        <w:color w:val="000000" w:themeColor="text1"/>
        <w14:textFill>
          <w14:solidFill>
            <w14:schemeClr w14:val="tx1"/>
          </w14:solidFill>
        </w14:textFill>
      </w:rPr>
      <w:tblPr/>
      <w:tcPr>
        <w:shd w:val="clear" w:color="auto" w:fill="E5F6FD"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insideV w:val="single" w:sz="6" w:space="0"/>
        </w:tcBorders>
        <w:shd w:val="clear" w:color="auto" w:fill="7BD3F5"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02B93" w:themeColor="accent5" w:sz="8" w:space="0"/>
        <w:left w:val="single" w:color="A02B93" w:themeColor="accent5" w:sz="8" w:space="0"/>
        <w:bottom w:val="single" w:color="A02B93" w:themeColor="accent5" w:sz="8" w:space="0"/>
        <w:right w:val="single" w:color="A02B93" w:themeColor="accent5" w:sz="8" w:space="0"/>
        <w:insideH w:val="single" w:color="A02B93" w:themeColor="accent5" w:sz="8" w:space="0"/>
        <w:insideV w:val="single" w:color="A02B93" w:themeColor="accent5" w:sz="8" w:space="0"/>
      </w:tblBorders>
    </w:tblPr>
    <w:tcPr>
      <w:shd w:val="clear" w:color="auto" w:fill="EEC3EA" w:themeFill="accent5" w:themeFillTint="3F"/>
    </w:tcPr>
    <w:tblStylePr w:type="firstRow">
      <w:rPr>
        <w:b/>
        <w:bCs/>
        <w:color w:val="000000" w:themeColor="text1"/>
        <w14:textFill>
          <w14:solidFill>
            <w14:schemeClr w14:val="tx1"/>
          </w14:solidFill>
        </w14:textFill>
      </w:rPr>
      <w:tblPr/>
      <w:tcPr>
        <w:shd w:val="clear" w:color="auto" w:fill="F8E7F6"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1CEEE" w:themeFill="accent5" w:themeFillTint="33"/>
      </w:tcPr>
    </w:tblStylePr>
    <w:tblStylePr w:type="band1Vert">
      <w:tblPr/>
      <w:tcPr>
        <w:shd w:val="clear" w:color="auto" w:fill="DE86D4" w:themeFill="accent5" w:themeFillTint="7F"/>
      </w:tcPr>
    </w:tblStylePr>
    <w:tblStylePr w:type="band1Horz">
      <w:tblPr/>
      <w:tcPr>
        <w:tcBorders>
          <w:insideH w:val="single" w:sz="6" w:space="0"/>
          <w:insideV w:val="single" w:sz="6" w:space="0"/>
        </w:tcBorders>
        <w:shd w:val="clear" w:color="auto" w:fill="DE86D4"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EA72E" w:themeColor="accent6" w:sz="8" w:space="0"/>
        <w:left w:val="single" w:color="4EA72E" w:themeColor="accent6" w:sz="8" w:space="0"/>
        <w:bottom w:val="single" w:color="4EA72E" w:themeColor="accent6" w:sz="8" w:space="0"/>
        <w:right w:val="single" w:color="4EA72E" w:themeColor="accent6" w:sz="8" w:space="0"/>
        <w:insideH w:val="single" w:color="4EA72E" w:themeColor="accent6" w:sz="8" w:space="0"/>
        <w:insideV w:val="single" w:color="4EA72E" w:themeColor="accent6" w:sz="8" w:space="0"/>
      </w:tblBorders>
    </w:tblPr>
    <w:tcPr>
      <w:shd w:val="clear" w:color="auto" w:fill="D0EFC5" w:themeFill="accent6" w:themeFillTint="3F"/>
    </w:tcPr>
    <w:tblStylePr w:type="firstRow">
      <w:rPr>
        <w:b/>
        <w:bCs/>
        <w:color w:val="000000" w:themeColor="text1"/>
        <w14:textFill>
          <w14:solidFill>
            <w14:schemeClr w14:val="tx1"/>
          </w14:solidFill>
        </w14:textFill>
      </w:rPr>
      <w:tblPr/>
      <w:tcPr>
        <w:shd w:val="clear" w:color="auto" w:fill="ECF8E8"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1DF8B" w:themeFill="accent6" w:themeFillTint="7F"/>
      </w:tcPr>
    </w:tblStylePr>
    <w:tblStylePr w:type="band1Horz">
      <w:tblPr/>
      <w:tcPr>
        <w:tcBorders>
          <w:insideH w:val="single" w:sz="6" w:space="0"/>
          <w:insideV w:val="single" w:sz="6" w:space="0"/>
        </w:tcBorders>
        <w:shd w:val="clear" w:color="auto" w:fill="A1DF8B"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2DEF2"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56082"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56082"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156082"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15608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5BDE6"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65BDE6"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DB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97132"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97132"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97132"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9713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4B8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4B8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DBB"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96B24"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96B24"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196B24"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196B2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6DB7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66DB76"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DE9FA"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F9ED5"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F9ED5"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F9ED5"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F9ED5"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BD3F5"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BD3F5"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EC3EA"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02B93"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02B93"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02B93"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02B9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E86D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E86D4"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EFC5"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EA72E"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EA72E"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EA72E"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EA72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DF8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DF8B"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15608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F476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E9713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F4F1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F4F14" w:themeFill="accent2" w:themeFillShade="BF"/>
      </w:tcPr>
    </w:tblStylePr>
    <w:tblStylePr w:type="band1Vert">
      <w:tblPr/>
      <w:tcPr>
        <w:tcBorders>
          <w:top w:val="nil"/>
          <w:left w:val="nil"/>
          <w:bottom w:val="nil"/>
          <w:right w:val="nil"/>
          <w:insideH w:val="nil"/>
          <w:insideV w:val="nil"/>
        </w:tcBorders>
        <w:shd w:val="clear" w:color="auto" w:fill="BF4F14" w:themeFill="accent2" w:themeFillShade="BF"/>
      </w:tcPr>
    </w:tblStylePr>
    <w:tblStylePr w:type="band1Horz">
      <w:tblPr/>
      <w:tcPr>
        <w:tcBorders>
          <w:top w:val="nil"/>
          <w:left w:val="nil"/>
          <w:bottom w:val="nil"/>
          <w:right w:val="nil"/>
          <w:insideH w:val="nil"/>
          <w:insideV w:val="nil"/>
        </w:tcBorders>
        <w:shd w:val="clear" w:color="auto" w:fill="BF4F14" w:themeFill="accent2" w:themeFillShade="BF"/>
      </w:tcPr>
    </w:tblStylePr>
  </w:style>
  <w:style w:type="table" w:styleId="206">
    <w:name w:val="Dark List Accent 3"/>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196B2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2501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2501A" w:themeFill="accent3" w:themeFillShade="BF"/>
      </w:tcPr>
    </w:tblStylePr>
    <w:tblStylePr w:type="band1Vert">
      <w:tblPr/>
      <w:tcPr>
        <w:tcBorders>
          <w:top w:val="nil"/>
          <w:left w:val="nil"/>
          <w:bottom w:val="nil"/>
          <w:right w:val="nil"/>
          <w:insideH w:val="nil"/>
          <w:insideV w:val="nil"/>
        </w:tcBorders>
        <w:shd w:val="clear" w:color="auto" w:fill="12501A" w:themeFill="accent3" w:themeFillShade="BF"/>
      </w:tcPr>
    </w:tblStylePr>
    <w:tblStylePr w:type="band1Horz">
      <w:tblPr/>
      <w:tcPr>
        <w:tcBorders>
          <w:top w:val="nil"/>
          <w:left w:val="nil"/>
          <w:bottom w:val="nil"/>
          <w:right w:val="nil"/>
          <w:insideH w:val="nil"/>
          <w:insideV w:val="nil"/>
        </w:tcBorders>
        <w:shd w:val="clear" w:color="auto" w:fill="12501A"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F9ED5"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74E6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B769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A02B9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154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7206E"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7206E" w:themeFill="accent5" w:themeFillShade="BF"/>
      </w:tcPr>
    </w:tblStylePr>
    <w:tblStylePr w:type="band1Vert">
      <w:tblPr/>
      <w:tcPr>
        <w:tcBorders>
          <w:top w:val="nil"/>
          <w:left w:val="nil"/>
          <w:bottom w:val="nil"/>
          <w:right w:val="nil"/>
          <w:insideH w:val="nil"/>
          <w:insideV w:val="nil"/>
        </w:tcBorders>
        <w:shd w:val="clear" w:color="auto" w:fill="77206E" w:themeFill="accent5" w:themeFillShade="BF"/>
      </w:tcPr>
    </w:tblStylePr>
    <w:tblStylePr w:type="band1Horz">
      <w:tblPr/>
      <w:tcPr>
        <w:tcBorders>
          <w:top w:val="nil"/>
          <w:left w:val="nil"/>
          <w:bottom w:val="nil"/>
          <w:right w:val="nil"/>
          <w:insideH w:val="nil"/>
          <w:insideV w:val="nil"/>
        </w:tcBorders>
        <w:shd w:val="clear" w:color="auto" w:fill="77206E" w:themeFill="accent5" w:themeFillShade="BF"/>
      </w:tcPr>
    </w:tblStylePr>
  </w:style>
  <w:style w:type="table" w:styleId="209">
    <w:name w:val="Dark List Accent 6"/>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EA72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531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A7D22"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A7D22" w:themeFill="accent6" w:themeFillShade="BF"/>
      </w:tcPr>
    </w:tblStylePr>
    <w:tblStylePr w:type="band1Vert">
      <w:tblPr/>
      <w:tcPr>
        <w:tcBorders>
          <w:top w:val="nil"/>
          <w:left w:val="nil"/>
          <w:bottom w:val="nil"/>
          <w:right w:val="nil"/>
          <w:insideH w:val="nil"/>
          <w:insideV w:val="nil"/>
        </w:tcBorders>
        <w:shd w:val="clear" w:color="auto" w:fill="3A7D22" w:themeFill="accent6" w:themeFillShade="BF"/>
      </w:tcPr>
    </w:tblStylePr>
    <w:tblStylePr w:type="band1Horz">
      <w:tblPr/>
      <w:tcPr>
        <w:tcBorders>
          <w:top w:val="nil"/>
          <w:left w:val="nil"/>
          <w:bottom w:val="nil"/>
          <w:right w:val="nil"/>
          <w:insideH w:val="nil"/>
          <w:insideV w:val="nil"/>
        </w:tcBorders>
        <w:shd w:val="clear" w:color="auto" w:fill="3A7D22"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9713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9713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97132" w:themeColor="accent2" w:sz="24" w:space="0"/>
        <w:left w:val="single" w:color="156082" w:themeColor="accent1" w:sz="4" w:space="0"/>
        <w:bottom w:val="single" w:color="156082" w:themeColor="accent1" w:sz="4" w:space="0"/>
        <w:right w:val="single" w:color="156082" w:themeColor="accent1" w:sz="4" w:space="0"/>
        <w:insideH w:val="single" w:color="FFFFFF" w:themeColor="background1" w:sz="4" w:space="0"/>
        <w:insideV w:val="single" w:color="FFFFFF" w:themeColor="background1" w:sz="4" w:space="0"/>
      </w:tblBorders>
    </w:tblPr>
    <w:tcPr>
      <w:shd w:val="clear" w:color="auto" w:fill="E0F2FA" w:themeFill="accent1" w:themeFillTint="19"/>
    </w:tcPr>
    <w:tblStylePr w:type="firstRow">
      <w:rPr>
        <w:b/>
        <w:bCs/>
      </w:rPr>
      <w:tblPr/>
      <w:tcPr>
        <w:tcBorders>
          <w:top w:val="nil"/>
          <w:left w:val="nil"/>
          <w:bottom w:val="single" w:color="E9713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C394D"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C394D"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5BDE6"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97132" w:themeColor="accent2" w:sz="24" w:space="0"/>
        <w:left w:val="single" w:color="E97132" w:themeColor="accent2" w:sz="4" w:space="0"/>
        <w:bottom w:val="single" w:color="E97132" w:themeColor="accent2" w:sz="4" w:space="0"/>
        <w:right w:val="single" w:color="E97132" w:themeColor="accent2" w:sz="4" w:space="0"/>
        <w:insideH w:val="single" w:color="FFFFFF" w:themeColor="background1" w:sz="4" w:space="0"/>
        <w:insideV w:val="single" w:color="FFFFFF" w:themeColor="background1" w:sz="4" w:space="0"/>
      </w:tblBorders>
    </w:tblPr>
    <w:tcPr>
      <w:shd w:val="clear" w:color="auto" w:fill="FCF1EA" w:themeFill="accent2" w:themeFillTint="19"/>
    </w:tcPr>
    <w:tblStylePr w:type="firstRow">
      <w:rPr>
        <w:b/>
        <w:bCs/>
      </w:rPr>
      <w:tblPr/>
      <w:tcPr>
        <w:tcBorders>
          <w:top w:val="nil"/>
          <w:left w:val="nil"/>
          <w:bottom w:val="single" w:color="E9713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3F10"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3F10"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6AC" w:themeFill="accent2" w:themeFillTint="66"/>
      </w:tcPr>
    </w:tblStylePr>
    <w:tblStylePr w:type="band1Horz">
      <w:tblPr/>
      <w:tcPr>
        <w:shd w:val="clear" w:color="auto" w:fill="F4B8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0F9ED5" w:themeColor="accent4" w:sz="24" w:space="0"/>
        <w:left w:val="single" w:color="196B24" w:themeColor="accent3" w:sz="4" w:space="0"/>
        <w:bottom w:val="single" w:color="196B24" w:themeColor="accent3" w:sz="4" w:space="0"/>
        <w:right w:val="single" w:color="196B24" w:themeColor="accent3" w:sz="4" w:space="0"/>
        <w:insideH w:val="single" w:color="FFFFFF" w:themeColor="background1" w:sz="4" w:space="0"/>
        <w:insideV w:val="single" w:color="FFFFFF" w:themeColor="background1" w:sz="4" w:space="0"/>
      </w:tblBorders>
    </w:tblPr>
    <w:tcPr>
      <w:shd w:val="clear" w:color="auto" w:fill="E0F7E4" w:themeFill="accent3" w:themeFillTint="19"/>
    </w:tcPr>
    <w:tblStylePr w:type="firstRow">
      <w:rPr>
        <w:b/>
        <w:bCs/>
      </w:rPr>
      <w:tblPr/>
      <w:tcPr>
        <w:tcBorders>
          <w:top w:val="nil"/>
          <w:left w:val="nil"/>
          <w:bottom w:val="single" w:color="0F9ED5"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E4015"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E4015"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E4015" w:themeFill="accent3" w:themeFillShade="99"/>
      </w:tcPr>
    </w:tblStylePr>
    <w:tblStylePr w:type="band1Vert">
      <w:tblPr/>
      <w:tcPr>
        <w:shd w:val="clear" w:color="auto" w:fill="84E291" w:themeFill="accent3" w:themeFillTint="66"/>
      </w:tcPr>
    </w:tblStylePr>
    <w:tblStylePr w:type="band1Horz">
      <w:tblPr/>
      <w:tcPr>
        <w:shd w:val="clear" w:color="auto" w:fill="66DB76"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196B24" w:themeColor="accent3" w:sz="24" w:space="0"/>
        <w:left w:val="single" w:color="0F9ED5" w:themeColor="accent4" w:sz="4" w:space="0"/>
        <w:bottom w:val="single" w:color="0F9ED5" w:themeColor="accent4" w:sz="4" w:space="0"/>
        <w:right w:val="single" w:color="0F9ED5" w:themeColor="accent4" w:sz="4" w:space="0"/>
        <w:insideH w:val="single" w:color="FFFFFF" w:themeColor="background1" w:sz="4" w:space="0"/>
        <w:insideV w:val="single" w:color="FFFFFF" w:themeColor="background1" w:sz="4" w:space="0"/>
      </w:tblBorders>
    </w:tblPr>
    <w:tcPr>
      <w:shd w:val="clear" w:color="auto" w:fill="E5F6FD" w:themeFill="accent4" w:themeFillTint="19"/>
    </w:tcPr>
    <w:tblStylePr w:type="firstRow">
      <w:rPr>
        <w:b/>
        <w:bCs/>
      </w:rPr>
      <w:tblPr/>
      <w:tcPr>
        <w:tcBorders>
          <w:top w:val="nil"/>
          <w:left w:val="nil"/>
          <w:bottom w:val="single" w:color="196B24"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85E7F"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85E7F"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8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4EA72E" w:themeColor="accent6" w:sz="24" w:space="0"/>
        <w:left w:val="single" w:color="A02B93" w:themeColor="accent5" w:sz="4" w:space="0"/>
        <w:bottom w:val="single" w:color="A02B93" w:themeColor="accent5" w:sz="4" w:space="0"/>
        <w:right w:val="single" w:color="A02B93" w:themeColor="accent5" w:sz="4" w:space="0"/>
        <w:insideH w:val="single" w:color="FFFFFF" w:themeColor="background1" w:sz="4" w:space="0"/>
        <w:insideV w:val="single" w:color="FFFFFF" w:themeColor="background1" w:sz="4" w:space="0"/>
      </w:tblBorders>
    </w:tblPr>
    <w:tcPr>
      <w:shd w:val="clear" w:color="auto" w:fill="F8E7F6" w:themeFill="accent5" w:themeFillTint="19"/>
    </w:tcPr>
    <w:tblStylePr w:type="firstRow">
      <w:rPr>
        <w:b/>
        <w:bCs/>
      </w:rPr>
      <w:tblPr/>
      <w:tcPr>
        <w:tcBorders>
          <w:top w:val="nil"/>
          <w:left w:val="nil"/>
          <w:bottom w:val="single" w:color="4EA72E"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F195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F195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F1958" w:themeFill="accent5" w:themeFillShade="99"/>
      </w:tcPr>
    </w:tblStylePr>
    <w:tblStylePr w:type="band1Vert">
      <w:tblPr/>
      <w:tcPr>
        <w:shd w:val="clear" w:color="auto" w:fill="E49EDD" w:themeFill="accent5" w:themeFillTint="66"/>
      </w:tcPr>
    </w:tblStylePr>
    <w:tblStylePr w:type="band1Horz">
      <w:tblPr/>
      <w:tcPr>
        <w:shd w:val="clear" w:color="auto" w:fill="DE86D4"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rPr>
      <w:color w:val="000000" w:themeColor="text1"/>
      <w14:textFill>
        <w14:solidFill>
          <w14:schemeClr w14:val="tx1"/>
        </w14:solidFill>
      </w14:textFill>
    </w:rPr>
    <w:tblPr>
      <w:tblBorders>
        <w:top w:val="single" w:color="A02B93" w:themeColor="accent5" w:sz="24" w:space="0"/>
        <w:left w:val="single" w:color="4EA72E" w:themeColor="accent6" w:sz="4" w:space="0"/>
        <w:bottom w:val="single" w:color="4EA72E" w:themeColor="accent6" w:sz="4" w:space="0"/>
        <w:right w:val="single" w:color="4EA72E" w:themeColor="accent6" w:sz="4" w:space="0"/>
        <w:insideH w:val="single" w:color="FFFFFF" w:themeColor="background1" w:sz="4" w:space="0"/>
        <w:insideV w:val="single" w:color="FFFFFF" w:themeColor="background1" w:sz="4" w:space="0"/>
      </w:tblBorders>
    </w:tblPr>
    <w:tcPr>
      <w:shd w:val="clear" w:color="auto" w:fill="ECF8E8" w:themeFill="accent6" w:themeFillTint="19"/>
    </w:tcPr>
    <w:tblStylePr w:type="firstRow">
      <w:rPr>
        <w:b/>
        <w:bCs/>
      </w:rPr>
      <w:tblPr/>
      <w:tcPr>
        <w:tcBorders>
          <w:top w:val="nil"/>
          <w:left w:val="nil"/>
          <w:bottom w:val="single" w:color="A02B93"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E641B"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E641B"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1DF8B"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5415" w:themeFill="accent2" w:themeFillShade="CC"/>
      </w:tcPr>
    </w:tblStylePr>
    <w:tblStylePr w:type="lastRow">
      <w:rPr>
        <w:b/>
        <w:bCs/>
        <w:color w:val="CC551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0F2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5415" w:themeFill="accent2" w:themeFillShade="CC"/>
      </w:tcPr>
    </w:tblStylePr>
    <w:tblStylePr w:type="lastRow">
      <w:rPr>
        <w:b/>
        <w:bCs/>
        <w:color w:val="CC551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CF1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5415" w:themeFill="accent2" w:themeFillShade="CC"/>
      </w:tcPr>
    </w:tblStylePr>
    <w:tblStylePr w:type="lastRow">
      <w:rPr>
        <w:b/>
        <w:bCs/>
        <w:color w:val="CC551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0F7E4"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B7EAA" w:themeFill="accent4" w:themeFillShade="CC"/>
      </w:tcPr>
    </w:tblStylePr>
    <w:tblStylePr w:type="lastRow">
      <w:rPr>
        <w:b/>
        <w:bCs/>
        <w:color w:val="0C7EAA"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B" w:themeFill="accent3" w:themeFillTint="3F"/>
      </w:tcPr>
    </w:tblStylePr>
    <w:tblStylePr w:type="band1Horz">
      <w:tblPr/>
      <w:tcPr>
        <w:shd w:val="clear" w:color="auto" w:fill="C1F0C8"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F6FD"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3551C" w:themeFill="accent3" w:themeFillShade="CC"/>
      </w:tcPr>
    </w:tblStylePr>
    <w:tblStylePr w:type="lastRow">
      <w:rPr>
        <w:b/>
        <w:bCs/>
        <w:color w:val="14561D"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8E7F6"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E8524" w:themeFill="accent6" w:themeFillShade="CC"/>
      </w:tcPr>
    </w:tblStylePr>
    <w:tblStylePr w:type="lastRow">
      <w:rPr>
        <w:b/>
        <w:bCs/>
        <w:color w:val="3E8625"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3EA" w:themeFill="accent5" w:themeFillTint="3F"/>
      </w:tcPr>
    </w:tblStylePr>
    <w:tblStylePr w:type="band1Horz">
      <w:tblPr/>
      <w:tcPr>
        <w:shd w:val="clear" w:color="auto" w:fill="F1CEEE"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CF8E8"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F2275" w:themeFill="accent5" w:themeFillShade="CC"/>
      </w:tcPr>
    </w:tblStylePr>
    <w:tblStylePr w:type="lastRow">
      <w:rPr>
        <w:b/>
        <w:bCs/>
        <w:color w:val="80227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14:textFill>
          <w14:solidFill>
            <w14:schemeClr w14:val="tx1"/>
          </w14:solidFill>
        </w14:textFill>
      </w:rPr>
      <w:tblPr/>
      <w:tcPr>
        <w:shd w:val="clear" w:color="auto" w:fill="83CAEB" w:themeFill="accent1" w:themeFillTint="66"/>
      </w:tcPr>
    </w:tblStylePr>
    <w:tblStylePr w:type="firstCol">
      <w:rPr>
        <w:color w:val="FFFFFF" w:themeColor="background1"/>
        <w14:textFill>
          <w14:solidFill>
            <w14:schemeClr w14:val="bg1"/>
          </w14:solidFill>
        </w14:textFill>
      </w:rPr>
      <w:tblPr/>
      <w:tcPr>
        <w:shd w:val="clear" w:color="auto" w:fill="0F4761" w:themeFill="accent1" w:themeFillShade="BF"/>
      </w:tcPr>
    </w:tblStylePr>
    <w:tblStylePr w:type="lastCol">
      <w:rPr>
        <w:color w:val="FFFFFF" w:themeColor="background1"/>
        <w14:textFill>
          <w14:solidFill>
            <w14:schemeClr w14:val="bg1"/>
          </w14:solidFill>
        </w14:textFill>
      </w:rPr>
      <w:tblPr/>
      <w:tcPr>
        <w:shd w:val="clear" w:color="auto" w:fill="0F4761" w:themeFill="accent1" w:themeFillShade="BF"/>
      </w:tcPr>
    </w:tblStylePr>
    <w:tblStylePr w:type="band1Vert">
      <w:tblPr/>
      <w:tcPr>
        <w:shd w:val="clear" w:color="auto" w:fill="65BDE6" w:themeFill="accent1" w:themeFillTint="7F"/>
      </w:tcPr>
    </w:tblStylePr>
    <w:tblStylePr w:type="band1Horz">
      <w:tblPr/>
      <w:tcPr>
        <w:shd w:val="clear" w:color="auto" w:fill="65BDE6"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AE2D5" w:themeFill="accent2" w:themeFillTint="33"/>
    </w:tcPr>
    <w:tblStylePr w:type="firstRow">
      <w:rPr>
        <w:b/>
        <w:bCs/>
      </w:rPr>
      <w:tblPr/>
      <w:tcPr>
        <w:shd w:val="clear" w:color="auto" w:fill="F6C6AC" w:themeFill="accent2" w:themeFillTint="66"/>
      </w:tcPr>
    </w:tblStylePr>
    <w:tblStylePr w:type="lastRow">
      <w:rPr>
        <w:b/>
        <w:bCs/>
        <w:color w:val="000000" w:themeColor="text1"/>
        <w14:textFill>
          <w14:solidFill>
            <w14:schemeClr w14:val="tx1"/>
          </w14:solidFill>
        </w14:textFill>
      </w:rPr>
      <w:tblPr/>
      <w:tcPr>
        <w:shd w:val="clear" w:color="auto" w:fill="F6C6AC" w:themeFill="accent2" w:themeFillTint="66"/>
      </w:tcPr>
    </w:tblStylePr>
    <w:tblStylePr w:type="firstCol">
      <w:rPr>
        <w:color w:val="FFFFFF" w:themeColor="background1"/>
        <w14:textFill>
          <w14:solidFill>
            <w14:schemeClr w14:val="bg1"/>
          </w14:solidFill>
        </w14:textFill>
      </w:rPr>
      <w:tblPr/>
      <w:tcPr>
        <w:shd w:val="clear" w:color="auto" w:fill="BF4F14" w:themeFill="accent2" w:themeFillShade="BF"/>
      </w:tcPr>
    </w:tblStylePr>
    <w:tblStylePr w:type="lastCol">
      <w:rPr>
        <w:color w:val="FFFFFF" w:themeColor="background1"/>
        <w14:textFill>
          <w14:solidFill>
            <w14:schemeClr w14:val="bg1"/>
          </w14:solidFill>
        </w14:textFill>
      </w:rPr>
      <w:tblPr/>
      <w:tcPr>
        <w:shd w:val="clear" w:color="auto" w:fill="BF4F14" w:themeFill="accent2" w:themeFillShade="BF"/>
      </w:tcPr>
    </w:tblStylePr>
    <w:tblStylePr w:type="band1Vert">
      <w:tblPr/>
      <w:tcPr>
        <w:shd w:val="clear" w:color="auto" w:fill="F4B898" w:themeFill="accent2" w:themeFillTint="7F"/>
      </w:tcPr>
    </w:tblStylePr>
    <w:tblStylePr w:type="band1Horz">
      <w:tblPr/>
      <w:tcPr>
        <w:shd w:val="clear" w:color="auto" w:fill="F4B8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1F0C8" w:themeFill="accent3" w:themeFillTint="33"/>
    </w:tcPr>
    <w:tblStylePr w:type="firstRow">
      <w:rPr>
        <w:b/>
        <w:bCs/>
      </w:rPr>
      <w:tblPr/>
      <w:tcPr>
        <w:shd w:val="clear" w:color="auto" w:fill="84E291" w:themeFill="accent3" w:themeFillTint="66"/>
      </w:tcPr>
    </w:tblStylePr>
    <w:tblStylePr w:type="lastRow">
      <w:rPr>
        <w:b/>
        <w:bCs/>
        <w:color w:val="000000" w:themeColor="text1"/>
        <w14:textFill>
          <w14:solidFill>
            <w14:schemeClr w14:val="tx1"/>
          </w14:solidFill>
        </w14:textFill>
      </w:rPr>
      <w:tblPr/>
      <w:tcPr>
        <w:shd w:val="clear" w:color="auto" w:fill="84E291" w:themeFill="accent3" w:themeFillTint="66"/>
      </w:tcPr>
    </w:tblStylePr>
    <w:tblStylePr w:type="firstCol">
      <w:rPr>
        <w:color w:val="FFFFFF" w:themeColor="background1"/>
        <w14:textFill>
          <w14:solidFill>
            <w14:schemeClr w14:val="bg1"/>
          </w14:solidFill>
        </w14:textFill>
      </w:rPr>
      <w:tblPr/>
      <w:tcPr>
        <w:shd w:val="clear" w:color="auto" w:fill="12501A" w:themeFill="accent3" w:themeFillShade="BF"/>
      </w:tcPr>
    </w:tblStylePr>
    <w:tblStylePr w:type="lastCol">
      <w:rPr>
        <w:color w:val="FFFFFF" w:themeColor="background1"/>
        <w14:textFill>
          <w14:solidFill>
            <w14:schemeClr w14:val="bg1"/>
          </w14:solidFill>
        </w14:textFill>
      </w:rPr>
      <w:tblPr/>
      <w:tcPr>
        <w:shd w:val="clear" w:color="auto" w:fill="12501A" w:themeFill="accent3" w:themeFillShade="BF"/>
      </w:tcPr>
    </w:tblStylePr>
    <w:tblStylePr w:type="band1Vert">
      <w:tblPr/>
      <w:tcPr>
        <w:shd w:val="clear" w:color="auto" w:fill="66DB76" w:themeFill="accent3" w:themeFillTint="7F"/>
      </w:tcPr>
    </w:tblStylePr>
    <w:tblStylePr w:type="band1Horz">
      <w:tblPr/>
      <w:tcPr>
        <w:shd w:val="clear" w:color="auto" w:fill="66DB76"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14:textFill>
          <w14:solidFill>
            <w14:schemeClr w14:val="tx1"/>
          </w14:solidFill>
        </w14:textFill>
      </w:rPr>
      <w:tblPr/>
      <w:tcPr>
        <w:shd w:val="clear" w:color="auto" w:fill="95DCF7" w:themeFill="accent4" w:themeFillTint="66"/>
      </w:tcPr>
    </w:tblStylePr>
    <w:tblStylePr w:type="firstCol">
      <w:rPr>
        <w:color w:val="FFFFFF" w:themeColor="background1"/>
        <w14:textFill>
          <w14:solidFill>
            <w14:schemeClr w14:val="bg1"/>
          </w14:solidFill>
        </w14:textFill>
      </w:rPr>
      <w:tblPr/>
      <w:tcPr>
        <w:shd w:val="clear" w:color="auto" w:fill="0B769F" w:themeFill="accent4" w:themeFillShade="BF"/>
      </w:tcPr>
    </w:tblStylePr>
    <w:tblStylePr w:type="lastCol">
      <w:rPr>
        <w:color w:val="FFFFFF" w:themeColor="background1"/>
        <w14:textFill>
          <w14:solidFill>
            <w14:schemeClr w14:val="bg1"/>
          </w14:solidFill>
        </w14:textFill>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1CEEE" w:themeFill="accent5" w:themeFillTint="33"/>
    </w:tcPr>
    <w:tblStylePr w:type="firstRow">
      <w:rPr>
        <w:b/>
        <w:bCs/>
      </w:rPr>
      <w:tblPr/>
      <w:tcPr>
        <w:shd w:val="clear" w:color="auto" w:fill="E49EDD" w:themeFill="accent5" w:themeFillTint="66"/>
      </w:tcPr>
    </w:tblStylePr>
    <w:tblStylePr w:type="lastRow">
      <w:rPr>
        <w:b/>
        <w:bCs/>
        <w:color w:val="000000" w:themeColor="text1"/>
        <w14:textFill>
          <w14:solidFill>
            <w14:schemeClr w14:val="tx1"/>
          </w14:solidFill>
        </w14:textFill>
      </w:rPr>
      <w:tblPr/>
      <w:tcPr>
        <w:shd w:val="clear" w:color="auto" w:fill="E49EDD" w:themeFill="accent5" w:themeFillTint="66"/>
      </w:tcPr>
    </w:tblStylePr>
    <w:tblStylePr w:type="firstCol">
      <w:rPr>
        <w:color w:val="FFFFFF" w:themeColor="background1"/>
        <w14:textFill>
          <w14:solidFill>
            <w14:schemeClr w14:val="bg1"/>
          </w14:solidFill>
        </w14:textFill>
      </w:rPr>
      <w:tblPr/>
      <w:tcPr>
        <w:shd w:val="clear" w:color="auto" w:fill="77206E" w:themeFill="accent5" w:themeFillShade="BF"/>
      </w:tcPr>
    </w:tblStylePr>
    <w:tblStylePr w:type="lastCol">
      <w:rPr>
        <w:color w:val="FFFFFF" w:themeColor="background1"/>
        <w14:textFill>
          <w14:solidFill>
            <w14:schemeClr w14:val="bg1"/>
          </w14:solidFill>
        </w14:textFill>
      </w:rPr>
      <w:tblPr/>
      <w:tcPr>
        <w:shd w:val="clear" w:color="auto" w:fill="77206E"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14:textFill>
          <w14:solidFill>
            <w14:schemeClr w14:val="tx1"/>
          </w14:solidFill>
        </w14:textFill>
      </w:rPr>
      <w:tblPr/>
      <w:tcPr>
        <w:shd w:val="clear" w:color="auto" w:fill="B3E5A1" w:themeFill="accent6" w:themeFillTint="66"/>
      </w:tcPr>
    </w:tblStylePr>
    <w:tblStylePr w:type="firstCol">
      <w:rPr>
        <w:color w:val="FFFFFF" w:themeColor="background1"/>
        <w14:textFill>
          <w14:solidFill>
            <w14:schemeClr w14:val="bg1"/>
          </w14:solidFill>
        </w14:textFill>
      </w:rPr>
      <w:tblPr/>
      <w:tcPr>
        <w:shd w:val="clear" w:color="auto" w:fill="3A7D22" w:themeFill="accent6" w:themeFillShade="BF"/>
      </w:tcPr>
    </w:tblStylePr>
    <w:tblStylePr w:type="lastCol">
      <w:rPr>
        <w:color w:val="FFFFFF" w:themeColor="background1"/>
        <w14:textFill>
          <w14:solidFill>
            <w14:schemeClr w14:val="bg1"/>
          </w14:solidFill>
        </w14:textFill>
      </w:rPr>
      <w:tblPr/>
      <w:tcPr>
        <w:shd w:val="clear" w:color="auto" w:fill="3A7D22" w:themeFill="accent6" w:themeFillShade="BF"/>
      </w:tcPr>
    </w:tblStylePr>
    <w:tblStylePr w:type="band1Vert">
      <w:tblPr/>
      <w:tcPr>
        <w:shd w:val="clear" w:color="auto" w:fill="A1DF8B" w:themeFill="accent6" w:themeFillTint="7F"/>
      </w:tcPr>
    </w:tblStylePr>
    <w:tblStylePr w:type="band1Horz">
      <w:tblPr/>
      <w:tcPr>
        <w:shd w:val="clear" w:color="auto" w:fill="A1DF8B"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unhideWhenUsed/>
    <w:qFormat/>
    <w:uiPriority w:val="99"/>
  </w:style>
  <w:style w:type="character" w:styleId="235">
    <w:name w:val="FollowedHyperlink"/>
    <w:basedOn w:val="231"/>
    <w:semiHidden/>
    <w:unhideWhenUsed/>
    <w:qFormat/>
    <w:uiPriority w:val="99"/>
    <w:rPr>
      <w:color w:val="96607D"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unhideWhenUsed/>
    <w:qFormat/>
    <w:uiPriority w:val="99"/>
    <w:rPr>
      <w:i/>
      <w:iCs/>
    </w:rPr>
  </w:style>
  <w:style w:type="character" w:styleId="239">
    <w:name w:val="HTML Typewriter"/>
    <w:basedOn w:val="231"/>
    <w:semiHidden/>
    <w:unhideWhenUsed/>
    <w:qFormat/>
    <w:uiPriority w:val="99"/>
    <w:rPr>
      <w:rFonts w:ascii="Courier New" w:hAnsi="Courier New" w:cs="Courier New"/>
      <w:sz w:val="20"/>
      <w:szCs w:val="20"/>
    </w:rPr>
  </w:style>
  <w:style w:type="character" w:styleId="240">
    <w:name w:val="HTML Acronym"/>
    <w:basedOn w:val="231"/>
    <w:semiHidden/>
    <w:unhideWhenUsed/>
    <w:qFormat/>
    <w:uiPriority w:val="99"/>
  </w:style>
  <w:style w:type="character" w:styleId="241">
    <w:name w:val="HTML Variable"/>
    <w:basedOn w:val="231"/>
    <w:semiHidden/>
    <w:unhideWhenUsed/>
    <w:qFormat/>
    <w:uiPriority w:val="99"/>
    <w:rPr>
      <w:i/>
      <w:iCs/>
    </w:rPr>
  </w:style>
  <w:style w:type="character" w:styleId="242">
    <w:name w:val="Hyperlink"/>
    <w:basedOn w:val="231"/>
    <w:unhideWhenUsed/>
    <w:qFormat/>
    <w:uiPriority w:val="99"/>
    <w:rPr>
      <w:color w:val="467886" w:themeColor="hyperlink"/>
      <w:u w:val="single"/>
      <w14:textFill>
        <w14:solidFill>
          <w14:schemeClr w14:val="hlink"/>
        </w14:solidFill>
      </w14:textFill>
    </w:rPr>
  </w:style>
  <w:style w:type="character" w:styleId="243">
    <w:name w:val="HTML Code"/>
    <w:basedOn w:val="231"/>
    <w:semiHidden/>
    <w:unhideWhenUsed/>
    <w:qFormat/>
    <w:uiPriority w:val="99"/>
    <w:rPr>
      <w:rFonts w:ascii="Courier New" w:hAnsi="Courier New" w:cs="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unhideWhenUsed/>
    <w:qFormat/>
    <w:uiPriority w:val="99"/>
    <w:rPr>
      <w:i/>
      <w:iCs/>
    </w:rPr>
  </w:style>
  <w:style w:type="character" w:styleId="246">
    <w:name w:val="footnote reference"/>
    <w:basedOn w:val="231"/>
    <w:semiHidden/>
    <w:unhideWhenUsed/>
    <w:qFormat/>
    <w:uiPriority w:val="99"/>
    <w:rPr>
      <w:vertAlign w:val="superscript"/>
    </w:rPr>
  </w:style>
  <w:style w:type="character" w:styleId="247">
    <w:name w:val="HTML Keyboard"/>
    <w:basedOn w:val="231"/>
    <w:semiHidden/>
    <w:unhideWhenUsed/>
    <w:qFormat/>
    <w:uiPriority w:val="99"/>
    <w:rPr>
      <w:rFonts w:ascii="Courier New" w:hAnsi="Courier New" w:cs="Courier New"/>
      <w:sz w:val="20"/>
      <w:szCs w:val="20"/>
    </w:rPr>
  </w:style>
  <w:style w:type="character" w:styleId="248">
    <w:name w:val="HTML Sample"/>
    <w:basedOn w:val="231"/>
    <w:semiHidden/>
    <w:unhideWhenUsed/>
    <w:qFormat/>
    <w:uiPriority w:val="99"/>
    <w:rPr>
      <w:rFonts w:ascii="Courier New" w:hAnsi="Courier New" w:cs="Courier New"/>
    </w:rPr>
  </w:style>
  <w:style w:type="character" w:customStyle="1" w:styleId="249">
    <w:name w:val="页眉 字符"/>
    <w:basedOn w:val="231"/>
    <w:link w:val="57"/>
    <w:qFormat/>
    <w:uiPriority w:val="99"/>
    <w:rPr>
      <w:sz w:val="18"/>
      <w:szCs w:val="18"/>
    </w:rPr>
  </w:style>
  <w:style w:type="character" w:customStyle="1" w:styleId="250">
    <w:name w:val="页脚 字符"/>
    <w:basedOn w:val="231"/>
    <w:link w:val="55"/>
    <w:qFormat/>
    <w:uiPriority w:val="99"/>
    <w:rPr>
      <w:sz w:val="18"/>
      <w:szCs w:val="18"/>
    </w:rPr>
  </w:style>
  <w:style w:type="paragraph" w:styleId="251">
    <w:name w:val="List Paragraph"/>
    <w:basedOn w:val="1"/>
    <w:qFormat/>
    <w:uiPriority w:val="34"/>
    <w:pPr>
      <w:ind w:firstLine="420" w:firstLineChars="200"/>
    </w:pPr>
  </w:style>
  <w:style w:type="character" w:customStyle="1" w:styleId="252">
    <w:name w:val="font21"/>
    <w:basedOn w:val="231"/>
    <w:qFormat/>
    <w:uiPriority w:val="0"/>
    <w:rPr>
      <w:rFonts w:hint="eastAsia" w:ascii="宋体" w:hAnsi="宋体" w:eastAsia="宋体"/>
      <w:color w:val="000000"/>
      <w:sz w:val="21"/>
      <w:szCs w:val="21"/>
      <w:u w:val="none"/>
    </w:rPr>
  </w:style>
  <w:style w:type="character" w:customStyle="1" w:styleId="253">
    <w:name w:val="font11"/>
    <w:basedOn w:val="231"/>
    <w:qFormat/>
    <w:uiPriority w:val="0"/>
    <w:rPr>
      <w:rFonts w:hint="default" w:ascii="Arial Narrow" w:hAnsi="Arial Narrow"/>
      <w:color w:val="000000"/>
      <w:sz w:val="21"/>
      <w:szCs w:val="21"/>
      <w:u w:val="none"/>
    </w:rPr>
  </w:style>
  <w:style w:type="character" w:customStyle="1" w:styleId="254">
    <w:name w:val="未处理的提及1"/>
    <w:basedOn w:val="231"/>
    <w:semiHidden/>
    <w:unhideWhenUsed/>
    <w:qFormat/>
    <w:uiPriority w:val="99"/>
    <w:rPr>
      <w:color w:val="605E5C"/>
      <w:shd w:val="clear" w:color="auto" w:fill="E1DFDD"/>
    </w:rPr>
  </w:style>
  <w:style w:type="character" w:styleId="255">
    <w:name w:val="Placeholder Text"/>
    <w:basedOn w:val="231"/>
    <w:semiHidden/>
    <w:qFormat/>
    <w:uiPriority w:val="99"/>
    <w:rPr>
      <w:color w:val="666666"/>
    </w:rPr>
  </w:style>
  <w:style w:type="character" w:customStyle="1" w:styleId="256">
    <w:name w:val="日期 字符"/>
    <w:basedOn w:val="231"/>
    <w:link w:val="50"/>
    <w:semiHidden/>
    <w:qFormat/>
    <w:uiPriority w:val="99"/>
  </w:style>
  <w:style w:type="character" w:customStyle="1" w:styleId="257">
    <w:name w:val="font41"/>
    <w:basedOn w:val="231"/>
    <w:qFormat/>
    <w:uiPriority w:val="0"/>
    <w:rPr>
      <w:rFonts w:hint="eastAsia" w:ascii="宋体" w:hAnsi="宋体" w:eastAsia="宋体"/>
      <w:b/>
      <w:bCs/>
      <w:color w:val="000000"/>
      <w:sz w:val="44"/>
      <w:szCs w:val="44"/>
      <w:u w:val="none"/>
    </w:rPr>
  </w:style>
  <w:style w:type="character" w:customStyle="1" w:styleId="258">
    <w:name w:val="font51"/>
    <w:basedOn w:val="231"/>
    <w:qFormat/>
    <w:uiPriority w:val="0"/>
    <w:rPr>
      <w:rFonts w:hint="eastAsia" w:ascii="宋体" w:hAnsi="宋体" w:eastAsia="宋体"/>
      <w:b/>
      <w:bCs/>
      <w:color w:val="000000"/>
      <w:sz w:val="46"/>
      <w:szCs w:val="46"/>
      <w:u w:val="none"/>
    </w:rPr>
  </w:style>
  <w:style w:type="character" w:customStyle="1" w:styleId="259">
    <w:name w:val="font61"/>
    <w:basedOn w:val="231"/>
    <w:qFormat/>
    <w:uiPriority w:val="0"/>
    <w:rPr>
      <w:rFonts w:hint="eastAsia" w:ascii="宋体" w:hAnsi="宋体" w:eastAsia="宋体"/>
      <w:color w:val="000000"/>
      <w:sz w:val="36"/>
      <w:szCs w:val="36"/>
      <w:u w:val="none"/>
    </w:rPr>
  </w:style>
  <w:style w:type="character" w:customStyle="1" w:styleId="260">
    <w:name w:val="标题 1 字符"/>
    <w:basedOn w:val="231"/>
    <w:link w:val="3"/>
    <w:qFormat/>
    <w:uiPriority w:val="9"/>
    <w:rPr>
      <w:rFonts w:asciiTheme="minorHAnsi" w:hAnsiTheme="minorHAnsi" w:eastAsiaTheme="minorEastAsia" w:cstheme="minorBidi"/>
      <w:b/>
      <w:bCs/>
      <w:kern w:val="44"/>
      <w:sz w:val="44"/>
      <w:szCs w:val="44"/>
      <w14:ligatures w14:val="standardContextual"/>
    </w:rPr>
  </w:style>
  <w:style w:type="paragraph" w:customStyle="1" w:styleId="261">
    <w:name w:val="TOC 标题1"/>
    <w:basedOn w:val="3"/>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104862" w:themeColor="accent1" w:themeShade="BF"/>
      <w:kern w:val="0"/>
      <w:sz w:val="32"/>
      <w:szCs w:val="32"/>
      <w14:ligatures w14:val="none"/>
    </w:rPr>
  </w:style>
  <w:style w:type="character" w:customStyle="1" w:styleId="262">
    <w:name w:val="批注框文本 字符"/>
    <w:basedOn w:val="231"/>
    <w:link w:val="54"/>
    <w:semiHidden/>
    <w:qFormat/>
    <w:uiPriority w:val="99"/>
    <w:rPr>
      <w:rFonts w:asciiTheme="minorHAnsi" w:hAnsiTheme="minorHAnsi" w:eastAsiaTheme="minorEastAsia" w:cstheme="minorBidi"/>
      <w:kern w:val="2"/>
      <w:sz w:val="18"/>
      <w:szCs w:val="18"/>
      <w14:ligatures w14:val="standardContextual"/>
    </w:rPr>
  </w:style>
  <w:style w:type="character" w:customStyle="1" w:styleId="263">
    <w:name w:val="批注文字 字符"/>
    <w:basedOn w:val="231"/>
    <w:link w:val="28"/>
    <w:semiHidden/>
    <w:qFormat/>
    <w:uiPriority w:val="99"/>
    <w:rPr>
      <w:rFonts w:asciiTheme="minorHAnsi" w:hAnsiTheme="minorHAnsi" w:eastAsiaTheme="minorEastAsia" w:cstheme="minorBidi"/>
      <w:kern w:val="2"/>
      <w:sz w:val="22"/>
      <w:szCs w:val="24"/>
      <w14:ligatures w14:val="standardContextual"/>
    </w:rPr>
  </w:style>
  <w:style w:type="character" w:customStyle="1" w:styleId="264">
    <w:name w:val="批注主题 字符"/>
    <w:basedOn w:val="263"/>
    <w:link w:val="85"/>
    <w:semiHidden/>
    <w:qFormat/>
    <w:uiPriority w:val="99"/>
    <w:rPr>
      <w:rFonts w:asciiTheme="minorHAnsi" w:hAnsiTheme="minorHAnsi" w:eastAsiaTheme="minorEastAsia" w:cstheme="minorBidi"/>
      <w:b/>
      <w:bCs/>
      <w:kern w:val="2"/>
      <w:sz w:val="22"/>
      <w:szCs w:val="24"/>
      <w14:ligatures w14:val="standardContextual"/>
    </w:rPr>
  </w:style>
  <w:style w:type="character" w:customStyle="1" w:styleId="265">
    <w:name w:val="@他1"/>
    <w:basedOn w:val="231"/>
    <w:semiHidden/>
    <w:unhideWhenUsed/>
    <w:qFormat/>
    <w:uiPriority w:val="99"/>
    <w:rPr>
      <w:color w:val="2B579A"/>
      <w:shd w:val="clear" w:color="auto" w:fill="E1DFDD"/>
    </w:rPr>
  </w:style>
  <w:style w:type="character" w:customStyle="1" w:styleId="266">
    <w:name w:val="HTML 地址 字符"/>
    <w:basedOn w:val="231"/>
    <w:link w:val="41"/>
    <w:semiHidden/>
    <w:qFormat/>
    <w:uiPriority w:val="99"/>
    <w:rPr>
      <w:rFonts w:asciiTheme="minorHAnsi" w:hAnsiTheme="minorHAnsi" w:eastAsiaTheme="minorEastAsia" w:cstheme="minorBidi"/>
      <w:i/>
      <w:iCs/>
      <w:kern w:val="2"/>
      <w:sz w:val="22"/>
      <w:szCs w:val="24"/>
      <w14:ligatures w14:val="standardContextual"/>
    </w:rPr>
  </w:style>
  <w:style w:type="character" w:customStyle="1" w:styleId="267">
    <w:name w:val="HTML 预设格式 字符"/>
    <w:basedOn w:val="231"/>
    <w:link w:val="80"/>
    <w:semiHidden/>
    <w:qFormat/>
    <w:uiPriority w:val="99"/>
    <w:rPr>
      <w:rFonts w:ascii="Courier New" w:hAnsi="Courier New" w:cs="Courier New" w:eastAsiaTheme="minorEastAsia"/>
      <w:kern w:val="2"/>
      <w14:ligatures w14:val="standardContextual"/>
    </w:rPr>
  </w:style>
  <w:style w:type="paragraph" w:customStyle="1" w:styleId="268">
    <w:name w:val="TOC 标题2"/>
    <w:basedOn w:val="3"/>
    <w:next w:val="1"/>
    <w:semiHidden/>
    <w:unhideWhenUsed/>
    <w:qFormat/>
    <w:uiPriority w:val="39"/>
    <w:pPr>
      <w:outlineLvl w:val="9"/>
    </w:pPr>
  </w:style>
  <w:style w:type="character" w:customStyle="1" w:styleId="269">
    <w:name w:val="标题 字符"/>
    <w:basedOn w:val="231"/>
    <w:link w:val="84"/>
    <w:qFormat/>
    <w:uiPriority w:val="10"/>
    <w:rPr>
      <w:rFonts w:asciiTheme="majorHAnsi" w:hAnsiTheme="majorHAnsi" w:eastAsiaTheme="majorEastAsia" w:cstheme="majorBidi"/>
      <w:b/>
      <w:bCs/>
      <w:kern w:val="2"/>
      <w:sz w:val="32"/>
      <w:szCs w:val="32"/>
      <w14:ligatures w14:val="standardContextual"/>
    </w:rPr>
  </w:style>
  <w:style w:type="character" w:customStyle="1" w:styleId="270">
    <w:name w:val="标题 2 字符"/>
    <w:basedOn w:val="231"/>
    <w:link w:val="4"/>
    <w:semiHidden/>
    <w:qFormat/>
    <w:uiPriority w:val="9"/>
    <w:rPr>
      <w:rFonts w:asciiTheme="majorHAnsi" w:hAnsiTheme="majorHAnsi" w:eastAsiaTheme="majorEastAsia" w:cstheme="majorBidi"/>
      <w:b/>
      <w:bCs/>
      <w:kern w:val="2"/>
      <w:sz w:val="32"/>
      <w:szCs w:val="32"/>
      <w14:ligatures w14:val="standardContextual"/>
    </w:rPr>
  </w:style>
  <w:style w:type="character" w:customStyle="1" w:styleId="271">
    <w:name w:val="标题 3 字符"/>
    <w:basedOn w:val="231"/>
    <w:link w:val="5"/>
    <w:semiHidden/>
    <w:qFormat/>
    <w:uiPriority w:val="9"/>
    <w:rPr>
      <w:rFonts w:asciiTheme="minorHAnsi" w:hAnsiTheme="minorHAnsi" w:eastAsiaTheme="minorEastAsia" w:cstheme="minorBidi"/>
      <w:b/>
      <w:bCs/>
      <w:kern w:val="2"/>
      <w:sz w:val="32"/>
      <w:szCs w:val="32"/>
      <w14:ligatures w14:val="standardContextual"/>
    </w:rPr>
  </w:style>
  <w:style w:type="character" w:customStyle="1" w:styleId="272">
    <w:name w:val="标题 4 字符"/>
    <w:basedOn w:val="231"/>
    <w:link w:val="6"/>
    <w:semiHidden/>
    <w:qFormat/>
    <w:uiPriority w:val="9"/>
    <w:rPr>
      <w:rFonts w:asciiTheme="majorHAnsi" w:hAnsiTheme="majorHAnsi" w:eastAsiaTheme="majorEastAsia" w:cstheme="majorBidi"/>
      <w:b/>
      <w:bCs/>
      <w:kern w:val="2"/>
      <w:sz w:val="28"/>
      <w:szCs w:val="28"/>
      <w14:ligatures w14:val="standardContextual"/>
    </w:rPr>
  </w:style>
  <w:style w:type="character" w:customStyle="1" w:styleId="273">
    <w:name w:val="标题 5 字符"/>
    <w:basedOn w:val="231"/>
    <w:link w:val="7"/>
    <w:semiHidden/>
    <w:qFormat/>
    <w:uiPriority w:val="9"/>
    <w:rPr>
      <w:rFonts w:asciiTheme="minorHAnsi" w:hAnsiTheme="minorHAnsi" w:eastAsiaTheme="minorEastAsia" w:cstheme="minorBidi"/>
      <w:b/>
      <w:bCs/>
      <w:kern w:val="2"/>
      <w:sz w:val="28"/>
      <w:szCs w:val="28"/>
      <w14:ligatures w14:val="standardContextual"/>
    </w:rPr>
  </w:style>
  <w:style w:type="character" w:customStyle="1" w:styleId="274">
    <w:name w:val="标题 6 字符"/>
    <w:basedOn w:val="231"/>
    <w:link w:val="8"/>
    <w:semiHidden/>
    <w:qFormat/>
    <w:uiPriority w:val="9"/>
    <w:rPr>
      <w:rFonts w:asciiTheme="majorHAnsi" w:hAnsiTheme="majorHAnsi" w:eastAsiaTheme="majorEastAsia" w:cstheme="majorBidi"/>
      <w:b/>
      <w:bCs/>
      <w:kern w:val="2"/>
      <w:sz w:val="24"/>
      <w:szCs w:val="24"/>
      <w14:ligatures w14:val="standardContextual"/>
    </w:rPr>
  </w:style>
  <w:style w:type="character" w:customStyle="1" w:styleId="275">
    <w:name w:val="标题 7 字符"/>
    <w:basedOn w:val="231"/>
    <w:link w:val="9"/>
    <w:semiHidden/>
    <w:qFormat/>
    <w:uiPriority w:val="9"/>
    <w:rPr>
      <w:rFonts w:asciiTheme="minorHAnsi" w:hAnsiTheme="minorHAnsi" w:eastAsiaTheme="minorEastAsia" w:cstheme="minorBidi"/>
      <w:b/>
      <w:bCs/>
      <w:kern w:val="2"/>
      <w:sz w:val="24"/>
      <w:szCs w:val="24"/>
      <w14:ligatures w14:val="standardContextual"/>
    </w:rPr>
  </w:style>
  <w:style w:type="character" w:customStyle="1" w:styleId="276">
    <w:name w:val="标题 8 字符"/>
    <w:basedOn w:val="231"/>
    <w:link w:val="10"/>
    <w:semiHidden/>
    <w:qFormat/>
    <w:uiPriority w:val="9"/>
    <w:rPr>
      <w:rFonts w:asciiTheme="majorHAnsi" w:hAnsiTheme="majorHAnsi" w:eastAsiaTheme="majorEastAsia" w:cstheme="majorBidi"/>
      <w:kern w:val="2"/>
      <w:sz w:val="24"/>
      <w:szCs w:val="24"/>
      <w14:ligatures w14:val="standardContextual"/>
    </w:rPr>
  </w:style>
  <w:style w:type="character" w:customStyle="1" w:styleId="277">
    <w:name w:val="标题 9 字符"/>
    <w:basedOn w:val="231"/>
    <w:link w:val="11"/>
    <w:semiHidden/>
    <w:qFormat/>
    <w:uiPriority w:val="9"/>
    <w:rPr>
      <w:rFonts w:asciiTheme="majorHAnsi" w:hAnsiTheme="majorHAnsi" w:eastAsiaTheme="majorEastAsia" w:cstheme="majorBidi"/>
      <w:kern w:val="2"/>
      <w:sz w:val="21"/>
      <w:szCs w:val="21"/>
      <w14:ligatures w14:val="standardContextual"/>
    </w:rPr>
  </w:style>
  <w:style w:type="character" w:customStyle="1" w:styleId="278">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79">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280">
    <w:name w:val="称呼 字符"/>
    <w:basedOn w:val="231"/>
    <w:link w:val="30"/>
    <w:semiHidden/>
    <w:qFormat/>
    <w:uiPriority w:val="99"/>
    <w:rPr>
      <w:rFonts w:asciiTheme="minorHAnsi" w:hAnsiTheme="minorHAnsi" w:eastAsiaTheme="minorEastAsia" w:cstheme="minorBidi"/>
      <w:kern w:val="2"/>
      <w:sz w:val="22"/>
      <w:szCs w:val="24"/>
      <w14:ligatures w14:val="standardContextual"/>
    </w:rPr>
  </w:style>
  <w:style w:type="character" w:customStyle="1" w:styleId="281">
    <w:name w:val="纯文本 字符"/>
    <w:basedOn w:val="231"/>
    <w:link w:val="45"/>
    <w:semiHidden/>
    <w:qFormat/>
    <w:uiPriority w:val="99"/>
    <w:rPr>
      <w:rFonts w:hAnsi="Courier New" w:cs="Courier New" w:asciiTheme="minorEastAsia" w:eastAsiaTheme="minorEastAsia"/>
      <w:kern w:val="2"/>
      <w:sz w:val="22"/>
      <w:szCs w:val="24"/>
      <w14:ligatures w14:val="standardContextual"/>
    </w:rPr>
  </w:style>
  <w:style w:type="character" w:customStyle="1" w:styleId="282">
    <w:name w:val="电子邮件签名 字符"/>
    <w:basedOn w:val="231"/>
    <w:link w:val="19"/>
    <w:semiHidden/>
    <w:qFormat/>
    <w:uiPriority w:val="99"/>
    <w:rPr>
      <w:rFonts w:asciiTheme="minorHAnsi" w:hAnsiTheme="minorHAnsi" w:eastAsiaTheme="minorEastAsia" w:cstheme="minorBidi"/>
      <w:kern w:val="2"/>
      <w:sz w:val="22"/>
      <w:szCs w:val="24"/>
      <w14:ligatures w14:val="standardContextual"/>
    </w:rPr>
  </w:style>
  <w:style w:type="character" w:customStyle="1" w:styleId="283">
    <w:name w:val="副标题 字符"/>
    <w:basedOn w:val="231"/>
    <w:link w:val="64"/>
    <w:qFormat/>
    <w:uiPriority w:val="11"/>
    <w:rPr>
      <w:rFonts w:asciiTheme="minorHAnsi" w:hAnsiTheme="minorHAnsi" w:eastAsiaTheme="minorEastAsia" w:cstheme="minorBidi"/>
      <w:b/>
      <w:bCs/>
      <w:kern w:val="28"/>
      <w:sz w:val="32"/>
      <w:szCs w:val="32"/>
      <w14:ligatures w14:val="standardContextual"/>
    </w:rPr>
  </w:style>
  <w:style w:type="character" w:customStyle="1" w:styleId="284">
    <w:name w:val="宏文本 字符"/>
    <w:basedOn w:val="231"/>
    <w:link w:val="2"/>
    <w:semiHidden/>
    <w:qFormat/>
    <w:uiPriority w:val="99"/>
    <w:rPr>
      <w:rFonts w:ascii="Courier New" w:hAnsi="Courier New" w:cs="Courier New"/>
      <w:kern w:val="2"/>
      <w:sz w:val="24"/>
      <w:szCs w:val="24"/>
      <w14:ligatures w14:val="standardContextual"/>
    </w:rPr>
  </w:style>
  <w:style w:type="character" w:customStyle="1" w:styleId="285">
    <w:name w:val="脚注文本 字符"/>
    <w:basedOn w:val="231"/>
    <w:link w:val="67"/>
    <w:semiHidden/>
    <w:qFormat/>
    <w:uiPriority w:val="99"/>
    <w:rPr>
      <w:rFonts w:asciiTheme="minorHAnsi" w:hAnsiTheme="minorHAnsi" w:eastAsiaTheme="minorEastAsia" w:cstheme="minorBidi"/>
      <w:kern w:val="2"/>
      <w:sz w:val="18"/>
      <w:szCs w:val="18"/>
      <w14:ligatures w14:val="standardContextual"/>
    </w:rPr>
  </w:style>
  <w:style w:type="character" w:customStyle="1" w:styleId="286">
    <w:name w:val="结束语 字符"/>
    <w:basedOn w:val="231"/>
    <w:link w:val="32"/>
    <w:semiHidden/>
    <w:qFormat/>
    <w:uiPriority w:val="99"/>
    <w:rPr>
      <w:rFonts w:asciiTheme="minorHAnsi" w:hAnsiTheme="minorHAnsi" w:eastAsiaTheme="minorEastAsia" w:cstheme="minorBidi"/>
      <w:kern w:val="2"/>
      <w:sz w:val="22"/>
      <w:szCs w:val="24"/>
      <w14:ligatures w14:val="standardContextual"/>
    </w:rPr>
  </w:style>
  <w:style w:type="character" w:customStyle="1" w:styleId="287">
    <w:name w:val="井号标签1"/>
    <w:basedOn w:val="231"/>
    <w:semiHidden/>
    <w:unhideWhenUsed/>
    <w:qFormat/>
    <w:uiPriority w:val="99"/>
    <w:rPr>
      <w:color w:val="2B579A"/>
      <w:shd w:val="clear" w:color="auto" w:fill="E1DFDD"/>
    </w:rPr>
  </w:style>
  <w:style w:type="character" w:customStyle="1" w:styleId="288">
    <w:name w:val="明显参考1"/>
    <w:basedOn w:val="231"/>
    <w:qFormat/>
    <w:uiPriority w:val="32"/>
    <w:rPr>
      <w:b/>
      <w:bCs/>
      <w:smallCaps/>
      <w:color w:val="156082" w:themeColor="accent1"/>
      <w:spacing w:val="5"/>
      <w14:textFill>
        <w14:solidFill>
          <w14:schemeClr w14:val="accent1"/>
        </w14:solidFill>
      </w14:textFill>
    </w:rPr>
  </w:style>
  <w:style w:type="character" w:customStyle="1" w:styleId="289">
    <w:name w:val="明显强调1"/>
    <w:basedOn w:val="231"/>
    <w:qFormat/>
    <w:uiPriority w:val="21"/>
    <w:rPr>
      <w:i/>
      <w:iCs/>
      <w:color w:val="156082" w:themeColor="accent1"/>
      <w14:textFill>
        <w14:solidFill>
          <w14:schemeClr w14:val="accent1"/>
        </w14:solidFill>
      </w14:textFill>
    </w:rPr>
  </w:style>
  <w:style w:type="paragraph" w:styleId="290">
    <w:name w:val="Intense Quote"/>
    <w:basedOn w:val="1"/>
    <w:next w:val="1"/>
    <w:link w:val="291"/>
    <w:semiHidden/>
    <w:unhideWhenUsed/>
    <w:qFormat/>
    <w:uiPriority w:val="99"/>
    <w:pPr>
      <w:pBdr>
        <w:top w:val="single" w:color="156082" w:themeColor="accent1" w:sz="4" w:space="10"/>
        <w:bottom w:val="single" w:color="156082" w:themeColor="accent1" w:sz="4" w:space="10"/>
      </w:pBdr>
      <w:spacing w:before="360" w:after="360"/>
      <w:ind w:left="864" w:right="864"/>
      <w:jc w:val="center"/>
    </w:pPr>
    <w:rPr>
      <w:i/>
      <w:iCs/>
      <w:color w:val="156082" w:themeColor="accent1"/>
      <w14:textFill>
        <w14:solidFill>
          <w14:schemeClr w14:val="accent1"/>
        </w14:solidFill>
      </w14:textFill>
    </w:rPr>
  </w:style>
  <w:style w:type="character" w:customStyle="1" w:styleId="291">
    <w:name w:val="明显引用 字符"/>
    <w:basedOn w:val="231"/>
    <w:link w:val="290"/>
    <w:semiHidden/>
    <w:qFormat/>
    <w:uiPriority w:val="99"/>
    <w:rPr>
      <w:rFonts w:asciiTheme="minorHAnsi" w:hAnsiTheme="minorHAnsi" w:eastAsiaTheme="minorEastAsia" w:cstheme="minorBidi"/>
      <w:i/>
      <w:iCs/>
      <w:color w:val="156082" w:themeColor="accent1"/>
      <w:kern w:val="2"/>
      <w:sz w:val="22"/>
      <w:szCs w:val="24"/>
      <w14:textFill>
        <w14:solidFill>
          <w14:schemeClr w14:val="accent1"/>
        </w14:solidFill>
      </w14:textFill>
      <w14:ligatures w14:val="standardContextual"/>
    </w:rPr>
  </w:style>
  <w:style w:type="character" w:customStyle="1" w:styleId="292">
    <w:name w:val="签名 字符"/>
    <w:basedOn w:val="231"/>
    <w:link w:val="58"/>
    <w:semiHidden/>
    <w:qFormat/>
    <w:uiPriority w:val="99"/>
    <w:rPr>
      <w:rFonts w:asciiTheme="minorHAnsi" w:hAnsiTheme="minorHAnsi" w:eastAsiaTheme="minorEastAsia" w:cstheme="minorBidi"/>
      <w:kern w:val="2"/>
      <w:sz w:val="22"/>
      <w:szCs w:val="24"/>
      <w14:ligatures w14:val="standardContextual"/>
    </w:rPr>
  </w:style>
  <w:style w:type="table" w:customStyle="1" w:styleId="293">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4">
    <w:name w:val="清单表 1 浅色 - 着色 11"/>
    <w:basedOn w:val="88"/>
    <w:qFormat/>
    <w:uiPriority w:val="46"/>
    <w:tblStylePr w:type="firstRow">
      <w:rPr>
        <w:b/>
        <w:bCs/>
      </w:rPr>
      <w:tcPr>
        <w:tcBorders>
          <w:bottom w:val="single" w:color="45B0E1" w:themeColor="accent1" w:themeTint="99" w:sz="4" w:space="0"/>
        </w:tcBorders>
      </w:tcPr>
    </w:tblStylePr>
    <w:tblStylePr w:type="lastRow">
      <w:rPr>
        <w:b/>
        <w:bCs/>
      </w:rPr>
      <w:tcPr>
        <w:tcBorders>
          <w:top w:val="single" w:color="45B0E1" w:themeColor="accent1" w:themeTint="99" w:sz="4" w:space="0"/>
        </w:tcBorders>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295">
    <w:name w:val="清单表 1 浅色 - 着色 21"/>
    <w:basedOn w:val="88"/>
    <w:qFormat/>
    <w:uiPriority w:val="46"/>
    <w:tblStylePr w:type="firstRow">
      <w:rPr>
        <w:b/>
        <w:bCs/>
      </w:rPr>
      <w:tcPr>
        <w:tcBorders>
          <w:bottom w:val="single" w:color="F1A983" w:themeColor="accent2" w:themeTint="99" w:sz="4" w:space="0"/>
        </w:tcBorders>
      </w:tcPr>
    </w:tblStylePr>
    <w:tblStylePr w:type="lastRow">
      <w:rPr>
        <w:b/>
        <w:bCs/>
      </w:rPr>
      <w:tcPr>
        <w:tcBorders>
          <w:top w:val="single" w:color="F1A983" w:themeColor="accent2" w:themeTint="99" w:sz="4" w:space="0"/>
        </w:tcBorders>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296">
    <w:name w:val="清单表 1 浅色 - 着色 31"/>
    <w:basedOn w:val="88"/>
    <w:qFormat/>
    <w:uiPriority w:val="46"/>
    <w:tblStylePr w:type="firstRow">
      <w:rPr>
        <w:b/>
        <w:bCs/>
      </w:rPr>
      <w:tcPr>
        <w:tcBorders>
          <w:bottom w:val="single" w:color="47D45A" w:themeColor="accent3" w:themeTint="99" w:sz="4" w:space="0"/>
        </w:tcBorders>
      </w:tcPr>
    </w:tblStylePr>
    <w:tblStylePr w:type="lastRow">
      <w:rPr>
        <w:b/>
        <w:bCs/>
      </w:rPr>
      <w:tcPr>
        <w:tcBorders>
          <w:top w:val="single" w:color="47D45A" w:themeColor="accent3" w:themeTint="99" w:sz="4" w:space="0"/>
        </w:tcBorders>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297">
    <w:name w:val="清单表 1 浅色 - 着色 41"/>
    <w:basedOn w:val="88"/>
    <w:qFormat/>
    <w:uiPriority w:val="46"/>
    <w:tblStylePr w:type="firstRow">
      <w:rPr>
        <w:b/>
        <w:bCs/>
      </w:rPr>
      <w:tcPr>
        <w:tcBorders>
          <w:bottom w:val="single" w:color="60CBF3" w:themeColor="accent4" w:themeTint="99" w:sz="4" w:space="0"/>
        </w:tcBorders>
      </w:tcPr>
    </w:tblStylePr>
    <w:tblStylePr w:type="lastRow">
      <w:rPr>
        <w:b/>
        <w:bCs/>
      </w:rPr>
      <w:tcPr>
        <w:tcBorders>
          <w:top w:val="single" w:color="60CBF3" w:themeColor="accent4" w:themeTint="99" w:sz="4" w:space="0"/>
        </w:tcBorders>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298">
    <w:name w:val="清单表 1 浅色 - 着色 51"/>
    <w:basedOn w:val="88"/>
    <w:qFormat/>
    <w:uiPriority w:val="46"/>
    <w:tblStylePr w:type="firstRow">
      <w:rPr>
        <w:b/>
        <w:bCs/>
      </w:rPr>
      <w:tcPr>
        <w:tcBorders>
          <w:bottom w:val="single" w:color="D76DCC" w:themeColor="accent5" w:themeTint="99" w:sz="4" w:space="0"/>
        </w:tcBorders>
      </w:tcPr>
    </w:tblStylePr>
    <w:tblStylePr w:type="lastRow">
      <w:rPr>
        <w:b/>
        <w:bCs/>
      </w:rPr>
      <w:tcPr>
        <w:tcBorders>
          <w:top w:val="single" w:color="D76DCC" w:themeColor="accent5" w:themeTint="99" w:sz="4" w:space="0"/>
        </w:tcBorders>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299">
    <w:name w:val="清单表 1 浅色 - 着色 61"/>
    <w:basedOn w:val="88"/>
    <w:uiPriority w:val="46"/>
    <w:tblStylePr w:type="firstRow">
      <w:rPr>
        <w:b/>
        <w:bCs/>
      </w:rPr>
      <w:tcPr>
        <w:tcBorders>
          <w:bottom w:val="single" w:color="8ED873" w:themeColor="accent6" w:themeTint="99" w:sz="4" w:space="0"/>
        </w:tcBorders>
      </w:tcPr>
    </w:tblStylePr>
    <w:tblStylePr w:type="lastRow">
      <w:rPr>
        <w:b/>
        <w:bCs/>
      </w:rPr>
      <w:tcPr>
        <w:tcBorders>
          <w:top w:val="single" w:color="8ED873" w:themeColor="accent6" w:themeTint="99" w:sz="4" w:space="0"/>
        </w:tcBorders>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00">
    <w:name w:val="清单表 21"/>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1">
    <w:name w:val="清单表 2 - 着色 11"/>
    <w:basedOn w:val="88"/>
    <w:uiPriority w:val="47"/>
    <w:tblPr>
      <w:tblBorders>
        <w:top w:val="single" w:color="45B0E1" w:themeColor="accent1" w:themeTint="99" w:sz="4" w:space="0"/>
        <w:bottom w:val="single" w:color="45B0E1" w:themeColor="accent1" w:themeTint="99" w:sz="4" w:space="0"/>
        <w:insideH w:val="single" w:color="45B0E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02">
    <w:name w:val="清单表 2 - 着色 21"/>
    <w:basedOn w:val="88"/>
    <w:uiPriority w:val="47"/>
    <w:tblPr>
      <w:tblBorders>
        <w:top w:val="single" w:color="F1A983" w:themeColor="accent2" w:themeTint="99" w:sz="4" w:space="0"/>
        <w:bottom w:val="single" w:color="F1A983" w:themeColor="accent2" w:themeTint="99" w:sz="4" w:space="0"/>
        <w:insideH w:val="single" w:color="F1A9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03">
    <w:name w:val="清单表 2 - 着色 31"/>
    <w:basedOn w:val="88"/>
    <w:uiPriority w:val="47"/>
    <w:tblPr>
      <w:tblBorders>
        <w:top w:val="single" w:color="47D45A" w:themeColor="accent3" w:themeTint="99" w:sz="4" w:space="0"/>
        <w:bottom w:val="single" w:color="47D45A" w:themeColor="accent3" w:themeTint="99" w:sz="4" w:space="0"/>
        <w:insideH w:val="single" w:color="47D45A"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04">
    <w:name w:val="清单表 2 - 着色 41"/>
    <w:basedOn w:val="88"/>
    <w:uiPriority w:val="47"/>
    <w:tblPr>
      <w:tblBorders>
        <w:top w:val="single" w:color="60CBF3" w:themeColor="accent4" w:themeTint="99" w:sz="4" w:space="0"/>
        <w:bottom w:val="single" w:color="60CBF3" w:themeColor="accent4" w:themeTint="99" w:sz="4" w:space="0"/>
        <w:insideH w:val="single" w:color="60CBF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05">
    <w:name w:val="清单表 2 - 着色 51"/>
    <w:basedOn w:val="88"/>
    <w:uiPriority w:val="47"/>
    <w:tblPr>
      <w:tblBorders>
        <w:top w:val="single" w:color="D76DCC" w:themeColor="accent5" w:themeTint="99" w:sz="4" w:space="0"/>
        <w:bottom w:val="single" w:color="D76DCC" w:themeColor="accent5" w:themeTint="99" w:sz="4" w:space="0"/>
        <w:insideH w:val="single" w:color="D76DC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06">
    <w:name w:val="清单表 2 - 着色 61"/>
    <w:basedOn w:val="88"/>
    <w:uiPriority w:val="47"/>
    <w:tblPr>
      <w:tblBorders>
        <w:top w:val="single" w:color="8ED873" w:themeColor="accent6" w:themeTint="99" w:sz="4" w:space="0"/>
        <w:bottom w:val="single" w:color="8ED873" w:themeColor="accent6" w:themeTint="99" w:sz="4" w:space="0"/>
        <w:insideH w:val="single" w:color="8ED873"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07">
    <w:name w:val="清单表 31"/>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08">
    <w:name w:val="清单表 3 - 着色 11"/>
    <w:basedOn w:val="88"/>
    <w:uiPriority w:val="48"/>
    <w:tblPr>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blStylePr w:type="firstRow">
      <w:rPr>
        <w:b/>
        <w:bCs/>
        <w:color w:val="FFFFFF" w:themeColor="background1"/>
        <w14:textFill>
          <w14:solidFill>
            <w14:schemeClr w14:val="bg1"/>
          </w14:solidFill>
        </w14:textFill>
      </w:rPr>
      <w:tcPr>
        <w:shd w:val="clear" w:color="auto" w:fill="156082" w:themeFill="accent1"/>
      </w:tcPr>
    </w:tblStylePr>
    <w:tblStylePr w:type="lastRow">
      <w:rPr>
        <w:b/>
        <w:bCs/>
      </w:rPr>
      <w:tcPr>
        <w:tcBorders>
          <w:top w:val="double" w:color="156082"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56082" w:themeColor="accent1" w:sz="4" w:space="0"/>
          <w:right w:val="single" w:color="156082" w:themeColor="accent1" w:sz="4" w:space="0"/>
        </w:tcBorders>
      </w:tcPr>
    </w:tblStylePr>
    <w:tblStylePr w:type="band1Horz">
      <w:tcPr>
        <w:tcBorders>
          <w:top w:val="single" w:color="156082" w:themeColor="accent1" w:sz="4" w:space="0"/>
          <w:bottom w:val="single" w:color="156082"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56082" w:themeColor="accent1" w:sz="4" w:space="0"/>
          <w:left w:val="nil"/>
        </w:tcBorders>
      </w:tcPr>
    </w:tblStylePr>
    <w:tblStylePr w:type="swCell">
      <w:tcPr>
        <w:tcBorders>
          <w:top w:val="double" w:color="156082" w:themeColor="accent1" w:sz="4" w:space="0"/>
          <w:right w:val="nil"/>
        </w:tcBorders>
      </w:tcPr>
    </w:tblStylePr>
  </w:style>
  <w:style w:type="table" w:customStyle="1" w:styleId="309">
    <w:name w:val="清单表 3 - 着色 21"/>
    <w:basedOn w:val="88"/>
    <w:uiPriority w:val="48"/>
    <w:tblPr>
      <w:tblBorders>
        <w:top w:val="single" w:color="E97132" w:themeColor="accent2" w:sz="4" w:space="0"/>
        <w:left w:val="single" w:color="E97132" w:themeColor="accent2" w:sz="4" w:space="0"/>
        <w:bottom w:val="single" w:color="E97132" w:themeColor="accent2" w:sz="4" w:space="0"/>
        <w:right w:val="single" w:color="E97132" w:themeColor="accent2" w:sz="4" w:space="0"/>
      </w:tblBorders>
    </w:tblPr>
    <w:tblStylePr w:type="firstRow">
      <w:rPr>
        <w:b/>
        <w:bCs/>
        <w:color w:val="FFFFFF" w:themeColor="background1"/>
        <w14:textFill>
          <w14:solidFill>
            <w14:schemeClr w14:val="bg1"/>
          </w14:solidFill>
        </w14:textFill>
      </w:rPr>
      <w:tcPr>
        <w:shd w:val="clear" w:color="auto" w:fill="E97132" w:themeFill="accent2"/>
      </w:tcPr>
    </w:tblStylePr>
    <w:tblStylePr w:type="lastRow">
      <w:rPr>
        <w:b/>
        <w:bCs/>
      </w:rPr>
      <w:tcPr>
        <w:tcBorders>
          <w:top w:val="double" w:color="E9713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97132" w:themeColor="accent2" w:sz="4" w:space="0"/>
          <w:right w:val="single" w:color="E97132" w:themeColor="accent2" w:sz="4" w:space="0"/>
        </w:tcBorders>
      </w:tcPr>
    </w:tblStylePr>
    <w:tblStylePr w:type="band1Horz">
      <w:tcPr>
        <w:tcBorders>
          <w:top w:val="single" w:color="E97132" w:themeColor="accent2" w:sz="4" w:space="0"/>
          <w:bottom w:val="single" w:color="E9713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97132" w:themeColor="accent2" w:sz="4" w:space="0"/>
          <w:left w:val="nil"/>
        </w:tcBorders>
      </w:tcPr>
    </w:tblStylePr>
    <w:tblStylePr w:type="swCell">
      <w:tcPr>
        <w:tcBorders>
          <w:top w:val="double" w:color="E97132" w:themeColor="accent2" w:sz="4" w:space="0"/>
          <w:right w:val="nil"/>
        </w:tcBorders>
      </w:tcPr>
    </w:tblStylePr>
  </w:style>
  <w:style w:type="table" w:customStyle="1" w:styleId="310">
    <w:name w:val="清单表 3 - 着色 31"/>
    <w:basedOn w:val="88"/>
    <w:uiPriority w:val="48"/>
    <w:tblPr>
      <w:tblBorders>
        <w:top w:val="single" w:color="196B24" w:themeColor="accent3" w:sz="4" w:space="0"/>
        <w:left w:val="single" w:color="196B24" w:themeColor="accent3" w:sz="4" w:space="0"/>
        <w:bottom w:val="single" w:color="196B24" w:themeColor="accent3" w:sz="4" w:space="0"/>
        <w:right w:val="single" w:color="196B24" w:themeColor="accent3" w:sz="4" w:space="0"/>
      </w:tblBorders>
    </w:tblPr>
    <w:tblStylePr w:type="firstRow">
      <w:rPr>
        <w:b/>
        <w:bCs/>
        <w:color w:val="FFFFFF" w:themeColor="background1"/>
        <w14:textFill>
          <w14:solidFill>
            <w14:schemeClr w14:val="bg1"/>
          </w14:solidFill>
        </w14:textFill>
      </w:rPr>
      <w:tcPr>
        <w:shd w:val="clear" w:color="auto" w:fill="196B24" w:themeFill="accent3"/>
      </w:tcPr>
    </w:tblStylePr>
    <w:tblStylePr w:type="lastRow">
      <w:rPr>
        <w:b/>
        <w:bCs/>
      </w:rPr>
      <w:tcPr>
        <w:tcBorders>
          <w:top w:val="double" w:color="196B24"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96B24" w:themeColor="accent3" w:sz="4" w:space="0"/>
          <w:right w:val="single" w:color="196B24" w:themeColor="accent3" w:sz="4" w:space="0"/>
        </w:tcBorders>
      </w:tcPr>
    </w:tblStylePr>
    <w:tblStylePr w:type="band1Horz">
      <w:tcPr>
        <w:tcBorders>
          <w:top w:val="single" w:color="196B24" w:themeColor="accent3" w:sz="4" w:space="0"/>
          <w:bottom w:val="single" w:color="196B24"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96B24" w:themeColor="accent3" w:sz="4" w:space="0"/>
          <w:left w:val="nil"/>
        </w:tcBorders>
      </w:tcPr>
    </w:tblStylePr>
    <w:tblStylePr w:type="swCell">
      <w:tcPr>
        <w:tcBorders>
          <w:top w:val="double" w:color="196B24" w:themeColor="accent3" w:sz="4" w:space="0"/>
          <w:right w:val="nil"/>
        </w:tcBorders>
      </w:tcPr>
    </w:tblStylePr>
  </w:style>
  <w:style w:type="table" w:customStyle="1" w:styleId="311">
    <w:name w:val="清单表 3 - 着色 41"/>
    <w:basedOn w:val="88"/>
    <w:uiPriority w:val="48"/>
    <w:tblPr>
      <w:tblBorders>
        <w:top w:val="single" w:color="0F9ED5" w:themeColor="accent4" w:sz="4" w:space="0"/>
        <w:left w:val="single" w:color="0F9ED5" w:themeColor="accent4" w:sz="4" w:space="0"/>
        <w:bottom w:val="single" w:color="0F9ED5" w:themeColor="accent4" w:sz="4" w:space="0"/>
        <w:right w:val="single" w:color="0F9ED5" w:themeColor="accent4" w:sz="4" w:space="0"/>
      </w:tblBorders>
    </w:tblPr>
    <w:tblStylePr w:type="firstRow">
      <w:rPr>
        <w:b/>
        <w:bCs/>
        <w:color w:val="FFFFFF" w:themeColor="background1"/>
        <w14:textFill>
          <w14:solidFill>
            <w14:schemeClr w14:val="bg1"/>
          </w14:solidFill>
        </w14:textFill>
      </w:rPr>
      <w:tcPr>
        <w:shd w:val="clear" w:color="auto" w:fill="0F9ED5" w:themeFill="accent4"/>
      </w:tcPr>
    </w:tblStylePr>
    <w:tblStylePr w:type="lastRow">
      <w:rPr>
        <w:b/>
        <w:bCs/>
      </w:rPr>
      <w:tcPr>
        <w:tcBorders>
          <w:top w:val="double" w:color="0F9ED5"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F9ED5" w:themeColor="accent4" w:sz="4" w:space="0"/>
          <w:right w:val="single" w:color="0F9ED5" w:themeColor="accent4" w:sz="4" w:space="0"/>
        </w:tcBorders>
      </w:tcPr>
    </w:tblStylePr>
    <w:tblStylePr w:type="band1Horz">
      <w:tcPr>
        <w:tcBorders>
          <w:top w:val="single" w:color="0F9ED5" w:themeColor="accent4" w:sz="4" w:space="0"/>
          <w:bottom w:val="single" w:color="0F9ED5"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F9ED5" w:themeColor="accent4" w:sz="4" w:space="0"/>
          <w:left w:val="nil"/>
        </w:tcBorders>
      </w:tcPr>
    </w:tblStylePr>
    <w:tblStylePr w:type="swCell">
      <w:tcPr>
        <w:tcBorders>
          <w:top w:val="double" w:color="0F9ED5" w:themeColor="accent4" w:sz="4" w:space="0"/>
          <w:right w:val="nil"/>
        </w:tcBorders>
      </w:tcPr>
    </w:tblStylePr>
  </w:style>
  <w:style w:type="table" w:customStyle="1" w:styleId="312">
    <w:name w:val="清单表 3 - 着色 51"/>
    <w:basedOn w:val="88"/>
    <w:uiPriority w:val="48"/>
    <w:tblPr>
      <w:tblBorders>
        <w:top w:val="single" w:color="A02B93" w:themeColor="accent5" w:sz="4" w:space="0"/>
        <w:left w:val="single" w:color="A02B93" w:themeColor="accent5" w:sz="4" w:space="0"/>
        <w:bottom w:val="single" w:color="A02B93" w:themeColor="accent5" w:sz="4" w:space="0"/>
        <w:right w:val="single" w:color="A02B93" w:themeColor="accent5" w:sz="4" w:space="0"/>
      </w:tblBorders>
    </w:tblPr>
    <w:tblStylePr w:type="firstRow">
      <w:rPr>
        <w:b/>
        <w:bCs/>
        <w:color w:val="FFFFFF" w:themeColor="background1"/>
        <w14:textFill>
          <w14:solidFill>
            <w14:schemeClr w14:val="bg1"/>
          </w14:solidFill>
        </w14:textFill>
      </w:rPr>
      <w:tcPr>
        <w:shd w:val="clear" w:color="auto" w:fill="A02B93" w:themeFill="accent5"/>
      </w:tcPr>
    </w:tblStylePr>
    <w:tblStylePr w:type="lastRow">
      <w:rPr>
        <w:b/>
        <w:bCs/>
      </w:rPr>
      <w:tcPr>
        <w:tcBorders>
          <w:top w:val="double" w:color="A02B93"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02B93" w:themeColor="accent5" w:sz="4" w:space="0"/>
          <w:right w:val="single" w:color="A02B93" w:themeColor="accent5" w:sz="4" w:space="0"/>
        </w:tcBorders>
      </w:tcPr>
    </w:tblStylePr>
    <w:tblStylePr w:type="band1Horz">
      <w:tcPr>
        <w:tcBorders>
          <w:top w:val="single" w:color="A02B93" w:themeColor="accent5" w:sz="4" w:space="0"/>
          <w:bottom w:val="single" w:color="A02B93"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02B93" w:themeColor="accent5" w:sz="4" w:space="0"/>
          <w:left w:val="nil"/>
        </w:tcBorders>
      </w:tcPr>
    </w:tblStylePr>
    <w:tblStylePr w:type="swCell">
      <w:tcPr>
        <w:tcBorders>
          <w:top w:val="double" w:color="A02B93" w:themeColor="accent5" w:sz="4" w:space="0"/>
          <w:right w:val="nil"/>
        </w:tcBorders>
      </w:tcPr>
    </w:tblStylePr>
  </w:style>
  <w:style w:type="table" w:customStyle="1" w:styleId="313">
    <w:name w:val="清单表 3 - 着色 61"/>
    <w:basedOn w:val="88"/>
    <w:uiPriority w:val="48"/>
    <w:tblPr>
      <w:tblBorders>
        <w:top w:val="single" w:color="4EA72E" w:themeColor="accent6" w:sz="4" w:space="0"/>
        <w:left w:val="single" w:color="4EA72E" w:themeColor="accent6" w:sz="4" w:space="0"/>
        <w:bottom w:val="single" w:color="4EA72E" w:themeColor="accent6" w:sz="4" w:space="0"/>
        <w:right w:val="single" w:color="4EA72E" w:themeColor="accent6" w:sz="4" w:space="0"/>
      </w:tblBorders>
    </w:tblPr>
    <w:tblStylePr w:type="firstRow">
      <w:rPr>
        <w:b/>
        <w:bCs/>
        <w:color w:val="FFFFFF" w:themeColor="background1"/>
        <w14:textFill>
          <w14:solidFill>
            <w14:schemeClr w14:val="bg1"/>
          </w14:solidFill>
        </w14:textFill>
      </w:rPr>
      <w:tcPr>
        <w:shd w:val="clear" w:color="auto" w:fill="4EA72E" w:themeFill="accent6"/>
      </w:tcPr>
    </w:tblStylePr>
    <w:tblStylePr w:type="lastRow">
      <w:rPr>
        <w:b/>
        <w:bCs/>
      </w:rPr>
      <w:tcPr>
        <w:tcBorders>
          <w:top w:val="double" w:color="4EA72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EA72E" w:themeColor="accent6" w:sz="4" w:space="0"/>
          <w:right w:val="single" w:color="4EA72E" w:themeColor="accent6" w:sz="4" w:space="0"/>
        </w:tcBorders>
      </w:tcPr>
    </w:tblStylePr>
    <w:tblStylePr w:type="band1Horz">
      <w:tcPr>
        <w:tcBorders>
          <w:top w:val="single" w:color="4EA72E" w:themeColor="accent6" w:sz="4" w:space="0"/>
          <w:bottom w:val="single" w:color="4EA72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EA72E" w:themeColor="accent6" w:sz="4" w:space="0"/>
          <w:left w:val="nil"/>
        </w:tcBorders>
      </w:tcPr>
    </w:tblStylePr>
    <w:tblStylePr w:type="swCell">
      <w:tcPr>
        <w:tcBorders>
          <w:top w:val="double" w:color="4EA72E" w:themeColor="accent6" w:sz="4" w:space="0"/>
          <w:right w:val="nil"/>
        </w:tcBorders>
      </w:tcPr>
    </w:tblStylePr>
  </w:style>
  <w:style w:type="table" w:customStyle="1" w:styleId="314">
    <w:name w:val="清单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5">
    <w:name w:val="清单表 4 - 着色 11"/>
    <w:basedOn w:val="88"/>
    <w:qFormat/>
    <w:uiPriority w:val="49"/>
    <w:tblPr>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tblBorders>
    </w:tblPr>
    <w:tblStylePr w:type="firstRow">
      <w:rPr>
        <w:b/>
        <w:bCs/>
        <w:color w:val="FFFFFF" w:themeColor="background1"/>
        <w14:textFill>
          <w14:solidFill>
            <w14:schemeClr w14:val="bg1"/>
          </w14:solidFill>
        </w14:textFill>
      </w:r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tcBorders>
        <w:shd w:val="clear" w:color="auto" w:fill="156082" w:themeFill="accent1"/>
      </w:tcPr>
    </w:tblStylePr>
    <w:tblStylePr w:type="lastRow">
      <w:rPr>
        <w:b/>
        <w:bCs/>
      </w:rPr>
      <w:tcPr>
        <w:tcBorders>
          <w:top w:val="double" w:color="45B0E1" w:themeColor="accent1" w:themeTint="99" w:sz="4" w:space="0"/>
        </w:tcBorders>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16">
    <w:name w:val="清单表 4 - 着色 21"/>
    <w:basedOn w:val="88"/>
    <w:qFormat/>
    <w:uiPriority w:val="49"/>
    <w:tblPr>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tblBorders>
    </w:tblPr>
    <w:tblStylePr w:type="firstRow">
      <w:rPr>
        <w:b/>
        <w:bCs/>
        <w:color w:val="FFFFFF" w:themeColor="background1"/>
        <w14:textFill>
          <w14:solidFill>
            <w14:schemeClr w14:val="bg1"/>
          </w14:solidFill>
        </w14:textFill>
      </w:rPr>
      <w:tcPr>
        <w:tcBorders>
          <w:top w:val="single" w:color="E97132" w:themeColor="accent2" w:sz="4" w:space="0"/>
          <w:left w:val="single" w:color="E97132" w:themeColor="accent2" w:sz="4" w:space="0"/>
          <w:bottom w:val="single" w:color="E97132" w:themeColor="accent2" w:sz="4" w:space="0"/>
          <w:right w:val="single" w:color="E97132" w:themeColor="accent2" w:sz="4" w:space="0"/>
          <w:insideH w:val="nil"/>
        </w:tcBorders>
        <w:shd w:val="clear" w:color="auto" w:fill="E97132" w:themeFill="accent2"/>
      </w:tcPr>
    </w:tblStylePr>
    <w:tblStylePr w:type="lastRow">
      <w:rPr>
        <w:b/>
        <w:bCs/>
      </w:rPr>
      <w:tcPr>
        <w:tcBorders>
          <w:top w:val="double" w:color="F1A983" w:themeColor="accent2" w:themeTint="99" w:sz="4" w:space="0"/>
        </w:tcBorders>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17">
    <w:name w:val="清单表 4 - 着色 31"/>
    <w:basedOn w:val="88"/>
    <w:qFormat/>
    <w:uiPriority w:val="49"/>
    <w:tblPr>
      <w:tblBorders>
        <w:top w:val="single" w:color="47D45A" w:themeColor="accent3" w:themeTint="99" w:sz="4" w:space="0"/>
        <w:left w:val="single" w:color="47D45A" w:themeColor="accent3" w:themeTint="99" w:sz="4" w:space="0"/>
        <w:bottom w:val="single" w:color="47D45A" w:themeColor="accent3" w:themeTint="99" w:sz="4" w:space="0"/>
        <w:right w:val="single" w:color="47D45A" w:themeColor="accent3" w:themeTint="99" w:sz="4" w:space="0"/>
        <w:insideH w:val="single" w:color="47D45A" w:themeColor="accent3" w:themeTint="99" w:sz="4" w:space="0"/>
      </w:tblBorders>
    </w:tblPr>
    <w:tblStylePr w:type="firstRow">
      <w:rPr>
        <w:b/>
        <w:bCs/>
        <w:color w:val="FFFFFF" w:themeColor="background1"/>
        <w14:textFill>
          <w14:solidFill>
            <w14:schemeClr w14:val="bg1"/>
          </w14:solidFill>
        </w14:textFill>
      </w:r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tcBorders>
        <w:shd w:val="clear" w:color="auto" w:fill="196B24" w:themeFill="accent3"/>
      </w:tcPr>
    </w:tblStylePr>
    <w:tblStylePr w:type="lastRow">
      <w:rPr>
        <w:b/>
        <w:bCs/>
      </w:rPr>
      <w:tcPr>
        <w:tcBorders>
          <w:top w:val="double" w:color="47D45A" w:themeColor="accent3" w:themeTint="99" w:sz="4" w:space="0"/>
        </w:tcBorders>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18">
    <w:name w:val="清单表 4 - 着色 41"/>
    <w:basedOn w:val="88"/>
    <w:uiPriority w:val="49"/>
    <w:tblPr>
      <w:tblBorders>
        <w:top w:val="single" w:color="60CBF3" w:themeColor="accent4" w:themeTint="99" w:sz="4" w:space="0"/>
        <w:left w:val="single" w:color="60CBF3" w:themeColor="accent4" w:themeTint="99" w:sz="4" w:space="0"/>
        <w:bottom w:val="single" w:color="60CBF3" w:themeColor="accent4" w:themeTint="99" w:sz="4" w:space="0"/>
        <w:right w:val="single" w:color="60CBF3" w:themeColor="accent4" w:themeTint="99" w:sz="4" w:space="0"/>
        <w:insideH w:val="single" w:color="60CBF3" w:themeColor="accent4" w:themeTint="99" w:sz="4" w:space="0"/>
      </w:tblBorders>
    </w:tblPr>
    <w:tblStylePr w:type="firstRow">
      <w:rPr>
        <w:b/>
        <w:bCs/>
        <w:color w:val="FFFFFF" w:themeColor="background1"/>
        <w14:textFill>
          <w14:solidFill>
            <w14:schemeClr w14:val="bg1"/>
          </w14:solidFill>
        </w14:textFill>
      </w:rPr>
      <w:tcPr>
        <w:tcBorders>
          <w:top w:val="single" w:color="0F9ED5" w:themeColor="accent4" w:sz="4" w:space="0"/>
          <w:left w:val="single" w:color="0F9ED5" w:themeColor="accent4" w:sz="4" w:space="0"/>
          <w:bottom w:val="single" w:color="0F9ED5" w:themeColor="accent4" w:sz="4" w:space="0"/>
          <w:right w:val="single" w:color="0F9ED5" w:themeColor="accent4" w:sz="4" w:space="0"/>
          <w:insideH w:val="nil"/>
        </w:tcBorders>
        <w:shd w:val="clear" w:color="auto" w:fill="0F9ED5" w:themeFill="accent4"/>
      </w:tcPr>
    </w:tblStylePr>
    <w:tblStylePr w:type="lastRow">
      <w:rPr>
        <w:b/>
        <w:bCs/>
      </w:rPr>
      <w:tcPr>
        <w:tcBorders>
          <w:top w:val="double" w:color="60CBF3" w:themeColor="accent4" w:themeTint="99" w:sz="4" w:space="0"/>
        </w:tcBorders>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19">
    <w:name w:val="清单表 4 - 着色 51"/>
    <w:basedOn w:val="88"/>
    <w:uiPriority w:val="49"/>
    <w:tblPr>
      <w:tblBorders>
        <w:top w:val="single" w:color="D76DCC" w:themeColor="accent5" w:themeTint="99" w:sz="4" w:space="0"/>
        <w:left w:val="single" w:color="D76DCC" w:themeColor="accent5" w:themeTint="99" w:sz="4" w:space="0"/>
        <w:bottom w:val="single" w:color="D76DCC" w:themeColor="accent5" w:themeTint="99" w:sz="4" w:space="0"/>
        <w:right w:val="single" w:color="D76DCC" w:themeColor="accent5" w:themeTint="99" w:sz="4" w:space="0"/>
        <w:insideH w:val="single" w:color="D76DCC" w:themeColor="accent5" w:themeTint="99" w:sz="4" w:space="0"/>
      </w:tblBorders>
    </w:tblPr>
    <w:tblStylePr w:type="firstRow">
      <w:rPr>
        <w:b/>
        <w:bCs/>
        <w:color w:val="FFFFFF" w:themeColor="background1"/>
        <w14:textFill>
          <w14:solidFill>
            <w14:schemeClr w14:val="bg1"/>
          </w14:solidFill>
        </w14:textFill>
      </w:r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tcBorders>
        <w:shd w:val="clear" w:color="auto" w:fill="A02B93" w:themeFill="accent5"/>
      </w:tcPr>
    </w:tblStylePr>
    <w:tblStylePr w:type="lastRow">
      <w:rPr>
        <w:b/>
        <w:bCs/>
      </w:rPr>
      <w:tcPr>
        <w:tcBorders>
          <w:top w:val="double" w:color="D76DCC" w:themeColor="accent5" w:themeTint="99" w:sz="4" w:space="0"/>
        </w:tcBorders>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20">
    <w:name w:val="清单表 4 - 着色 61"/>
    <w:basedOn w:val="88"/>
    <w:qFormat/>
    <w:uiPriority w:val="49"/>
    <w:tblPr>
      <w:tblBorders>
        <w:top w:val="single" w:color="8ED873" w:themeColor="accent6" w:themeTint="99" w:sz="4" w:space="0"/>
        <w:left w:val="single" w:color="8ED873" w:themeColor="accent6" w:themeTint="99" w:sz="4" w:space="0"/>
        <w:bottom w:val="single" w:color="8ED873" w:themeColor="accent6" w:themeTint="99" w:sz="4" w:space="0"/>
        <w:right w:val="single" w:color="8ED873" w:themeColor="accent6" w:themeTint="99" w:sz="4" w:space="0"/>
        <w:insideH w:val="single" w:color="8ED873" w:themeColor="accent6" w:themeTint="99" w:sz="4" w:space="0"/>
      </w:tblBorders>
    </w:tblPr>
    <w:tblStylePr w:type="firstRow">
      <w:rPr>
        <w:b/>
        <w:bCs/>
        <w:color w:val="FFFFFF" w:themeColor="background1"/>
        <w14:textFill>
          <w14:solidFill>
            <w14:schemeClr w14:val="bg1"/>
          </w14:solidFill>
        </w14:textFill>
      </w:r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tcBorders>
        <w:shd w:val="clear" w:color="auto" w:fill="4EA72E" w:themeFill="accent6"/>
      </w:tcPr>
    </w:tblStylePr>
    <w:tblStylePr w:type="lastRow">
      <w:rPr>
        <w:b/>
        <w:bCs/>
      </w:rPr>
      <w:tcPr>
        <w:tcBorders>
          <w:top w:val="double" w:color="8ED873" w:themeColor="accent6" w:themeTint="99" w:sz="4" w:space="0"/>
        </w:tcBorders>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21">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2">
    <w:name w:val="清单表 5 深色 - 着色 11"/>
    <w:basedOn w:val="88"/>
    <w:qFormat/>
    <w:uiPriority w:val="50"/>
    <w:rPr>
      <w:color w:val="FFFFFF" w:themeColor="background1"/>
      <w14:textFill>
        <w14:solidFill>
          <w14:schemeClr w14:val="bg1"/>
        </w14:solidFill>
      </w14:textFill>
    </w:rPr>
    <w:tblPr>
      <w:tblBorders>
        <w:top w:val="single" w:color="156082" w:themeColor="accent1" w:sz="24" w:space="0"/>
        <w:left w:val="single" w:color="156082" w:themeColor="accent1" w:sz="24" w:space="0"/>
        <w:bottom w:val="single" w:color="156082" w:themeColor="accent1" w:sz="24" w:space="0"/>
        <w:right w:val="single" w:color="156082" w:themeColor="accent1" w:sz="24" w:space="0"/>
      </w:tblBorders>
    </w:tblPr>
    <w:tcPr>
      <w:shd w:val="clear" w:color="auto" w:fill="156082"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3">
    <w:name w:val="清单表 5 深色 - 着色 21"/>
    <w:basedOn w:val="88"/>
    <w:qFormat/>
    <w:uiPriority w:val="50"/>
    <w:rPr>
      <w:color w:val="FFFFFF" w:themeColor="background1"/>
      <w14:textFill>
        <w14:solidFill>
          <w14:schemeClr w14:val="bg1"/>
        </w14:solidFill>
      </w14:textFill>
    </w:rPr>
    <w:tblPr>
      <w:tblBorders>
        <w:top w:val="single" w:color="E97132" w:themeColor="accent2" w:sz="24" w:space="0"/>
        <w:left w:val="single" w:color="E97132" w:themeColor="accent2" w:sz="24" w:space="0"/>
        <w:bottom w:val="single" w:color="E97132" w:themeColor="accent2" w:sz="24" w:space="0"/>
        <w:right w:val="single" w:color="E97132" w:themeColor="accent2" w:sz="24" w:space="0"/>
      </w:tblBorders>
    </w:tblPr>
    <w:tcPr>
      <w:shd w:val="clear" w:color="auto" w:fill="E9713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4">
    <w:name w:val="清单表 5 深色 - 着色 31"/>
    <w:basedOn w:val="88"/>
    <w:qFormat/>
    <w:uiPriority w:val="50"/>
    <w:rPr>
      <w:color w:val="FFFFFF" w:themeColor="background1"/>
      <w14:textFill>
        <w14:solidFill>
          <w14:schemeClr w14:val="bg1"/>
        </w14:solidFill>
      </w14:textFill>
    </w:rPr>
    <w:tblPr>
      <w:tblBorders>
        <w:top w:val="single" w:color="196B24" w:themeColor="accent3" w:sz="24" w:space="0"/>
        <w:left w:val="single" w:color="196B24" w:themeColor="accent3" w:sz="24" w:space="0"/>
        <w:bottom w:val="single" w:color="196B24" w:themeColor="accent3" w:sz="24" w:space="0"/>
        <w:right w:val="single" w:color="196B24" w:themeColor="accent3" w:sz="24" w:space="0"/>
      </w:tblBorders>
    </w:tblPr>
    <w:tcPr>
      <w:shd w:val="clear" w:color="auto" w:fill="196B24"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5">
    <w:name w:val="清单表 5 深色 - 着色 41"/>
    <w:basedOn w:val="88"/>
    <w:uiPriority w:val="50"/>
    <w:rPr>
      <w:color w:val="FFFFFF" w:themeColor="background1"/>
      <w14:textFill>
        <w14:solidFill>
          <w14:schemeClr w14:val="bg1"/>
        </w14:solidFill>
      </w14:textFill>
    </w:rPr>
    <w:tblPr>
      <w:tblBorders>
        <w:top w:val="single" w:color="0F9ED5" w:themeColor="accent4" w:sz="24" w:space="0"/>
        <w:left w:val="single" w:color="0F9ED5" w:themeColor="accent4" w:sz="24" w:space="0"/>
        <w:bottom w:val="single" w:color="0F9ED5" w:themeColor="accent4" w:sz="24" w:space="0"/>
        <w:right w:val="single" w:color="0F9ED5" w:themeColor="accent4" w:sz="24" w:space="0"/>
      </w:tblBorders>
    </w:tblPr>
    <w:tcPr>
      <w:shd w:val="clear" w:color="auto" w:fill="0F9ED5"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6">
    <w:name w:val="清单表 5 深色 - 着色 51"/>
    <w:basedOn w:val="88"/>
    <w:uiPriority w:val="50"/>
    <w:rPr>
      <w:color w:val="FFFFFF" w:themeColor="background1"/>
      <w14:textFill>
        <w14:solidFill>
          <w14:schemeClr w14:val="bg1"/>
        </w14:solidFill>
      </w14:textFill>
    </w:rPr>
    <w:tblPr>
      <w:tblBorders>
        <w:top w:val="single" w:color="A02B93" w:themeColor="accent5" w:sz="24" w:space="0"/>
        <w:left w:val="single" w:color="A02B93" w:themeColor="accent5" w:sz="24" w:space="0"/>
        <w:bottom w:val="single" w:color="A02B93" w:themeColor="accent5" w:sz="24" w:space="0"/>
        <w:right w:val="single" w:color="A02B93" w:themeColor="accent5" w:sz="24" w:space="0"/>
      </w:tblBorders>
    </w:tblPr>
    <w:tcPr>
      <w:shd w:val="clear" w:color="auto" w:fill="A02B93"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7">
    <w:name w:val="清单表 5 深色 - 着色 61"/>
    <w:basedOn w:val="88"/>
    <w:uiPriority w:val="50"/>
    <w:rPr>
      <w:color w:val="FFFFFF" w:themeColor="background1"/>
      <w14:textFill>
        <w14:solidFill>
          <w14:schemeClr w14:val="bg1"/>
        </w14:solidFill>
      </w14:textFill>
    </w:rPr>
    <w:tblPr>
      <w:tblBorders>
        <w:top w:val="single" w:color="4EA72E" w:themeColor="accent6" w:sz="24" w:space="0"/>
        <w:left w:val="single" w:color="4EA72E" w:themeColor="accent6" w:sz="24" w:space="0"/>
        <w:bottom w:val="single" w:color="4EA72E" w:themeColor="accent6" w:sz="24" w:space="0"/>
        <w:right w:val="single" w:color="4EA72E" w:themeColor="accent6" w:sz="24" w:space="0"/>
      </w:tblBorders>
    </w:tblPr>
    <w:tcPr>
      <w:shd w:val="clear" w:color="auto" w:fill="4EA72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28">
    <w:name w:val="清单表 6 彩色1"/>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9">
    <w:name w:val="清单表 6 彩色 - 着色 11"/>
    <w:basedOn w:val="88"/>
    <w:uiPriority w:val="51"/>
    <w:rPr>
      <w:color w:val="104862" w:themeColor="accent1" w:themeShade="BF"/>
    </w:rPr>
    <w:tblPr>
      <w:tblBorders>
        <w:top w:val="single" w:color="156082" w:themeColor="accent1" w:sz="4" w:space="0"/>
        <w:bottom w:val="single" w:color="156082" w:themeColor="accent1" w:sz="4" w:space="0"/>
      </w:tblBorders>
    </w:tblPr>
    <w:tblStylePr w:type="firstRow">
      <w:rPr>
        <w:b/>
        <w:bCs/>
      </w:rPr>
      <w:tcPr>
        <w:tcBorders>
          <w:bottom w:val="single" w:color="156082" w:themeColor="accent1" w:sz="4" w:space="0"/>
        </w:tcBorders>
      </w:tcPr>
    </w:tblStylePr>
    <w:tblStylePr w:type="lastRow">
      <w:rPr>
        <w:b/>
        <w:bCs/>
      </w:rPr>
      <w:tcPr>
        <w:tcBorders>
          <w:top w:val="double" w:color="156082" w:themeColor="accent1" w:sz="4" w:space="0"/>
        </w:tcBorders>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30">
    <w:name w:val="清单表 6 彩色 - 着色 21"/>
    <w:basedOn w:val="88"/>
    <w:uiPriority w:val="51"/>
    <w:rPr>
      <w:color w:val="C04F15" w:themeColor="accent2" w:themeShade="BF"/>
    </w:rPr>
    <w:tblPr>
      <w:tblBorders>
        <w:top w:val="single" w:color="E97132" w:themeColor="accent2" w:sz="4" w:space="0"/>
        <w:bottom w:val="single" w:color="E97132" w:themeColor="accent2" w:sz="4" w:space="0"/>
      </w:tblBorders>
    </w:tblPr>
    <w:tblStylePr w:type="firstRow">
      <w:rPr>
        <w:b/>
        <w:bCs/>
      </w:rPr>
      <w:tcPr>
        <w:tcBorders>
          <w:bottom w:val="single" w:color="E97132" w:themeColor="accent2" w:sz="4" w:space="0"/>
        </w:tcBorders>
      </w:tcPr>
    </w:tblStylePr>
    <w:tblStylePr w:type="lastRow">
      <w:rPr>
        <w:b/>
        <w:bCs/>
      </w:rPr>
      <w:tcPr>
        <w:tcBorders>
          <w:top w:val="double" w:color="E97132" w:themeColor="accent2" w:sz="4" w:space="0"/>
        </w:tcBorders>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31">
    <w:name w:val="清单表 6 彩色 - 着色 31"/>
    <w:basedOn w:val="88"/>
    <w:qFormat/>
    <w:uiPriority w:val="51"/>
    <w:rPr>
      <w:color w:val="13501B" w:themeColor="accent3" w:themeShade="BF"/>
    </w:rPr>
    <w:tblPr>
      <w:tblBorders>
        <w:top w:val="single" w:color="196B24" w:themeColor="accent3" w:sz="4" w:space="0"/>
        <w:bottom w:val="single" w:color="196B24" w:themeColor="accent3" w:sz="4" w:space="0"/>
      </w:tblBorders>
    </w:tblPr>
    <w:tblStylePr w:type="firstRow">
      <w:rPr>
        <w:b/>
        <w:bCs/>
      </w:rPr>
      <w:tcPr>
        <w:tcBorders>
          <w:bottom w:val="single" w:color="196B24" w:themeColor="accent3" w:sz="4" w:space="0"/>
        </w:tcBorders>
      </w:tcPr>
    </w:tblStylePr>
    <w:tblStylePr w:type="lastRow">
      <w:rPr>
        <w:b/>
        <w:bCs/>
      </w:rPr>
      <w:tcPr>
        <w:tcBorders>
          <w:top w:val="double" w:color="196B24" w:themeColor="accent3" w:sz="4" w:space="0"/>
        </w:tcBorders>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32">
    <w:name w:val="清单表 6 彩色 - 着色 41"/>
    <w:basedOn w:val="88"/>
    <w:qFormat/>
    <w:uiPriority w:val="51"/>
    <w:rPr>
      <w:color w:val="0B76A0" w:themeColor="accent4" w:themeShade="BF"/>
    </w:rPr>
    <w:tblPr>
      <w:tblBorders>
        <w:top w:val="single" w:color="0F9ED5" w:themeColor="accent4" w:sz="4" w:space="0"/>
        <w:bottom w:val="single" w:color="0F9ED5" w:themeColor="accent4" w:sz="4" w:space="0"/>
      </w:tblBorders>
    </w:tblPr>
    <w:tblStylePr w:type="firstRow">
      <w:rPr>
        <w:b/>
        <w:bCs/>
      </w:rPr>
      <w:tcPr>
        <w:tcBorders>
          <w:bottom w:val="single" w:color="0F9ED5" w:themeColor="accent4" w:sz="4" w:space="0"/>
        </w:tcBorders>
      </w:tcPr>
    </w:tblStylePr>
    <w:tblStylePr w:type="lastRow">
      <w:rPr>
        <w:b/>
        <w:bCs/>
      </w:rPr>
      <w:tcPr>
        <w:tcBorders>
          <w:top w:val="double" w:color="0F9ED5" w:themeColor="accent4" w:sz="4" w:space="0"/>
        </w:tcBorders>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33">
    <w:name w:val="清单表 6 彩色 - 着色 51"/>
    <w:basedOn w:val="88"/>
    <w:qFormat/>
    <w:uiPriority w:val="51"/>
    <w:rPr>
      <w:color w:val="78206E" w:themeColor="accent5" w:themeShade="BF"/>
    </w:rPr>
    <w:tblPr>
      <w:tblBorders>
        <w:top w:val="single" w:color="A02B93" w:themeColor="accent5" w:sz="4" w:space="0"/>
        <w:bottom w:val="single" w:color="A02B93" w:themeColor="accent5" w:sz="4" w:space="0"/>
      </w:tblBorders>
    </w:tblPr>
    <w:tblStylePr w:type="firstRow">
      <w:rPr>
        <w:b/>
        <w:bCs/>
      </w:rPr>
      <w:tcPr>
        <w:tcBorders>
          <w:bottom w:val="single" w:color="A02B93" w:themeColor="accent5" w:sz="4" w:space="0"/>
        </w:tcBorders>
      </w:tcPr>
    </w:tblStylePr>
    <w:tblStylePr w:type="lastRow">
      <w:rPr>
        <w:b/>
        <w:bCs/>
      </w:rPr>
      <w:tcPr>
        <w:tcBorders>
          <w:top w:val="double" w:color="A02B93" w:themeColor="accent5" w:sz="4" w:space="0"/>
        </w:tcBorders>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34">
    <w:name w:val="清单表 6 彩色 - 着色 61"/>
    <w:basedOn w:val="88"/>
    <w:uiPriority w:val="51"/>
    <w:rPr>
      <w:color w:val="3B7D23" w:themeColor="accent6" w:themeShade="BF"/>
    </w:rPr>
    <w:tblPr>
      <w:tblBorders>
        <w:top w:val="single" w:color="4EA72E" w:themeColor="accent6" w:sz="4" w:space="0"/>
        <w:bottom w:val="single" w:color="4EA72E" w:themeColor="accent6" w:sz="4" w:space="0"/>
      </w:tblBorders>
    </w:tblPr>
    <w:tblStylePr w:type="firstRow">
      <w:rPr>
        <w:b/>
        <w:bCs/>
      </w:rPr>
      <w:tcPr>
        <w:tcBorders>
          <w:bottom w:val="single" w:color="4EA72E" w:themeColor="accent6" w:sz="4" w:space="0"/>
        </w:tcBorders>
      </w:tcPr>
    </w:tblStylePr>
    <w:tblStylePr w:type="lastRow">
      <w:rPr>
        <w:b/>
        <w:bCs/>
      </w:rPr>
      <w:tcPr>
        <w:tcBorders>
          <w:top w:val="double" w:color="4EA72E" w:themeColor="accent6" w:sz="4" w:space="0"/>
        </w:tcBorders>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35">
    <w:name w:val="清单表 7 彩色1"/>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6">
    <w:name w:val="清单表 7 彩色 - 着色 11"/>
    <w:basedOn w:val="88"/>
    <w:qFormat/>
    <w:uiPriority w:val="52"/>
    <w:rPr>
      <w:color w:val="104862" w:themeColor="accent1" w:themeShade="BF"/>
    </w:rPr>
    <w:tblStylePr w:type="firstRow">
      <w:rPr>
        <w:rFonts w:asciiTheme="majorHAnsi" w:hAnsiTheme="majorHAnsi" w:eastAsiaTheme="majorEastAsia" w:cstheme="majorBidi"/>
        <w:i/>
        <w:iCs/>
        <w:sz w:val="26"/>
      </w:rPr>
      <w:tcPr>
        <w:tcBorders>
          <w:bottom w:val="single" w:color="156082"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5608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56082"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56082" w:themeColor="accent1" w:sz="4" w:space="0"/>
        </w:tcBorders>
        <w:shd w:val="clear" w:color="auto" w:fill="FFFFFF" w:themeFill="background1"/>
      </w:tcPr>
    </w:tblStylePr>
    <w:tblStylePr w:type="band1Vert">
      <w:tcPr>
        <w:shd w:val="clear" w:color="auto" w:fill="C1E4F5" w:themeFill="accent1" w:themeFillTint="33"/>
      </w:tcPr>
    </w:tblStylePr>
    <w:tblStylePr w:type="band1Horz">
      <w:tcPr>
        <w:shd w:val="clear" w:color="auto" w:fill="C1E4F5"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7">
    <w:name w:val="清单表 7 彩色 - 着色 21"/>
    <w:basedOn w:val="88"/>
    <w:uiPriority w:val="52"/>
    <w:rPr>
      <w:color w:val="C04F15" w:themeColor="accent2" w:themeShade="BF"/>
    </w:rPr>
    <w:tblStylePr w:type="firstRow">
      <w:rPr>
        <w:rFonts w:asciiTheme="majorHAnsi" w:hAnsiTheme="majorHAnsi" w:eastAsiaTheme="majorEastAsia" w:cstheme="majorBidi"/>
        <w:i/>
        <w:iCs/>
        <w:sz w:val="26"/>
      </w:rPr>
      <w:tcPr>
        <w:tcBorders>
          <w:bottom w:val="single" w:color="E9713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9713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9713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97132" w:themeColor="accent2" w:sz="4" w:space="0"/>
        </w:tcBorders>
        <w:shd w:val="clear" w:color="auto" w:fill="FFFFFF" w:themeFill="background1"/>
      </w:tcPr>
    </w:tblStylePr>
    <w:tblStylePr w:type="band1Vert">
      <w:tcPr>
        <w:shd w:val="clear" w:color="auto" w:fill="FAE2D5" w:themeFill="accent2" w:themeFillTint="33"/>
      </w:tcPr>
    </w:tblStylePr>
    <w:tblStylePr w:type="band1Horz">
      <w:tcPr>
        <w:shd w:val="clear" w:color="auto" w:fill="FAE2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8">
    <w:name w:val="清单表 7 彩色 - 着色 31"/>
    <w:basedOn w:val="88"/>
    <w:uiPriority w:val="52"/>
    <w:rPr>
      <w:color w:val="13501B" w:themeColor="accent3" w:themeShade="BF"/>
    </w:rPr>
    <w:tblStylePr w:type="firstRow">
      <w:rPr>
        <w:rFonts w:asciiTheme="majorHAnsi" w:hAnsiTheme="majorHAnsi" w:eastAsiaTheme="majorEastAsia" w:cstheme="majorBidi"/>
        <w:i/>
        <w:iCs/>
        <w:sz w:val="26"/>
      </w:rPr>
      <w:tcPr>
        <w:tcBorders>
          <w:bottom w:val="single" w:color="196B24"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96B2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96B24"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96B24" w:themeColor="accent3" w:sz="4" w:space="0"/>
        </w:tcBorders>
        <w:shd w:val="clear" w:color="auto" w:fill="FFFFFF" w:themeFill="background1"/>
      </w:tcPr>
    </w:tblStylePr>
    <w:tblStylePr w:type="band1Vert">
      <w:tcPr>
        <w:shd w:val="clear" w:color="auto" w:fill="C1F0C8" w:themeFill="accent3" w:themeFillTint="33"/>
      </w:tcPr>
    </w:tblStylePr>
    <w:tblStylePr w:type="band1Horz">
      <w:tcPr>
        <w:shd w:val="clear" w:color="auto" w:fill="C1F0C8"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9">
    <w:name w:val="清单表 7 彩色 - 着色 41"/>
    <w:basedOn w:val="88"/>
    <w:qFormat/>
    <w:uiPriority w:val="52"/>
    <w:rPr>
      <w:color w:val="0B76A0" w:themeColor="accent4" w:themeShade="BF"/>
    </w:rPr>
    <w:tblStylePr w:type="firstRow">
      <w:rPr>
        <w:rFonts w:asciiTheme="majorHAnsi" w:hAnsiTheme="majorHAnsi" w:eastAsiaTheme="majorEastAsia" w:cstheme="majorBidi"/>
        <w:i/>
        <w:iCs/>
        <w:sz w:val="26"/>
      </w:rPr>
      <w:tcPr>
        <w:tcBorders>
          <w:bottom w:val="single" w:color="0F9ED5"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F9ED5"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F9ED5"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F9ED5" w:themeColor="accent4" w:sz="4" w:space="0"/>
        </w:tcBorders>
        <w:shd w:val="clear" w:color="auto" w:fill="FFFFFF" w:themeFill="background1"/>
      </w:tcPr>
    </w:tblStylePr>
    <w:tblStylePr w:type="band1Vert">
      <w:tcPr>
        <w:shd w:val="clear" w:color="auto" w:fill="CAEDFB" w:themeFill="accent4" w:themeFillTint="33"/>
      </w:tcPr>
    </w:tblStylePr>
    <w:tblStylePr w:type="band1Horz">
      <w:tcPr>
        <w:shd w:val="clear" w:color="auto" w:fill="CAEDFB"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40">
    <w:name w:val="清单表 7 彩色 - 着色 51"/>
    <w:basedOn w:val="88"/>
    <w:uiPriority w:val="52"/>
    <w:rPr>
      <w:color w:val="78206E" w:themeColor="accent5" w:themeShade="BF"/>
    </w:rPr>
    <w:tblStylePr w:type="firstRow">
      <w:rPr>
        <w:rFonts w:asciiTheme="majorHAnsi" w:hAnsiTheme="majorHAnsi" w:eastAsiaTheme="majorEastAsia" w:cstheme="majorBidi"/>
        <w:i/>
        <w:iCs/>
        <w:sz w:val="26"/>
      </w:rPr>
      <w:tcPr>
        <w:tcBorders>
          <w:bottom w:val="single" w:color="A02B93"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02B9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02B93"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02B93" w:themeColor="accent5" w:sz="4" w:space="0"/>
        </w:tcBorders>
        <w:shd w:val="clear" w:color="auto" w:fill="FFFFFF" w:themeFill="background1"/>
      </w:tcPr>
    </w:tblStylePr>
    <w:tblStylePr w:type="band1Vert">
      <w:tcPr>
        <w:shd w:val="clear" w:color="auto" w:fill="F1CEEE" w:themeFill="accent5" w:themeFillTint="33"/>
      </w:tcPr>
    </w:tblStylePr>
    <w:tblStylePr w:type="band1Horz">
      <w:tcPr>
        <w:shd w:val="clear" w:color="auto" w:fill="F1CEE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41">
    <w:name w:val="清单表 7 彩色 - 着色 61"/>
    <w:basedOn w:val="88"/>
    <w:uiPriority w:val="52"/>
    <w:rPr>
      <w:color w:val="3B7D23" w:themeColor="accent6" w:themeShade="BF"/>
    </w:rPr>
    <w:tblStylePr w:type="firstRow">
      <w:rPr>
        <w:rFonts w:asciiTheme="majorHAnsi" w:hAnsiTheme="majorHAnsi" w:eastAsiaTheme="majorEastAsia" w:cstheme="majorBidi"/>
        <w:i/>
        <w:iCs/>
        <w:sz w:val="26"/>
      </w:rPr>
      <w:tcPr>
        <w:tcBorders>
          <w:bottom w:val="single" w:color="4EA72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EA72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EA72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EA72E" w:themeColor="accent6" w:sz="4" w:space="0"/>
        </w:tcBorders>
        <w:shd w:val="clear" w:color="auto" w:fill="FFFFFF" w:themeFill="background1"/>
      </w:tcPr>
    </w:tblStylePr>
    <w:tblStylePr w:type="band1Vert">
      <w:tcPr>
        <w:shd w:val="clear" w:color="auto" w:fill="D9F2D0" w:themeFill="accent6" w:themeFillTint="33"/>
      </w:tcPr>
    </w:tblStylePr>
    <w:tblStylePr w:type="band1Horz">
      <w:tcPr>
        <w:shd w:val="clear" w:color="auto" w:fill="D9F2D0"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42">
    <w:name w:val="书籍标题1"/>
    <w:basedOn w:val="231"/>
    <w:qFormat/>
    <w:uiPriority w:val="33"/>
    <w:rPr>
      <w:b/>
      <w:bCs/>
      <w:i/>
      <w:iCs/>
      <w:spacing w:val="5"/>
    </w:rPr>
  </w:style>
  <w:style w:type="paragraph" w:customStyle="1" w:styleId="343">
    <w:name w:val="书目1"/>
    <w:basedOn w:val="1"/>
    <w:next w:val="1"/>
    <w:semiHidden/>
    <w:unhideWhenUsed/>
    <w:qFormat/>
    <w:uiPriority w:val="37"/>
  </w:style>
  <w:style w:type="table" w:customStyle="1" w:styleId="344">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45">
    <w:name w:val="网格表 1 浅色 - 着色 11"/>
    <w:basedOn w:val="88"/>
    <w:qFormat/>
    <w:uiPriority w:val="46"/>
    <w:tblPr>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cPr>
        <w:tcBorders>
          <w:bottom w:val="single" w:color="45B0E1" w:themeColor="accent1" w:themeTint="99" w:sz="12" w:space="0"/>
        </w:tcBorders>
      </w:tcPr>
    </w:tblStylePr>
    <w:tblStylePr w:type="lastRow">
      <w:rPr>
        <w:b/>
        <w:bCs/>
      </w:rPr>
      <w:tcPr>
        <w:tcBorders>
          <w:top w:val="double" w:color="45B0E1" w:themeColor="accent1" w:themeTint="99" w:sz="2" w:space="0"/>
        </w:tcBorders>
      </w:tcPr>
    </w:tblStylePr>
    <w:tblStylePr w:type="firstCol">
      <w:rPr>
        <w:b/>
        <w:bCs/>
      </w:rPr>
    </w:tblStylePr>
    <w:tblStylePr w:type="lastCol">
      <w:rPr>
        <w:b/>
        <w:bCs/>
      </w:rPr>
    </w:tblStylePr>
  </w:style>
  <w:style w:type="table" w:customStyle="1" w:styleId="346">
    <w:name w:val="网格表 1 浅色 - 着色 21"/>
    <w:basedOn w:val="88"/>
    <w:qFormat/>
    <w:uiPriority w:val="46"/>
    <w:tblPr>
      <w:tblBorders>
        <w:top w:val="single" w:color="F6C6AC" w:themeColor="accent2" w:themeTint="66" w:sz="4" w:space="0"/>
        <w:left w:val="single" w:color="F6C6AC" w:themeColor="accent2" w:themeTint="66" w:sz="4" w:space="0"/>
        <w:bottom w:val="single" w:color="F6C6AC" w:themeColor="accent2" w:themeTint="66" w:sz="4" w:space="0"/>
        <w:right w:val="single" w:color="F6C6AC" w:themeColor="accent2" w:themeTint="66" w:sz="4" w:space="0"/>
        <w:insideH w:val="single" w:color="F6C6AC" w:themeColor="accent2" w:themeTint="66" w:sz="4" w:space="0"/>
        <w:insideV w:val="single" w:color="F6C6AC" w:themeColor="accent2" w:themeTint="66" w:sz="4" w:space="0"/>
      </w:tblBorders>
    </w:tblPr>
    <w:tblStylePr w:type="firstRow">
      <w:rPr>
        <w:b/>
        <w:bCs/>
      </w:rPr>
      <w:tcPr>
        <w:tcBorders>
          <w:bottom w:val="single" w:color="F1A983" w:themeColor="accent2" w:themeTint="99" w:sz="12" w:space="0"/>
        </w:tcBorders>
      </w:tcPr>
    </w:tblStylePr>
    <w:tblStylePr w:type="lastRow">
      <w:rPr>
        <w:b/>
        <w:bCs/>
      </w:rPr>
      <w:tcPr>
        <w:tcBorders>
          <w:top w:val="double" w:color="F1A983" w:themeColor="accent2" w:themeTint="99" w:sz="2" w:space="0"/>
        </w:tcBorders>
      </w:tcPr>
    </w:tblStylePr>
    <w:tblStylePr w:type="firstCol">
      <w:rPr>
        <w:b/>
        <w:bCs/>
      </w:rPr>
    </w:tblStylePr>
    <w:tblStylePr w:type="lastCol">
      <w:rPr>
        <w:b/>
        <w:bCs/>
      </w:rPr>
    </w:tblStylePr>
  </w:style>
  <w:style w:type="table" w:customStyle="1" w:styleId="347">
    <w:name w:val="网格表 1 浅色 - 着色 31"/>
    <w:basedOn w:val="88"/>
    <w:qFormat/>
    <w:uiPriority w:val="46"/>
    <w:tblPr>
      <w:tblBorders>
        <w:top w:val="single" w:color="84E291" w:themeColor="accent3" w:themeTint="66" w:sz="4" w:space="0"/>
        <w:left w:val="single" w:color="84E291" w:themeColor="accent3" w:themeTint="66" w:sz="4" w:space="0"/>
        <w:bottom w:val="single" w:color="84E291" w:themeColor="accent3" w:themeTint="66" w:sz="4" w:space="0"/>
        <w:right w:val="single" w:color="84E291" w:themeColor="accent3" w:themeTint="66" w:sz="4" w:space="0"/>
        <w:insideH w:val="single" w:color="84E291" w:themeColor="accent3" w:themeTint="66" w:sz="4" w:space="0"/>
        <w:insideV w:val="single" w:color="84E291" w:themeColor="accent3" w:themeTint="66" w:sz="4" w:space="0"/>
      </w:tblBorders>
    </w:tblPr>
    <w:tblStylePr w:type="firstRow">
      <w:rPr>
        <w:b/>
        <w:bCs/>
      </w:rPr>
      <w:tcPr>
        <w:tcBorders>
          <w:bottom w:val="single" w:color="47D45A" w:themeColor="accent3" w:themeTint="99" w:sz="12" w:space="0"/>
        </w:tcBorders>
      </w:tcPr>
    </w:tblStylePr>
    <w:tblStylePr w:type="lastRow">
      <w:rPr>
        <w:b/>
        <w:bCs/>
      </w:rPr>
      <w:tcPr>
        <w:tcBorders>
          <w:top w:val="double" w:color="47D45A" w:themeColor="accent3" w:themeTint="99" w:sz="2" w:space="0"/>
        </w:tcBorders>
      </w:tcPr>
    </w:tblStylePr>
    <w:tblStylePr w:type="firstCol">
      <w:rPr>
        <w:b/>
        <w:bCs/>
      </w:rPr>
    </w:tblStylePr>
    <w:tblStylePr w:type="lastCol">
      <w:rPr>
        <w:b/>
        <w:bCs/>
      </w:rPr>
    </w:tblStylePr>
  </w:style>
  <w:style w:type="table" w:customStyle="1" w:styleId="348">
    <w:name w:val="网格表 1 浅色 - 着色 41"/>
    <w:basedOn w:val="88"/>
    <w:qFormat/>
    <w:uiPriority w:val="46"/>
    <w:tblPr>
      <w:tblBorders>
        <w:top w:val="single" w:color="95DCF7" w:themeColor="accent4" w:themeTint="66" w:sz="4" w:space="0"/>
        <w:left w:val="single" w:color="95DCF7" w:themeColor="accent4" w:themeTint="66" w:sz="4" w:space="0"/>
        <w:bottom w:val="single" w:color="95DCF7" w:themeColor="accent4" w:themeTint="66" w:sz="4" w:space="0"/>
        <w:right w:val="single" w:color="95DCF7" w:themeColor="accent4" w:themeTint="66" w:sz="4" w:space="0"/>
        <w:insideH w:val="single" w:color="95DCF7" w:themeColor="accent4" w:themeTint="66" w:sz="4" w:space="0"/>
        <w:insideV w:val="single" w:color="95DCF7" w:themeColor="accent4" w:themeTint="66" w:sz="4" w:space="0"/>
      </w:tblBorders>
    </w:tblPr>
    <w:tblStylePr w:type="firstRow">
      <w:rPr>
        <w:b/>
        <w:bCs/>
      </w:rPr>
      <w:tcPr>
        <w:tcBorders>
          <w:bottom w:val="single" w:color="60CBF3" w:themeColor="accent4" w:themeTint="99" w:sz="12" w:space="0"/>
        </w:tcBorders>
      </w:tcPr>
    </w:tblStylePr>
    <w:tblStylePr w:type="lastRow">
      <w:rPr>
        <w:b/>
        <w:bCs/>
      </w:rPr>
      <w:tcPr>
        <w:tcBorders>
          <w:top w:val="double" w:color="60CBF3" w:themeColor="accent4" w:themeTint="99" w:sz="2" w:space="0"/>
        </w:tcBorders>
      </w:tcPr>
    </w:tblStylePr>
    <w:tblStylePr w:type="firstCol">
      <w:rPr>
        <w:b/>
        <w:bCs/>
      </w:rPr>
    </w:tblStylePr>
    <w:tblStylePr w:type="lastCol">
      <w:rPr>
        <w:b/>
        <w:bCs/>
      </w:rPr>
    </w:tblStylePr>
  </w:style>
  <w:style w:type="table" w:customStyle="1" w:styleId="349">
    <w:name w:val="网格表 1 浅色 - 着色 51"/>
    <w:basedOn w:val="88"/>
    <w:qFormat/>
    <w:uiPriority w:val="46"/>
    <w:tblPr>
      <w:tblBorders>
        <w:top w:val="single" w:color="E49EDD" w:themeColor="accent5" w:themeTint="66" w:sz="4" w:space="0"/>
        <w:left w:val="single" w:color="E49EDD" w:themeColor="accent5" w:themeTint="66" w:sz="4" w:space="0"/>
        <w:bottom w:val="single" w:color="E49EDD" w:themeColor="accent5" w:themeTint="66" w:sz="4" w:space="0"/>
        <w:right w:val="single" w:color="E49EDD" w:themeColor="accent5" w:themeTint="66" w:sz="4" w:space="0"/>
        <w:insideH w:val="single" w:color="E49EDD" w:themeColor="accent5" w:themeTint="66" w:sz="4" w:space="0"/>
        <w:insideV w:val="single" w:color="E49EDD" w:themeColor="accent5" w:themeTint="66" w:sz="4" w:space="0"/>
      </w:tblBorders>
    </w:tblPr>
    <w:tblStylePr w:type="firstRow">
      <w:rPr>
        <w:b/>
        <w:bCs/>
      </w:rPr>
      <w:tcPr>
        <w:tcBorders>
          <w:bottom w:val="single" w:color="D76DCC" w:themeColor="accent5" w:themeTint="99" w:sz="12" w:space="0"/>
        </w:tcBorders>
      </w:tcPr>
    </w:tblStylePr>
    <w:tblStylePr w:type="lastRow">
      <w:rPr>
        <w:b/>
        <w:bCs/>
      </w:rPr>
      <w:tcPr>
        <w:tcBorders>
          <w:top w:val="double" w:color="D76DCC" w:themeColor="accent5" w:themeTint="99" w:sz="2" w:space="0"/>
        </w:tcBorders>
      </w:tcPr>
    </w:tblStylePr>
    <w:tblStylePr w:type="firstCol">
      <w:rPr>
        <w:b/>
        <w:bCs/>
      </w:rPr>
    </w:tblStylePr>
    <w:tblStylePr w:type="lastCol">
      <w:rPr>
        <w:b/>
        <w:bCs/>
      </w:rPr>
    </w:tblStylePr>
  </w:style>
  <w:style w:type="table" w:customStyle="1" w:styleId="350">
    <w:name w:val="网格表 1 浅色 - 着色 61"/>
    <w:basedOn w:val="88"/>
    <w:qFormat/>
    <w:uiPriority w:val="46"/>
    <w:tblPr>
      <w:tblBorders>
        <w:top w:val="single" w:color="B3E5A1" w:themeColor="accent6" w:themeTint="66" w:sz="4" w:space="0"/>
        <w:left w:val="single" w:color="B3E5A1" w:themeColor="accent6" w:themeTint="66" w:sz="4" w:space="0"/>
        <w:bottom w:val="single" w:color="B3E5A1" w:themeColor="accent6" w:themeTint="66" w:sz="4" w:space="0"/>
        <w:right w:val="single" w:color="B3E5A1" w:themeColor="accent6" w:themeTint="66" w:sz="4" w:space="0"/>
        <w:insideH w:val="single" w:color="B3E5A1" w:themeColor="accent6" w:themeTint="66" w:sz="4" w:space="0"/>
        <w:insideV w:val="single" w:color="B3E5A1" w:themeColor="accent6" w:themeTint="66" w:sz="4" w:space="0"/>
      </w:tblBorders>
    </w:tblPr>
    <w:tblStylePr w:type="firstRow">
      <w:rPr>
        <w:b/>
        <w:bCs/>
      </w:rPr>
      <w:tcPr>
        <w:tcBorders>
          <w:bottom w:val="single" w:color="8ED873" w:themeColor="accent6" w:themeTint="99" w:sz="12" w:space="0"/>
        </w:tcBorders>
      </w:tcPr>
    </w:tblStylePr>
    <w:tblStylePr w:type="lastRow">
      <w:rPr>
        <w:b/>
        <w:bCs/>
      </w:rPr>
      <w:tcPr>
        <w:tcBorders>
          <w:top w:val="double" w:color="8ED873" w:themeColor="accent6" w:themeTint="99" w:sz="2" w:space="0"/>
        </w:tcBorders>
      </w:tcPr>
    </w:tblStylePr>
    <w:tblStylePr w:type="firstCol">
      <w:rPr>
        <w:b/>
        <w:bCs/>
      </w:rPr>
    </w:tblStylePr>
    <w:tblStylePr w:type="lastCol">
      <w:rPr>
        <w:b/>
        <w:bCs/>
      </w:rPr>
    </w:tblStylePr>
  </w:style>
  <w:style w:type="table" w:customStyle="1" w:styleId="351">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2">
    <w:name w:val="网格表 2 - 着色 11"/>
    <w:basedOn w:val="88"/>
    <w:qFormat/>
    <w:uiPriority w:val="47"/>
    <w:tblPr>
      <w:tblBorders>
        <w:top w:val="single" w:color="45B0E1" w:themeColor="accent1" w:themeTint="99" w:sz="2" w:space="0"/>
        <w:bottom w:val="single" w:color="45B0E1" w:themeColor="accent1" w:themeTint="99" w:sz="2" w:space="0"/>
        <w:insideH w:val="single" w:color="45B0E1" w:themeColor="accent1" w:themeTint="99" w:sz="2" w:space="0"/>
        <w:insideV w:val="single" w:color="45B0E1" w:themeColor="accent1" w:themeTint="99" w:sz="2" w:space="0"/>
      </w:tblBorders>
    </w:tblPr>
    <w:tblStylePr w:type="firstRow">
      <w:rPr>
        <w:b/>
        <w:bCs/>
      </w:rPr>
      <w:tcPr>
        <w:tcBorders>
          <w:top w:val="nil"/>
          <w:bottom w:val="single" w:color="45B0E1" w:themeColor="accent1" w:themeTint="99" w:sz="12" w:space="0"/>
          <w:insideH w:val="nil"/>
          <w:insideV w:val="nil"/>
        </w:tcBorders>
        <w:shd w:val="clear" w:color="auto" w:fill="FFFFFF" w:themeFill="background1"/>
      </w:tcPr>
    </w:tblStylePr>
    <w:tblStylePr w:type="lastRow">
      <w:rPr>
        <w:b/>
        <w:bCs/>
      </w:rPr>
      <w:tcPr>
        <w:tcBorders>
          <w:top w:val="double" w:color="45B0E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53">
    <w:name w:val="网格表 2 - 着色 21"/>
    <w:basedOn w:val="88"/>
    <w:qFormat/>
    <w:uiPriority w:val="47"/>
    <w:tblPr>
      <w:tblBorders>
        <w:top w:val="single" w:color="F1A983" w:themeColor="accent2" w:themeTint="99" w:sz="2" w:space="0"/>
        <w:bottom w:val="single" w:color="F1A983" w:themeColor="accent2" w:themeTint="99" w:sz="2" w:space="0"/>
        <w:insideH w:val="single" w:color="F1A983" w:themeColor="accent2" w:themeTint="99" w:sz="2" w:space="0"/>
        <w:insideV w:val="single" w:color="F1A983" w:themeColor="accent2" w:themeTint="99" w:sz="2" w:space="0"/>
      </w:tblBorders>
    </w:tblPr>
    <w:tblStylePr w:type="firstRow">
      <w:rPr>
        <w:b/>
        <w:bCs/>
      </w:rPr>
      <w:tcPr>
        <w:tcBorders>
          <w:top w:val="nil"/>
          <w:bottom w:val="single" w:color="F1A983" w:themeColor="accent2" w:themeTint="99" w:sz="12" w:space="0"/>
          <w:insideH w:val="nil"/>
          <w:insideV w:val="nil"/>
        </w:tcBorders>
        <w:shd w:val="clear" w:color="auto" w:fill="FFFFFF" w:themeFill="background1"/>
      </w:tcPr>
    </w:tblStylePr>
    <w:tblStylePr w:type="lastRow">
      <w:rPr>
        <w:b/>
        <w:bCs/>
      </w:rPr>
      <w:tcPr>
        <w:tcBorders>
          <w:top w:val="double" w:color="F1A9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54">
    <w:name w:val="网格表 2 - 着色 31"/>
    <w:basedOn w:val="88"/>
    <w:qFormat/>
    <w:uiPriority w:val="47"/>
    <w:tblPr>
      <w:tblBorders>
        <w:top w:val="single" w:color="47D45A" w:themeColor="accent3" w:themeTint="99" w:sz="2" w:space="0"/>
        <w:bottom w:val="single" w:color="47D45A" w:themeColor="accent3" w:themeTint="99" w:sz="2" w:space="0"/>
        <w:insideH w:val="single" w:color="47D45A" w:themeColor="accent3" w:themeTint="99" w:sz="2" w:space="0"/>
        <w:insideV w:val="single" w:color="47D45A" w:themeColor="accent3" w:themeTint="99" w:sz="2" w:space="0"/>
      </w:tblBorders>
    </w:tblPr>
    <w:tblStylePr w:type="firstRow">
      <w:rPr>
        <w:b/>
        <w:bCs/>
      </w:rPr>
      <w:tcPr>
        <w:tcBorders>
          <w:top w:val="nil"/>
          <w:bottom w:val="single" w:color="47D45A" w:themeColor="accent3" w:themeTint="99" w:sz="12" w:space="0"/>
          <w:insideH w:val="nil"/>
          <w:insideV w:val="nil"/>
        </w:tcBorders>
        <w:shd w:val="clear" w:color="auto" w:fill="FFFFFF" w:themeFill="background1"/>
      </w:tcPr>
    </w:tblStylePr>
    <w:tblStylePr w:type="lastRow">
      <w:rPr>
        <w:b/>
        <w:bCs/>
      </w:rPr>
      <w:tcPr>
        <w:tcBorders>
          <w:top w:val="double" w:color="47D45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55">
    <w:name w:val="网格表 2 - 着色 41"/>
    <w:basedOn w:val="88"/>
    <w:qFormat/>
    <w:uiPriority w:val="47"/>
    <w:tblPr>
      <w:tblBorders>
        <w:top w:val="single" w:color="60CBF3" w:themeColor="accent4" w:themeTint="99" w:sz="2" w:space="0"/>
        <w:bottom w:val="single" w:color="60CBF3" w:themeColor="accent4" w:themeTint="99" w:sz="2" w:space="0"/>
        <w:insideH w:val="single" w:color="60CBF3" w:themeColor="accent4" w:themeTint="99" w:sz="2" w:space="0"/>
        <w:insideV w:val="single" w:color="60CBF3" w:themeColor="accent4" w:themeTint="99" w:sz="2" w:space="0"/>
      </w:tblBorders>
    </w:tblPr>
    <w:tblStylePr w:type="firstRow">
      <w:rPr>
        <w:b/>
        <w:bCs/>
      </w:rPr>
      <w:tcPr>
        <w:tcBorders>
          <w:top w:val="nil"/>
          <w:bottom w:val="single" w:color="60CBF3" w:themeColor="accent4" w:themeTint="99" w:sz="12" w:space="0"/>
          <w:insideH w:val="nil"/>
          <w:insideV w:val="nil"/>
        </w:tcBorders>
        <w:shd w:val="clear" w:color="auto" w:fill="FFFFFF" w:themeFill="background1"/>
      </w:tcPr>
    </w:tblStylePr>
    <w:tblStylePr w:type="lastRow">
      <w:rPr>
        <w:b/>
        <w:bCs/>
      </w:rPr>
      <w:tcPr>
        <w:tcBorders>
          <w:top w:val="double" w:color="60CBF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56">
    <w:name w:val="网格表 2 - 着色 51"/>
    <w:basedOn w:val="88"/>
    <w:qFormat/>
    <w:uiPriority w:val="47"/>
    <w:tblPr>
      <w:tblBorders>
        <w:top w:val="single" w:color="D76DCC" w:themeColor="accent5" w:themeTint="99" w:sz="2" w:space="0"/>
        <w:bottom w:val="single" w:color="D76DCC" w:themeColor="accent5" w:themeTint="99" w:sz="2" w:space="0"/>
        <w:insideH w:val="single" w:color="D76DCC" w:themeColor="accent5" w:themeTint="99" w:sz="2" w:space="0"/>
        <w:insideV w:val="single" w:color="D76DCC" w:themeColor="accent5" w:themeTint="99" w:sz="2" w:space="0"/>
      </w:tblBorders>
    </w:tblPr>
    <w:tblStylePr w:type="firstRow">
      <w:rPr>
        <w:b/>
        <w:bCs/>
      </w:rPr>
      <w:tcPr>
        <w:tcBorders>
          <w:top w:val="nil"/>
          <w:bottom w:val="single" w:color="D76DCC" w:themeColor="accent5" w:themeTint="99" w:sz="12" w:space="0"/>
          <w:insideH w:val="nil"/>
          <w:insideV w:val="nil"/>
        </w:tcBorders>
        <w:shd w:val="clear" w:color="auto" w:fill="FFFFFF" w:themeFill="background1"/>
      </w:tcPr>
    </w:tblStylePr>
    <w:tblStylePr w:type="lastRow">
      <w:rPr>
        <w:b/>
        <w:bCs/>
      </w:rPr>
      <w:tcPr>
        <w:tcBorders>
          <w:top w:val="double" w:color="D76DC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57">
    <w:name w:val="网格表 2 - 着色 61"/>
    <w:basedOn w:val="88"/>
    <w:uiPriority w:val="47"/>
    <w:tblPr>
      <w:tblBorders>
        <w:top w:val="single" w:color="8ED873" w:themeColor="accent6" w:themeTint="99" w:sz="2" w:space="0"/>
        <w:bottom w:val="single" w:color="8ED873" w:themeColor="accent6" w:themeTint="99" w:sz="2" w:space="0"/>
        <w:insideH w:val="single" w:color="8ED873" w:themeColor="accent6" w:themeTint="99" w:sz="2" w:space="0"/>
        <w:insideV w:val="single" w:color="8ED873" w:themeColor="accent6" w:themeTint="99" w:sz="2" w:space="0"/>
      </w:tblBorders>
    </w:tblPr>
    <w:tblStylePr w:type="firstRow">
      <w:rPr>
        <w:b/>
        <w:bCs/>
      </w:rPr>
      <w:tcPr>
        <w:tcBorders>
          <w:top w:val="nil"/>
          <w:bottom w:val="single" w:color="8ED873" w:themeColor="accent6" w:themeTint="99" w:sz="12" w:space="0"/>
          <w:insideH w:val="nil"/>
          <w:insideV w:val="nil"/>
        </w:tcBorders>
        <w:shd w:val="clear" w:color="auto" w:fill="FFFFFF" w:themeFill="background1"/>
      </w:tcPr>
    </w:tblStylePr>
    <w:tblStylePr w:type="lastRow">
      <w:rPr>
        <w:b/>
        <w:bCs/>
      </w:rPr>
      <w:tcPr>
        <w:tcBorders>
          <w:top w:val="double" w:color="8ED873"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58">
    <w:name w:val="网格表 31"/>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59">
    <w:name w:val="网格表 3 - 着色 11"/>
    <w:basedOn w:val="88"/>
    <w:uiPriority w:val="48"/>
    <w:tblPr>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1E4F5" w:themeFill="accent1" w:themeFillTint="33"/>
      </w:tcPr>
    </w:tblStylePr>
    <w:tblStylePr w:type="band1Horz">
      <w:tcPr>
        <w:shd w:val="clear" w:color="auto" w:fill="C1E4F5" w:themeFill="accent1" w:themeFillTint="33"/>
      </w:tcPr>
    </w:tblStylePr>
    <w:tblStylePr w:type="neCell">
      <w:tcPr>
        <w:tcBorders>
          <w:bottom w:val="single" w:color="45B0E1" w:themeColor="accent1" w:themeTint="99" w:sz="4" w:space="0"/>
        </w:tcBorders>
      </w:tcPr>
    </w:tblStylePr>
    <w:tblStylePr w:type="nwCell">
      <w:tcPr>
        <w:tcBorders>
          <w:bottom w:val="single" w:color="45B0E1" w:themeColor="accent1" w:themeTint="99" w:sz="4" w:space="0"/>
        </w:tcBorders>
      </w:tcPr>
    </w:tblStylePr>
    <w:tblStylePr w:type="seCell">
      <w:tcPr>
        <w:tcBorders>
          <w:top w:val="single" w:color="45B0E1" w:themeColor="accent1" w:themeTint="99" w:sz="4" w:space="0"/>
        </w:tcBorders>
      </w:tcPr>
    </w:tblStylePr>
    <w:tblStylePr w:type="swCell">
      <w:tcPr>
        <w:tcBorders>
          <w:top w:val="single" w:color="45B0E1" w:themeColor="accent1" w:themeTint="99" w:sz="4" w:space="0"/>
        </w:tcBorders>
      </w:tcPr>
    </w:tblStylePr>
  </w:style>
  <w:style w:type="table" w:customStyle="1" w:styleId="360">
    <w:name w:val="网格表 3 - 着色 21"/>
    <w:basedOn w:val="88"/>
    <w:uiPriority w:val="48"/>
    <w:tblPr>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E2D5" w:themeFill="accent2" w:themeFillTint="33"/>
      </w:tcPr>
    </w:tblStylePr>
    <w:tblStylePr w:type="band1Horz">
      <w:tcPr>
        <w:shd w:val="clear" w:color="auto" w:fill="FAE2D5" w:themeFill="accent2" w:themeFillTint="33"/>
      </w:tcPr>
    </w:tblStylePr>
    <w:tblStylePr w:type="neCell">
      <w:tcPr>
        <w:tcBorders>
          <w:bottom w:val="single" w:color="F1A983" w:themeColor="accent2" w:themeTint="99" w:sz="4" w:space="0"/>
        </w:tcBorders>
      </w:tcPr>
    </w:tblStylePr>
    <w:tblStylePr w:type="nwCell">
      <w:tcPr>
        <w:tcBorders>
          <w:bottom w:val="single" w:color="F1A983" w:themeColor="accent2" w:themeTint="99" w:sz="4" w:space="0"/>
        </w:tcBorders>
      </w:tcPr>
    </w:tblStylePr>
    <w:tblStylePr w:type="seCell">
      <w:tcPr>
        <w:tcBorders>
          <w:top w:val="single" w:color="F1A983" w:themeColor="accent2" w:themeTint="99" w:sz="4" w:space="0"/>
        </w:tcBorders>
      </w:tcPr>
    </w:tblStylePr>
    <w:tblStylePr w:type="swCell">
      <w:tcPr>
        <w:tcBorders>
          <w:top w:val="single" w:color="F1A983" w:themeColor="accent2" w:themeTint="99" w:sz="4" w:space="0"/>
        </w:tcBorders>
      </w:tcPr>
    </w:tblStylePr>
  </w:style>
  <w:style w:type="table" w:customStyle="1" w:styleId="361">
    <w:name w:val="网格表 3 - 着色 31"/>
    <w:basedOn w:val="88"/>
    <w:uiPriority w:val="48"/>
    <w:tblPr>
      <w:tblBorders>
        <w:top w:val="single" w:color="47D45A" w:themeColor="accent3" w:themeTint="99" w:sz="4" w:space="0"/>
        <w:left w:val="single" w:color="47D45A" w:themeColor="accent3" w:themeTint="99" w:sz="4" w:space="0"/>
        <w:bottom w:val="single" w:color="47D45A" w:themeColor="accent3" w:themeTint="99" w:sz="4" w:space="0"/>
        <w:right w:val="single" w:color="47D45A" w:themeColor="accent3" w:themeTint="99" w:sz="4" w:space="0"/>
        <w:insideH w:val="single" w:color="47D45A" w:themeColor="accent3" w:themeTint="99" w:sz="4" w:space="0"/>
        <w:insideV w:val="single" w:color="47D45A"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1F0C8" w:themeFill="accent3" w:themeFillTint="33"/>
      </w:tcPr>
    </w:tblStylePr>
    <w:tblStylePr w:type="band1Horz">
      <w:tcPr>
        <w:shd w:val="clear" w:color="auto" w:fill="C1F0C8" w:themeFill="accent3" w:themeFillTint="33"/>
      </w:tcPr>
    </w:tblStylePr>
    <w:tblStylePr w:type="neCell">
      <w:tcPr>
        <w:tcBorders>
          <w:bottom w:val="single" w:color="47D45A" w:themeColor="accent3" w:themeTint="99" w:sz="4" w:space="0"/>
        </w:tcBorders>
      </w:tcPr>
    </w:tblStylePr>
    <w:tblStylePr w:type="nwCell">
      <w:tcPr>
        <w:tcBorders>
          <w:bottom w:val="single" w:color="47D45A" w:themeColor="accent3" w:themeTint="99" w:sz="4" w:space="0"/>
        </w:tcBorders>
      </w:tcPr>
    </w:tblStylePr>
    <w:tblStylePr w:type="seCell">
      <w:tcPr>
        <w:tcBorders>
          <w:top w:val="single" w:color="47D45A" w:themeColor="accent3" w:themeTint="99" w:sz="4" w:space="0"/>
        </w:tcBorders>
      </w:tcPr>
    </w:tblStylePr>
    <w:tblStylePr w:type="swCell">
      <w:tcPr>
        <w:tcBorders>
          <w:top w:val="single" w:color="47D45A" w:themeColor="accent3" w:themeTint="99" w:sz="4" w:space="0"/>
        </w:tcBorders>
      </w:tcPr>
    </w:tblStylePr>
  </w:style>
  <w:style w:type="table" w:customStyle="1" w:styleId="362">
    <w:name w:val="网格表 3 - 着色 41"/>
    <w:basedOn w:val="88"/>
    <w:uiPriority w:val="48"/>
    <w:tblPr>
      <w:tblBorders>
        <w:top w:val="single" w:color="60CBF3" w:themeColor="accent4" w:themeTint="99" w:sz="4" w:space="0"/>
        <w:left w:val="single" w:color="60CBF3" w:themeColor="accent4" w:themeTint="99" w:sz="4" w:space="0"/>
        <w:bottom w:val="single" w:color="60CBF3" w:themeColor="accent4" w:themeTint="99" w:sz="4" w:space="0"/>
        <w:right w:val="single" w:color="60CBF3" w:themeColor="accent4" w:themeTint="99" w:sz="4" w:space="0"/>
        <w:insideH w:val="single" w:color="60CBF3" w:themeColor="accent4" w:themeTint="99" w:sz="4" w:space="0"/>
        <w:insideV w:val="single" w:color="60CBF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AEDFB" w:themeFill="accent4" w:themeFillTint="33"/>
      </w:tcPr>
    </w:tblStylePr>
    <w:tblStylePr w:type="band1Horz">
      <w:tcPr>
        <w:shd w:val="clear" w:color="auto" w:fill="CAEDFB" w:themeFill="accent4" w:themeFillTint="33"/>
      </w:tcPr>
    </w:tblStylePr>
    <w:tblStylePr w:type="neCell">
      <w:tcPr>
        <w:tcBorders>
          <w:bottom w:val="single" w:color="60CBF3" w:themeColor="accent4" w:themeTint="99" w:sz="4" w:space="0"/>
        </w:tcBorders>
      </w:tcPr>
    </w:tblStylePr>
    <w:tblStylePr w:type="nwCell">
      <w:tcPr>
        <w:tcBorders>
          <w:bottom w:val="single" w:color="60CBF3" w:themeColor="accent4" w:themeTint="99" w:sz="4" w:space="0"/>
        </w:tcBorders>
      </w:tcPr>
    </w:tblStylePr>
    <w:tblStylePr w:type="seCell">
      <w:tcPr>
        <w:tcBorders>
          <w:top w:val="single" w:color="60CBF3" w:themeColor="accent4" w:themeTint="99" w:sz="4" w:space="0"/>
        </w:tcBorders>
      </w:tcPr>
    </w:tblStylePr>
    <w:tblStylePr w:type="swCell">
      <w:tcPr>
        <w:tcBorders>
          <w:top w:val="single" w:color="60CBF3" w:themeColor="accent4" w:themeTint="99" w:sz="4" w:space="0"/>
        </w:tcBorders>
      </w:tcPr>
    </w:tblStylePr>
  </w:style>
  <w:style w:type="table" w:customStyle="1" w:styleId="363">
    <w:name w:val="网格表 3 - 着色 51"/>
    <w:basedOn w:val="88"/>
    <w:uiPriority w:val="48"/>
    <w:tblPr>
      <w:tblBorders>
        <w:top w:val="single" w:color="D76DCC" w:themeColor="accent5" w:themeTint="99" w:sz="4" w:space="0"/>
        <w:left w:val="single" w:color="D76DCC" w:themeColor="accent5" w:themeTint="99" w:sz="4" w:space="0"/>
        <w:bottom w:val="single" w:color="D76DCC" w:themeColor="accent5" w:themeTint="99" w:sz="4" w:space="0"/>
        <w:right w:val="single" w:color="D76DCC" w:themeColor="accent5" w:themeTint="99" w:sz="4" w:space="0"/>
        <w:insideH w:val="single" w:color="D76DCC" w:themeColor="accent5" w:themeTint="99" w:sz="4" w:space="0"/>
        <w:insideV w:val="single" w:color="D76DC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CEEE" w:themeFill="accent5" w:themeFillTint="33"/>
      </w:tcPr>
    </w:tblStylePr>
    <w:tblStylePr w:type="band1Horz">
      <w:tcPr>
        <w:shd w:val="clear" w:color="auto" w:fill="F1CEEE" w:themeFill="accent5" w:themeFillTint="33"/>
      </w:tcPr>
    </w:tblStylePr>
    <w:tblStylePr w:type="neCell">
      <w:tcPr>
        <w:tcBorders>
          <w:bottom w:val="single" w:color="D76DCC" w:themeColor="accent5" w:themeTint="99" w:sz="4" w:space="0"/>
        </w:tcBorders>
      </w:tcPr>
    </w:tblStylePr>
    <w:tblStylePr w:type="nwCell">
      <w:tcPr>
        <w:tcBorders>
          <w:bottom w:val="single" w:color="D76DCC" w:themeColor="accent5" w:themeTint="99" w:sz="4" w:space="0"/>
        </w:tcBorders>
      </w:tcPr>
    </w:tblStylePr>
    <w:tblStylePr w:type="seCell">
      <w:tcPr>
        <w:tcBorders>
          <w:top w:val="single" w:color="D76DCC" w:themeColor="accent5" w:themeTint="99" w:sz="4" w:space="0"/>
        </w:tcBorders>
      </w:tcPr>
    </w:tblStylePr>
    <w:tblStylePr w:type="swCell">
      <w:tcPr>
        <w:tcBorders>
          <w:top w:val="single" w:color="D76DCC" w:themeColor="accent5" w:themeTint="99" w:sz="4" w:space="0"/>
        </w:tcBorders>
      </w:tcPr>
    </w:tblStylePr>
  </w:style>
  <w:style w:type="table" w:customStyle="1" w:styleId="364">
    <w:name w:val="网格表 3 - 着色 61"/>
    <w:basedOn w:val="88"/>
    <w:uiPriority w:val="48"/>
    <w:tblPr>
      <w:tblBorders>
        <w:top w:val="single" w:color="8ED873" w:themeColor="accent6" w:themeTint="99" w:sz="4" w:space="0"/>
        <w:left w:val="single" w:color="8ED873" w:themeColor="accent6" w:themeTint="99" w:sz="4" w:space="0"/>
        <w:bottom w:val="single" w:color="8ED873" w:themeColor="accent6" w:themeTint="99" w:sz="4" w:space="0"/>
        <w:right w:val="single" w:color="8ED873" w:themeColor="accent6" w:themeTint="99" w:sz="4" w:space="0"/>
        <w:insideH w:val="single" w:color="8ED873" w:themeColor="accent6" w:themeTint="99" w:sz="4" w:space="0"/>
        <w:insideV w:val="single" w:color="8ED873"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F2D0" w:themeFill="accent6" w:themeFillTint="33"/>
      </w:tcPr>
    </w:tblStylePr>
    <w:tblStylePr w:type="band1Horz">
      <w:tcPr>
        <w:shd w:val="clear" w:color="auto" w:fill="D9F2D0" w:themeFill="accent6" w:themeFillTint="33"/>
      </w:tcPr>
    </w:tblStylePr>
    <w:tblStylePr w:type="neCell">
      <w:tcPr>
        <w:tcBorders>
          <w:bottom w:val="single" w:color="8ED873" w:themeColor="accent6" w:themeTint="99" w:sz="4" w:space="0"/>
        </w:tcBorders>
      </w:tcPr>
    </w:tblStylePr>
    <w:tblStylePr w:type="nwCell">
      <w:tcPr>
        <w:tcBorders>
          <w:bottom w:val="single" w:color="8ED873" w:themeColor="accent6" w:themeTint="99" w:sz="4" w:space="0"/>
        </w:tcBorders>
      </w:tcPr>
    </w:tblStylePr>
    <w:tblStylePr w:type="seCell">
      <w:tcPr>
        <w:tcBorders>
          <w:top w:val="single" w:color="8ED873" w:themeColor="accent6" w:themeTint="99" w:sz="4" w:space="0"/>
        </w:tcBorders>
      </w:tcPr>
    </w:tblStylePr>
    <w:tblStylePr w:type="swCell">
      <w:tcPr>
        <w:tcBorders>
          <w:top w:val="single" w:color="8ED873" w:themeColor="accent6" w:themeTint="99" w:sz="4" w:space="0"/>
        </w:tcBorders>
      </w:tcPr>
    </w:tblStylePr>
  </w:style>
  <w:style w:type="table" w:customStyle="1" w:styleId="365">
    <w:name w:val="网格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6">
    <w:name w:val="网格表 4 - 着色 11"/>
    <w:basedOn w:val="88"/>
    <w:uiPriority w:val="49"/>
    <w:tblPr>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14:textFill>
          <w14:solidFill>
            <w14:schemeClr w14:val="bg1"/>
          </w14:solidFill>
        </w14:textFill>
      </w:r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cPr>
        <w:tcBorders>
          <w:top w:val="double" w:color="156082" w:themeColor="accent1" w:sz="4" w:space="0"/>
        </w:tcBorders>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67">
    <w:name w:val="网格表 4 - 着色 21"/>
    <w:basedOn w:val="88"/>
    <w:uiPriority w:val="49"/>
    <w:tblPr>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color w:val="FFFFFF" w:themeColor="background1"/>
        <w14:textFill>
          <w14:solidFill>
            <w14:schemeClr w14:val="bg1"/>
          </w14:solidFill>
        </w14:textFill>
      </w:rPr>
      <w:tcPr>
        <w:tcBorders>
          <w:top w:val="single" w:color="E97132" w:themeColor="accent2" w:sz="4" w:space="0"/>
          <w:left w:val="single" w:color="E97132" w:themeColor="accent2" w:sz="4" w:space="0"/>
          <w:bottom w:val="single" w:color="E97132" w:themeColor="accent2" w:sz="4" w:space="0"/>
          <w:right w:val="single" w:color="E97132" w:themeColor="accent2" w:sz="4" w:space="0"/>
          <w:insideH w:val="nil"/>
          <w:insideV w:val="nil"/>
        </w:tcBorders>
        <w:shd w:val="clear" w:color="auto" w:fill="E97132" w:themeFill="accent2"/>
      </w:tcPr>
    </w:tblStylePr>
    <w:tblStylePr w:type="lastRow">
      <w:rPr>
        <w:b/>
        <w:bCs/>
      </w:rPr>
      <w:tcPr>
        <w:tcBorders>
          <w:top w:val="double" w:color="E97132" w:themeColor="accent2" w:sz="4" w:space="0"/>
        </w:tcBorders>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68">
    <w:name w:val="网格表 4 - 着色 31"/>
    <w:basedOn w:val="88"/>
    <w:uiPriority w:val="49"/>
    <w:tblPr>
      <w:tblBorders>
        <w:top w:val="single" w:color="47D45A" w:themeColor="accent3" w:themeTint="99" w:sz="4" w:space="0"/>
        <w:left w:val="single" w:color="47D45A" w:themeColor="accent3" w:themeTint="99" w:sz="4" w:space="0"/>
        <w:bottom w:val="single" w:color="47D45A" w:themeColor="accent3" w:themeTint="99" w:sz="4" w:space="0"/>
        <w:right w:val="single" w:color="47D45A" w:themeColor="accent3" w:themeTint="99" w:sz="4" w:space="0"/>
        <w:insideH w:val="single" w:color="47D45A" w:themeColor="accent3" w:themeTint="99" w:sz="4" w:space="0"/>
        <w:insideV w:val="single" w:color="47D45A" w:themeColor="accent3" w:themeTint="99" w:sz="4" w:space="0"/>
      </w:tblBorders>
    </w:tblPr>
    <w:tblStylePr w:type="firstRow">
      <w:rPr>
        <w:b/>
        <w:bCs/>
        <w:color w:val="FFFFFF" w:themeColor="background1"/>
        <w14:textFill>
          <w14:solidFill>
            <w14:schemeClr w14:val="bg1"/>
          </w14:solidFill>
        </w14:textFill>
      </w:r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insideV w:val="nil"/>
        </w:tcBorders>
        <w:shd w:val="clear" w:color="auto" w:fill="196B24" w:themeFill="accent3"/>
      </w:tcPr>
    </w:tblStylePr>
    <w:tblStylePr w:type="lastRow">
      <w:rPr>
        <w:b/>
        <w:bCs/>
      </w:rPr>
      <w:tcPr>
        <w:tcBorders>
          <w:top w:val="double" w:color="196B24" w:themeColor="accent3" w:sz="4" w:space="0"/>
        </w:tcBorders>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69">
    <w:name w:val="网格表 4 - 着色 41"/>
    <w:basedOn w:val="88"/>
    <w:uiPriority w:val="49"/>
    <w:tblPr>
      <w:tblBorders>
        <w:top w:val="single" w:color="60CBF3" w:themeColor="accent4" w:themeTint="99" w:sz="4" w:space="0"/>
        <w:left w:val="single" w:color="60CBF3" w:themeColor="accent4" w:themeTint="99" w:sz="4" w:space="0"/>
        <w:bottom w:val="single" w:color="60CBF3" w:themeColor="accent4" w:themeTint="99" w:sz="4" w:space="0"/>
        <w:right w:val="single" w:color="60CBF3" w:themeColor="accent4" w:themeTint="99" w:sz="4" w:space="0"/>
        <w:insideH w:val="single" w:color="60CBF3" w:themeColor="accent4" w:themeTint="99" w:sz="4" w:space="0"/>
        <w:insideV w:val="single" w:color="60CBF3" w:themeColor="accent4" w:themeTint="99" w:sz="4" w:space="0"/>
      </w:tblBorders>
    </w:tblPr>
    <w:tblStylePr w:type="firstRow">
      <w:rPr>
        <w:b/>
        <w:bCs/>
        <w:color w:val="FFFFFF" w:themeColor="background1"/>
        <w14:textFill>
          <w14:solidFill>
            <w14:schemeClr w14:val="bg1"/>
          </w14:solidFill>
        </w14:textFill>
      </w:rPr>
      <w:tcPr>
        <w:tcBorders>
          <w:top w:val="single" w:color="0F9ED5" w:themeColor="accent4" w:sz="4" w:space="0"/>
          <w:left w:val="single" w:color="0F9ED5" w:themeColor="accent4" w:sz="4" w:space="0"/>
          <w:bottom w:val="single" w:color="0F9ED5" w:themeColor="accent4" w:sz="4" w:space="0"/>
          <w:right w:val="single" w:color="0F9ED5" w:themeColor="accent4" w:sz="4" w:space="0"/>
          <w:insideH w:val="nil"/>
          <w:insideV w:val="nil"/>
        </w:tcBorders>
        <w:shd w:val="clear" w:color="auto" w:fill="0F9ED5" w:themeFill="accent4"/>
      </w:tcPr>
    </w:tblStylePr>
    <w:tblStylePr w:type="lastRow">
      <w:rPr>
        <w:b/>
        <w:bCs/>
      </w:rPr>
      <w:tcPr>
        <w:tcBorders>
          <w:top w:val="double" w:color="0F9ED5" w:themeColor="accent4" w:sz="4" w:space="0"/>
        </w:tcBorders>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70">
    <w:name w:val="网格表 4 - 着色 51"/>
    <w:basedOn w:val="88"/>
    <w:uiPriority w:val="49"/>
    <w:tblPr>
      <w:tblBorders>
        <w:top w:val="single" w:color="D76DCC" w:themeColor="accent5" w:themeTint="99" w:sz="4" w:space="0"/>
        <w:left w:val="single" w:color="D76DCC" w:themeColor="accent5" w:themeTint="99" w:sz="4" w:space="0"/>
        <w:bottom w:val="single" w:color="D76DCC" w:themeColor="accent5" w:themeTint="99" w:sz="4" w:space="0"/>
        <w:right w:val="single" w:color="D76DCC" w:themeColor="accent5" w:themeTint="99" w:sz="4" w:space="0"/>
        <w:insideH w:val="single" w:color="D76DCC" w:themeColor="accent5" w:themeTint="99" w:sz="4" w:space="0"/>
        <w:insideV w:val="single" w:color="D76DCC" w:themeColor="accent5" w:themeTint="99" w:sz="4" w:space="0"/>
      </w:tblBorders>
    </w:tblPr>
    <w:tblStylePr w:type="firstRow">
      <w:rPr>
        <w:b/>
        <w:bCs/>
        <w:color w:val="FFFFFF" w:themeColor="background1"/>
        <w14:textFill>
          <w14:solidFill>
            <w14:schemeClr w14:val="bg1"/>
          </w14:solidFill>
        </w14:textFill>
      </w:r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insideV w:val="nil"/>
        </w:tcBorders>
        <w:shd w:val="clear" w:color="auto" w:fill="A02B93" w:themeFill="accent5"/>
      </w:tcPr>
    </w:tblStylePr>
    <w:tblStylePr w:type="lastRow">
      <w:rPr>
        <w:b/>
        <w:bCs/>
      </w:rPr>
      <w:tcPr>
        <w:tcBorders>
          <w:top w:val="double" w:color="A02B93" w:themeColor="accent5" w:sz="4" w:space="0"/>
        </w:tcBorders>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71">
    <w:name w:val="网格表 4 - 着色 61"/>
    <w:basedOn w:val="88"/>
    <w:qFormat/>
    <w:uiPriority w:val="49"/>
    <w:tblPr>
      <w:tblBorders>
        <w:top w:val="single" w:color="8ED873" w:themeColor="accent6" w:themeTint="99" w:sz="4" w:space="0"/>
        <w:left w:val="single" w:color="8ED873" w:themeColor="accent6" w:themeTint="99" w:sz="4" w:space="0"/>
        <w:bottom w:val="single" w:color="8ED873" w:themeColor="accent6" w:themeTint="99" w:sz="4" w:space="0"/>
        <w:right w:val="single" w:color="8ED873" w:themeColor="accent6" w:themeTint="99" w:sz="4" w:space="0"/>
        <w:insideH w:val="single" w:color="8ED873" w:themeColor="accent6" w:themeTint="99" w:sz="4" w:space="0"/>
        <w:insideV w:val="single" w:color="8ED873" w:themeColor="accent6" w:themeTint="99" w:sz="4" w:space="0"/>
      </w:tblBorders>
    </w:tblPr>
    <w:tblStylePr w:type="firstRow">
      <w:rPr>
        <w:b/>
        <w:bCs/>
        <w:color w:val="FFFFFF" w:themeColor="background1"/>
        <w14:textFill>
          <w14:solidFill>
            <w14:schemeClr w14:val="bg1"/>
          </w14:solidFill>
        </w14:textFill>
      </w:r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insideV w:val="nil"/>
        </w:tcBorders>
        <w:shd w:val="clear" w:color="auto" w:fill="4EA72E" w:themeFill="accent6"/>
      </w:tcPr>
    </w:tblStylePr>
    <w:tblStylePr w:type="lastRow">
      <w:rPr>
        <w:b/>
        <w:bCs/>
      </w:rPr>
      <w:tcPr>
        <w:tcBorders>
          <w:top w:val="double" w:color="4EA72E" w:themeColor="accent6" w:sz="4" w:space="0"/>
        </w:tcBorders>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72">
    <w:name w:val="网格表 5 深色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73">
    <w:name w:val="网格表 5 深色 - 着色 1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E4F5"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56082"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56082"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56082"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56082" w:themeFill="accent1"/>
      </w:tcPr>
    </w:tblStylePr>
    <w:tblStylePr w:type="band1Vert">
      <w:tcPr>
        <w:shd w:val="clear" w:color="auto" w:fill="83CAEB" w:themeFill="accent1" w:themeFillTint="66"/>
      </w:tcPr>
    </w:tblStylePr>
    <w:tblStylePr w:type="band1Horz">
      <w:tcPr>
        <w:shd w:val="clear" w:color="auto" w:fill="83CAEB" w:themeFill="accent1" w:themeFillTint="66"/>
      </w:tcPr>
    </w:tblStylePr>
  </w:style>
  <w:style w:type="table" w:customStyle="1" w:styleId="374">
    <w:name w:val="网格表 5 深色 - 着色 2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2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9713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9713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9713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97132" w:themeFill="accent2"/>
      </w:tcPr>
    </w:tblStylePr>
    <w:tblStylePr w:type="band1Vert">
      <w:tcPr>
        <w:shd w:val="clear" w:color="auto" w:fill="F6C6AC" w:themeFill="accent2" w:themeFillTint="66"/>
      </w:tcPr>
    </w:tblStylePr>
    <w:tblStylePr w:type="band1Horz">
      <w:tcPr>
        <w:shd w:val="clear" w:color="auto" w:fill="F6C6AC" w:themeFill="accent2" w:themeFillTint="66"/>
      </w:tcPr>
    </w:tblStylePr>
  </w:style>
  <w:style w:type="table" w:customStyle="1" w:styleId="375">
    <w:name w:val="网格表 5 深色 - 着色 3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F0C8"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96B24"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96B24"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96B24"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96B24" w:themeFill="accent3"/>
      </w:tcPr>
    </w:tblStylePr>
    <w:tblStylePr w:type="band1Vert">
      <w:tcPr>
        <w:shd w:val="clear" w:color="auto" w:fill="84E291" w:themeFill="accent3" w:themeFillTint="66"/>
      </w:tcPr>
    </w:tblStylePr>
    <w:tblStylePr w:type="band1Horz">
      <w:tcPr>
        <w:shd w:val="clear" w:color="auto" w:fill="84E291" w:themeFill="accent3" w:themeFillTint="66"/>
      </w:tcPr>
    </w:tblStylePr>
  </w:style>
  <w:style w:type="table" w:customStyle="1" w:styleId="376">
    <w:name w:val="网格表 5 深色 - 着色 4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AEDFB"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F9ED5"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F9ED5"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F9ED5"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F9ED5" w:themeFill="accent4"/>
      </w:tcPr>
    </w:tblStylePr>
    <w:tblStylePr w:type="band1Vert">
      <w:tcPr>
        <w:shd w:val="clear" w:color="auto" w:fill="95DCF7" w:themeFill="accent4" w:themeFillTint="66"/>
      </w:tcPr>
    </w:tblStylePr>
    <w:tblStylePr w:type="band1Horz">
      <w:tcPr>
        <w:shd w:val="clear" w:color="auto" w:fill="95DCF7" w:themeFill="accent4" w:themeFillTint="66"/>
      </w:tcPr>
    </w:tblStylePr>
  </w:style>
  <w:style w:type="table" w:customStyle="1" w:styleId="377">
    <w:name w:val="网格表 5 深色 - 着色 5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CEE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02B93"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02B93"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02B93"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02B93" w:themeFill="accent5"/>
      </w:tcPr>
    </w:tblStylePr>
    <w:tblStylePr w:type="band1Vert">
      <w:tcPr>
        <w:shd w:val="clear" w:color="auto" w:fill="E49EDD" w:themeFill="accent5" w:themeFillTint="66"/>
      </w:tcPr>
    </w:tblStylePr>
    <w:tblStylePr w:type="band1Horz">
      <w:tcPr>
        <w:shd w:val="clear" w:color="auto" w:fill="E49EDD" w:themeFill="accent5" w:themeFillTint="66"/>
      </w:tcPr>
    </w:tblStylePr>
  </w:style>
  <w:style w:type="table" w:customStyle="1" w:styleId="378">
    <w:name w:val="网格表 5 深色 - 着色 6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F2D0"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EA72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A72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EA72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A72E" w:themeFill="accent6"/>
      </w:tcPr>
    </w:tblStylePr>
    <w:tblStylePr w:type="band1Vert">
      <w:tcPr>
        <w:shd w:val="clear" w:color="auto" w:fill="B3E5A1" w:themeFill="accent6" w:themeFillTint="66"/>
      </w:tcPr>
    </w:tblStylePr>
    <w:tblStylePr w:type="band1Horz">
      <w:tcPr>
        <w:shd w:val="clear" w:color="auto" w:fill="B3E5A1" w:themeFill="accent6" w:themeFillTint="66"/>
      </w:tcPr>
    </w:tblStylePr>
  </w:style>
  <w:style w:type="table" w:customStyle="1" w:styleId="379">
    <w:name w:val="网格表 6 彩色1"/>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0">
    <w:name w:val="网格表 6 彩色 - 着色 11"/>
    <w:basedOn w:val="88"/>
    <w:uiPriority w:val="51"/>
    <w:rPr>
      <w:color w:val="104862" w:themeColor="accent1" w:themeShade="BF"/>
    </w:rPr>
    <w:tblPr>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cPr>
        <w:tcBorders>
          <w:bottom w:val="single" w:color="45B0E1" w:themeColor="accent1" w:themeTint="99" w:sz="12" w:space="0"/>
        </w:tcBorders>
      </w:tcPr>
    </w:tblStylePr>
    <w:tblStylePr w:type="lastRow">
      <w:rPr>
        <w:b/>
        <w:bCs/>
      </w:rPr>
      <w:tcPr>
        <w:tcBorders>
          <w:top w:val="double" w:color="45B0E1" w:themeColor="accent1" w:themeTint="99" w:sz="4" w:space="0"/>
        </w:tcBorders>
      </w:tcPr>
    </w:tblStylePr>
    <w:tblStylePr w:type="firstCol">
      <w:rPr>
        <w:b/>
        <w:bCs/>
      </w:rPr>
    </w:tblStylePr>
    <w:tblStylePr w:type="lastCol">
      <w:rPr>
        <w:b/>
        <w:bCs/>
      </w:rPr>
    </w:tblStylePr>
    <w:tblStylePr w:type="band1Vert">
      <w:tcPr>
        <w:shd w:val="clear" w:color="auto" w:fill="C1E4F5" w:themeFill="accent1" w:themeFillTint="33"/>
      </w:tcPr>
    </w:tblStylePr>
    <w:tblStylePr w:type="band1Horz">
      <w:tcPr>
        <w:shd w:val="clear" w:color="auto" w:fill="C1E4F5" w:themeFill="accent1" w:themeFillTint="33"/>
      </w:tcPr>
    </w:tblStylePr>
  </w:style>
  <w:style w:type="table" w:customStyle="1" w:styleId="381">
    <w:name w:val="网格表 6 彩色 - 着色 21"/>
    <w:basedOn w:val="88"/>
    <w:uiPriority w:val="51"/>
    <w:rPr>
      <w:color w:val="C04F15" w:themeColor="accent2" w:themeShade="BF"/>
    </w:rPr>
    <w:tblPr>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cPr>
        <w:tcBorders>
          <w:bottom w:val="single" w:color="F1A983" w:themeColor="accent2" w:themeTint="99" w:sz="12" w:space="0"/>
        </w:tcBorders>
      </w:tcPr>
    </w:tblStylePr>
    <w:tblStylePr w:type="lastRow">
      <w:rPr>
        <w:b/>
        <w:bCs/>
      </w:rPr>
      <w:tcPr>
        <w:tcBorders>
          <w:top w:val="double" w:color="F1A983" w:themeColor="accent2" w:themeTint="99" w:sz="4" w:space="0"/>
        </w:tcBorders>
      </w:tcPr>
    </w:tblStylePr>
    <w:tblStylePr w:type="firstCol">
      <w:rPr>
        <w:b/>
        <w:bCs/>
      </w:rPr>
    </w:tblStylePr>
    <w:tblStylePr w:type="lastCol">
      <w:rPr>
        <w:b/>
        <w:bCs/>
      </w:rPr>
    </w:tblStylePr>
    <w:tblStylePr w:type="band1Vert">
      <w:tcPr>
        <w:shd w:val="clear" w:color="auto" w:fill="FAE2D5" w:themeFill="accent2" w:themeFillTint="33"/>
      </w:tcPr>
    </w:tblStylePr>
    <w:tblStylePr w:type="band1Horz">
      <w:tcPr>
        <w:shd w:val="clear" w:color="auto" w:fill="FAE2D5" w:themeFill="accent2" w:themeFillTint="33"/>
      </w:tcPr>
    </w:tblStylePr>
  </w:style>
  <w:style w:type="table" w:customStyle="1" w:styleId="382">
    <w:name w:val="网格表 6 彩色 - 着色 31"/>
    <w:basedOn w:val="88"/>
    <w:uiPriority w:val="51"/>
    <w:rPr>
      <w:color w:val="13501B" w:themeColor="accent3" w:themeShade="BF"/>
    </w:rPr>
    <w:tblPr>
      <w:tblBorders>
        <w:top w:val="single" w:color="47D45A" w:themeColor="accent3" w:themeTint="99" w:sz="4" w:space="0"/>
        <w:left w:val="single" w:color="47D45A" w:themeColor="accent3" w:themeTint="99" w:sz="4" w:space="0"/>
        <w:bottom w:val="single" w:color="47D45A" w:themeColor="accent3" w:themeTint="99" w:sz="4" w:space="0"/>
        <w:right w:val="single" w:color="47D45A" w:themeColor="accent3" w:themeTint="99" w:sz="4" w:space="0"/>
        <w:insideH w:val="single" w:color="47D45A" w:themeColor="accent3" w:themeTint="99" w:sz="4" w:space="0"/>
        <w:insideV w:val="single" w:color="47D45A" w:themeColor="accent3" w:themeTint="99" w:sz="4" w:space="0"/>
      </w:tblBorders>
    </w:tblPr>
    <w:tblStylePr w:type="firstRow">
      <w:rPr>
        <w:b/>
        <w:bCs/>
      </w:rPr>
      <w:tcPr>
        <w:tcBorders>
          <w:bottom w:val="single" w:color="47D45A" w:themeColor="accent3" w:themeTint="99" w:sz="12" w:space="0"/>
        </w:tcBorders>
      </w:tcPr>
    </w:tblStylePr>
    <w:tblStylePr w:type="lastRow">
      <w:rPr>
        <w:b/>
        <w:bCs/>
      </w:rPr>
      <w:tcPr>
        <w:tcBorders>
          <w:top w:val="double" w:color="47D45A" w:themeColor="accent3" w:themeTint="99" w:sz="4" w:space="0"/>
        </w:tcBorders>
      </w:tcPr>
    </w:tblStylePr>
    <w:tblStylePr w:type="firstCol">
      <w:rPr>
        <w:b/>
        <w:bCs/>
      </w:rPr>
    </w:tblStylePr>
    <w:tblStylePr w:type="lastCol">
      <w:rPr>
        <w:b/>
        <w:bCs/>
      </w:rPr>
    </w:tblStylePr>
    <w:tblStylePr w:type="band1Vert">
      <w:tcPr>
        <w:shd w:val="clear" w:color="auto" w:fill="C1F0C8" w:themeFill="accent3" w:themeFillTint="33"/>
      </w:tcPr>
    </w:tblStylePr>
    <w:tblStylePr w:type="band1Horz">
      <w:tcPr>
        <w:shd w:val="clear" w:color="auto" w:fill="C1F0C8" w:themeFill="accent3" w:themeFillTint="33"/>
      </w:tcPr>
    </w:tblStylePr>
  </w:style>
  <w:style w:type="table" w:customStyle="1" w:styleId="383">
    <w:name w:val="网格表 6 彩色 - 着色 41"/>
    <w:basedOn w:val="88"/>
    <w:uiPriority w:val="51"/>
    <w:rPr>
      <w:color w:val="0B76A0" w:themeColor="accent4" w:themeShade="BF"/>
    </w:rPr>
    <w:tblPr>
      <w:tblBorders>
        <w:top w:val="single" w:color="60CBF3" w:themeColor="accent4" w:themeTint="99" w:sz="4" w:space="0"/>
        <w:left w:val="single" w:color="60CBF3" w:themeColor="accent4" w:themeTint="99" w:sz="4" w:space="0"/>
        <w:bottom w:val="single" w:color="60CBF3" w:themeColor="accent4" w:themeTint="99" w:sz="4" w:space="0"/>
        <w:right w:val="single" w:color="60CBF3" w:themeColor="accent4" w:themeTint="99" w:sz="4" w:space="0"/>
        <w:insideH w:val="single" w:color="60CBF3" w:themeColor="accent4" w:themeTint="99" w:sz="4" w:space="0"/>
        <w:insideV w:val="single" w:color="60CBF3" w:themeColor="accent4" w:themeTint="99" w:sz="4" w:space="0"/>
      </w:tblBorders>
    </w:tblPr>
    <w:tblStylePr w:type="firstRow">
      <w:rPr>
        <w:b/>
        <w:bCs/>
      </w:rPr>
      <w:tcPr>
        <w:tcBorders>
          <w:bottom w:val="single" w:color="60CBF3" w:themeColor="accent4" w:themeTint="99" w:sz="12" w:space="0"/>
        </w:tcBorders>
      </w:tcPr>
    </w:tblStylePr>
    <w:tblStylePr w:type="lastRow">
      <w:rPr>
        <w:b/>
        <w:bCs/>
      </w:rPr>
      <w:tcPr>
        <w:tcBorders>
          <w:top w:val="double" w:color="60CBF3" w:themeColor="accent4" w:themeTint="99" w:sz="4" w:space="0"/>
        </w:tcBorders>
      </w:tcPr>
    </w:tblStylePr>
    <w:tblStylePr w:type="firstCol">
      <w:rPr>
        <w:b/>
        <w:bCs/>
      </w:rPr>
    </w:tblStylePr>
    <w:tblStylePr w:type="lastCol">
      <w:rPr>
        <w:b/>
        <w:bCs/>
      </w:rPr>
    </w:tblStylePr>
    <w:tblStylePr w:type="band1Vert">
      <w:tcPr>
        <w:shd w:val="clear" w:color="auto" w:fill="CAEDFB" w:themeFill="accent4" w:themeFillTint="33"/>
      </w:tcPr>
    </w:tblStylePr>
    <w:tblStylePr w:type="band1Horz">
      <w:tcPr>
        <w:shd w:val="clear" w:color="auto" w:fill="CAEDFB" w:themeFill="accent4" w:themeFillTint="33"/>
      </w:tcPr>
    </w:tblStylePr>
  </w:style>
  <w:style w:type="table" w:customStyle="1" w:styleId="384">
    <w:name w:val="网格表 6 彩色 - 着色 51"/>
    <w:basedOn w:val="88"/>
    <w:uiPriority w:val="51"/>
    <w:rPr>
      <w:color w:val="78206E" w:themeColor="accent5" w:themeShade="BF"/>
    </w:rPr>
    <w:tblPr>
      <w:tblBorders>
        <w:top w:val="single" w:color="D76DCC" w:themeColor="accent5" w:themeTint="99" w:sz="4" w:space="0"/>
        <w:left w:val="single" w:color="D76DCC" w:themeColor="accent5" w:themeTint="99" w:sz="4" w:space="0"/>
        <w:bottom w:val="single" w:color="D76DCC" w:themeColor="accent5" w:themeTint="99" w:sz="4" w:space="0"/>
        <w:right w:val="single" w:color="D76DCC" w:themeColor="accent5" w:themeTint="99" w:sz="4" w:space="0"/>
        <w:insideH w:val="single" w:color="D76DCC" w:themeColor="accent5" w:themeTint="99" w:sz="4" w:space="0"/>
        <w:insideV w:val="single" w:color="D76DCC" w:themeColor="accent5" w:themeTint="99" w:sz="4" w:space="0"/>
      </w:tblBorders>
    </w:tblPr>
    <w:tblStylePr w:type="firstRow">
      <w:rPr>
        <w:b/>
        <w:bCs/>
      </w:rPr>
      <w:tcPr>
        <w:tcBorders>
          <w:bottom w:val="single" w:color="D76DCC" w:themeColor="accent5" w:themeTint="99" w:sz="12" w:space="0"/>
        </w:tcBorders>
      </w:tcPr>
    </w:tblStylePr>
    <w:tblStylePr w:type="lastRow">
      <w:rPr>
        <w:b/>
        <w:bCs/>
      </w:rPr>
      <w:tcPr>
        <w:tcBorders>
          <w:top w:val="double" w:color="D76DCC" w:themeColor="accent5" w:themeTint="99" w:sz="4" w:space="0"/>
        </w:tcBorders>
      </w:tcPr>
    </w:tblStylePr>
    <w:tblStylePr w:type="firstCol">
      <w:rPr>
        <w:b/>
        <w:bCs/>
      </w:rPr>
    </w:tblStylePr>
    <w:tblStylePr w:type="lastCol">
      <w:rPr>
        <w:b/>
        <w:bCs/>
      </w:rPr>
    </w:tblStylePr>
    <w:tblStylePr w:type="band1Vert">
      <w:tcPr>
        <w:shd w:val="clear" w:color="auto" w:fill="F1CEEE" w:themeFill="accent5" w:themeFillTint="33"/>
      </w:tcPr>
    </w:tblStylePr>
    <w:tblStylePr w:type="band1Horz">
      <w:tcPr>
        <w:shd w:val="clear" w:color="auto" w:fill="F1CEEE" w:themeFill="accent5" w:themeFillTint="33"/>
      </w:tcPr>
    </w:tblStylePr>
  </w:style>
  <w:style w:type="table" w:customStyle="1" w:styleId="385">
    <w:name w:val="网格表 6 彩色 - 着色 61"/>
    <w:basedOn w:val="88"/>
    <w:uiPriority w:val="51"/>
    <w:rPr>
      <w:color w:val="3B7D23" w:themeColor="accent6" w:themeShade="BF"/>
    </w:rPr>
    <w:tblPr>
      <w:tblBorders>
        <w:top w:val="single" w:color="8ED873" w:themeColor="accent6" w:themeTint="99" w:sz="4" w:space="0"/>
        <w:left w:val="single" w:color="8ED873" w:themeColor="accent6" w:themeTint="99" w:sz="4" w:space="0"/>
        <w:bottom w:val="single" w:color="8ED873" w:themeColor="accent6" w:themeTint="99" w:sz="4" w:space="0"/>
        <w:right w:val="single" w:color="8ED873" w:themeColor="accent6" w:themeTint="99" w:sz="4" w:space="0"/>
        <w:insideH w:val="single" w:color="8ED873" w:themeColor="accent6" w:themeTint="99" w:sz="4" w:space="0"/>
        <w:insideV w:val="single" w:color="8ED873" w:themeColor="accent6" w:themeTint="99" w:sz="4" w:space="0"/>
      </w:tblBorders>
    </w:tblPr>
    <w:tblStylePr w:type="firstRow">
      <w:rPr>
        <w:b/>
        <w:bCs/>
      </w:rPr>
      <w:tcPr>
        <w:tcBorders>
          <w:bottom w:val="single" w:color="8ED873" w:themeColor="accent6" w:themeTint="99" w:sz="12" w:space="0"/>
        </w:tcBorders>
      </w:tcPr>
    </w:tblStylePr>
    <w:tblStylePr w:type="lastRow">
      <w:rPr>
        <w:b/>
        <w:bCs/>
      </w:rPr>
      <w:tcPr>
        <w:tcBorders>
          <w:top w:val="double" w:color="8ED873" w:themeColor="accent6" w:themeTint="99" w:sz="4" w:space="0"/>
        </w:tcBorders>
      </w:tcPr>
    </w:tblStylePr>
    <w:tblStylePr w:type="firstCol">
      <w:rPr>
        <w:b/>
        <w:bCs/>
      </w:rPr>
    </w:tblStylePr>
    <w:tblStylePr w:type="lastCol">
      <w:rPr>
        <w:b/>
        <w:bCs/>
      </w:rPr>
    </w:tblStylePr>
    <w:tblStylePr w:type="band1Vert">
      <w:tcPr>
        <w:shd w:val="clear" w:color="auto" w:fill="D9F2D0" w:themeFill="accent6" w:themeFillTint="33"/>
      </w:tcPr>
    </w:tblStylePr>
    <w:tblStylePr w:type="band1Horz">
      <w:tcPr>
        <w:shd w:val="clear" w:color="auto" w:fill="D9F2D0" w:themeFill="accent6" w:themeFillTint="33"/>
      </w:tcPr>
    </w:tblStylePr>
  </w:style>
  <w:style w:type="table" w:customStyle="1" w:styleId="386">
    <w:name w:val="网格表 7 彩色1"/>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87">
    <w:name w:val="网格表 7 彩色 - 着色 11"/>
    <w:basedOn w:val="88"/>
    <w:uiPriority w:val="52"/>
    <w:rPr>
      <w:color w:val="104862" w:themeColor="accent1" w:themeShade="BF"/>
    </w:rPr>
    <w:tblPr>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1E4F5" w:themeFill="accent1" w:themeFillTint="33"/>
      </w:tcPr>
    </w:tblStylePr>
    <w:tblStylePr w:type="band1Horz">
      <w:tcPr>
        <w:shd w:val="clear" w:color="auto" w:fill="C1E4F5" w:themeFill="accent1" w:themeFillTint="33"/>
      </w:tcPr>
    </w:tblStylePr>
    <w:tblStylePr w:type="neCell">
      <w:tcPr>
        <w:tcBorders>
          <w:bottom w:val="single" w:color="45B0E1" w:themeColor="accent1" w:themeTint="99" w:sz="4" w:space="0"/>
        </w:tcBorders>
      </w:tcPr>
    </w:tblStylePr>
    <w:tblStylePr w:type="nwCell">
      <w:tcPr>
        <w:tcBorders>
          <w:bottom w:val="single" w:color="45B0E1" w:themeColor="accent1" w:themeTint="99" w:sz="4" w:space="0"/>
        </w:tcBorders>
      </w:tcPr>
    </w:tblStylePr>
    <w:tblStylePr w:type="seCell">
      <w:tcPr>
        <w:tcBorders>
          <w:top w:val="single" w:color="45B0E1" w:themeColor="accent1" w:themeTint="99" w:sz="4" w:space="0"/>
        </w:tcBorders>
      </w:tcPr>
    </w:tblStylePr>
    <w:tblStylePr w:type="swCell">
      <w:tcPr>
        <w:tcBorders>
          <w:top w:val="single" w:color="45B0E1" w:themeColor="accent1" w:themeTint="99" w:sz="4" w:space="0"/>
        </w:tcBorders>
      </w:tcPr>
    </w:tblStylePr>
  </w:style>
  <w:style w:type="table" w:customStyle="1" w:styleId="388">
    <w:name w:val="网格表 7 彩色 - 着色 21"/>
    <w:basedOn w:val="88"/>
    <w:uiPriority w:val="52"/>
    <w:rPr>
      <w:color w:val="C04F15" w:themeColor="accent2" w:themeShade="BF"/>
    </w:rPr>
    <w:tblPr>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E2D5" w:themeFill="accent2" w:themeFillTint="33"/>
      </w:tcPr>
    </w:tblStylePr>
    <w:tblStylePr w:type="band1Horz">
      <w:tcPr>
        <w:shd w:val="clear" w:color="auto" w:fill="FAE2D5" w:themeFill="accent2" w:themeFillTint="33"/>
      </w:tcPr>
    </w:tblStylePr>
    <w:tblStylePr w:type="neCell">
      <w:tcPr>
        <w:tcBorders>
          <w:bottom w:val="single" w:color="F1A983" w:themeColor="accent2" w:themeTint="99" w:sz="4" w:space="0"/>
        </w:tcBorders>
      </w:tcPr>
    </w:tblStylePr>
    <w:tblStylePr w:type="nwCell">
      <w:tcPr>
        <w:tcBorders>
          <w:bottom w:val="single" w:color="F1A983" w:themeColor="accent2" w:themeTint="99" w:sz="4" w:space="0"/>
        </w:tcBorders>
      </w:tcPr>
    </w:tblStylePr>
    <w:tblStylePr w:type="seCell">
      <w:tcPr>
        <w:tcBorders>
          <w:top w:val="single" w:color="F1A983" w:themeColor="accent2" w:themeTint="99" w:sz="4" w:space="0"/>
        </w:tcBorders>
      </w:tcPr>
    </w:tblStylePr>
    <w:tblStylePr w:type="swCell">
      <w:tcPr>
        <w:tcBorders>
          <w:top w:val="single" w:color="F1A983" w:themeColor="accent2" w:themeTint="99" w:sz="4" w:space="0"/>
        </w:tcBorders>
      </w:tcPr>
    </w:tblStylePr>
  </w:style>
  <w:style w:type="table" w:customStyle="1" w:styleId="389">
    <w:name w:val="网格表 7 彩色 - 着色 31"/>
    <w:basedOn w:val="88"/>
    <w:uiPriority w:val="52"/>
    <w:rPr>
      <w:color w:val="13501B" w:themeColor="accent3" w:themeShade="BF"/>
    </w:rPr>
    <w:tblPr>
      <w:tblBorders>
        <w:top w:val="single" w:color="47D45A" w:themeColor="accent3" w:themeTint="99" w:sz="4" w:space="0"/>
        <w:left w:val="single" w:color="47D45A" w:themeColor="accent3" w:themeTint="99" w:sz="4" w:space="0"/>
        <w:bottom w:val="single" w:color="47D45A" w:themeColor="accent3" w:themeTint="99" w:sz="4" w:space="0"/>
        <w:right w:val="single" w:color="47D45A" w:themeColor="accent3" w:themeTint="99" w:sz="4" w:space="0"/>
        <w:insideH w:val="single" w:color="47D45A" w:themeColor="accent3" w:themeTint="99" w:sz="4" w:space="0"/>
        <w:insideV w:val="single" w:color="47D45A"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1F0C8" w:themeFill="accent3" w:themeFillTint="33"/>
      </w:tcPr>
    </w:tblStylePr>
    <w:tblStylePr w:type="band1Horz">
      <w:tcPr>
        <w:shd w:val="clear" w:color="auto" w:fill="C1F0C8" w:themeFill="accent3" w:themeFillTint="33"/>
      </w:tcPr>
    </w:tblStylePr>
    <w:tblStylePr w:type="neCell">
      <w:tcPr>
        <w:tcBorders>
          <w:bottom w:val="single" w:color="47D45A" w:themeColor="accent3" w:themeTint="99" w:sz="4" w:space="0"/>
        </w:tcBorders>
      </w:tcPr>
    </w:tblStylePr>
    <w:tblStylePr w:type="nwCell">
      <w:tcPr>
        <w:tcBorders>
          <w:bottom w:val="single" w:color="47D45A" w:themeColor="accent3" w:themeTint="99" w:sz="4" w:space="0"/>
        </w:tcBorders>
      </w:tcPr>
    </w:tblStylePr>
    <w:tblStylePr w:type="seCell">
      <w:tcPr>
        <w:tcBorders>
          <w:top w:val="single" w:color="47D45A" w:themeColor="accent3" w:themeTint="99" w:sz="4" w:space="0"/>
        </w:tcBorders>
      </w:tcPr>
    </w:tblStylePr>
    <w:tblStylePr w:type="swCell">
      <w:tcPr>
        <w:tcBorders>
          <w:top w:val="single" w:color="47D45A" w:themeColor="accent3" w:themeTint="99" w:sz="4" w:space="0"/>
        </w:tcBorders>
      </w:tcPr>
    </w:tblStylePr>
  </w:style>
  <w:style w:type="table" w:customStyle="1" w:styleId="390">
    <w:name w:val="网格表 7 彩色 - 着色 41"/>
    <w:basedOn w:val="88"/>
    <w:qFormat/>
    <w:uiPriority w:val="52"/>
    <w:rPr>
      <w:color w:val="0B76A0" w:themeColor="accent4" w:themeShade="BF"/>
    </w:rPr>
    <w:tblPr>
      <w:tblBorders>
        <w:top w:val="single" w:color="60CBF3" w:themeColor="accent4" w:themeTint="99" w:sz="4" w:space="0"/>
        <w:left w:val="single" w:color="60CBF3" w:themeColor="accent4" w:themeTint="99" w:sz="4" w:space="0"/>
        <w:bottom w:val="single" w:color="60CBF3" w:themeColor="accent4" w:themeTint="99" w:sz="4" w:space="0"/>
        <w:right w:val="single" w:color="60CBF3" w:themeColor="accent4" w:themeTint="99" w:sz="4" w:space="0"/>
        <w:insideH w:val="single" w:color="60CBF3" w:themeColor="accent4" w:themeTint="99" w:sz="4" w:space="0"/>
        <w:insideV w:val="single" w:color="60CBF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AEDFB" w:themeFill="accent4" w:themeFillTint="33"/>
      </w:tcPr>
    </w:tblStylePr>
    <w:tblStylePr w:type="band1Horz">
      <w:tcPr>
        <w:shd w:val="clear" w:color="auto" w:fill="CAEDFB" w:themeFill="accent4" w:themeFillTint="33"/>
      </w:tcPr>
    </w:tblStylePr>
    <w:tblStylePr w:type="neCell">
      <w:tcPr>
        <w:tcBorders>
          <w:bottom w:val="single" w:color="60CBF3" w:themeColor="accent4" w:themeTint="99" w:sz="4" w:space="0"/>
        </w:tcBorders>
      </w:tcPr>
    </w:tblStylePr>
    <w:tblStylePr w:type="nwCell">
      <w:tcPr>
        <w:tcBorders>
          <w:bottom w:val="single" w:color="60CBF3" w:themeColor="accent4" w:themeTint="99" w:sz="4" w:space="0"/>
        </w:tcBorders>
      </w:tcPr>
    </w:tblStylePr>
    <w:tblStylePr w:type="seCell">
      <w:tcPr>
        <w:tcBorders>
          <w:top w:val="single" w:color="60CBF3" w:themeColor="accent4" w:themeTint="99" w:sz="4" w:space="0"/>
        </w:tcBorders>
      </w:tcPr>
    </w:tblStylePr>
    <w:tblStylePr w:type="swCell">
      <w:tcPr>
        <w:tcBorders>
          <w:top w:val="single" w:color="60CBF3" w:themeColor="accent4" w:themeTint="99" w:sz="4" w:space="0"/>
        </w:tcBorders>
      </w:tcPr>
    </w:tblStylePr>
  </w:style>
  <w:style w:type="table" w:customStyle="1" w:styleId="391">
    <w:name w:val="网格表 7 彩色 - 着色 51"/>
    <w:basedOn w:val="88"/>
    <w:qFormat/>
    <w:uiPriority w:val="52"/>
    <w:rPr>
      <w:color w:val="78206E" w:themeColor="accent5" w:themeShade="BF"/>
    </w:rPr>
    <w:tblPr>
      <w:tblBorders>
        <w:top w:val="single" w:color="D76DCC" w:themeColor="accent5" w:themeTint="99" w:sz="4" w:space="0"/>
        <w:left w:val="single" w:color="D76DCC" w:themeColor="accent5" w:themeTint="99" w:sz="4" w:space="0"/>
        <w:bottom w:val="single" w:color="D76DCC" w:themeColor="accent5" w:themeTint="99" w:sz="4" w:space="0"/>
        <w:right w:val="single" w:color="D76DCC" w:themeColor="accent5" w:themeTint="99" w:sz="4" w:space="0"/>
        <w:insideH w:val="single" w:color="D76DCC" w:themeColor="accent5" w:themeTint="99" w:sz="4" w:space="0"/>
        <w:insideV w:val="single" w:color="D76DC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CEEE" w:themeFill="accent5" w:themeFillTint="33"/>
      </w:tcPr>
    </w:tblStylePr>
    <w:tblStylePr w:type="band1Horz">
      <w:tcPr>
        <w:shd w:val="clear" w:color="auto" w:fill="F1CEEE" w:themeFill="accent5" w:themeFillTint="33"/>
      </w:tcPr>
    </w:tblStylePr>
    <w:tblStylePr w:type="neCell">
      <w:tcPr>
        <w:tcBorders>
          <w:bottom w:val="single" w:color="D76DCC" w:themeColor="accent5" w:themeTint="99" w:sz="4" w:space="0"/>
        </w:tcBorders>
      </w:tcPr>
    </w:tblStylePr>
    <w:tblStylePr w:type="nwCell">
      <w:tcPr>
        <w:tcBorders>
          <w:bottom w:val="single" w:color="D76DCC" w:themeColor="accent5" w:themeTint="99" w:sz="4" w:space="0"/>
        </w:tcBorders>
      </w:tcPr>
    </w:tblStylePr>
    <w:tblStylePr w:type="seCell">
      <w:tcPr>
        <w:tcBorders>
          <w:top w:val="single" w:color="D76DCC" w:themeColor="accent5" w:themeTint="99" w:sz="4" w:space="0"/>
        </w:tcBorders>
      </w:tcPr>
    </w:tblStylePr>
    <w:tblStylePr w:type="swCell">
      <w:tcPr>
        <w:tcBorders>
          <w:top w:val="single" w:color="D76DCC" w:themeColor="accent5" w:themeTint="99" w:sz="4" w:space="0"/>
        </w:tcBorders>
      </w:tcPr>
    </w:tblStylePr>
  </w:style>
  <w:style w:type="table" w:customStyle="1" w:styleId="392">
    <w:name w:val="网格表 7 彩色 - 着色 61"/>
    <w:basedOn w:val="88"/>
    <w:qFormat/>
    <w:uiPriority w:val="52"/>
    <w:rPr>
      <w:color w:val="3B7D23" w:themeColor="accent6" w:themeShade="BF"/>
    </w:rPr>
    <w:tblPr>
      <w:tblBorders>
        <w:top w:val="single" w:color="8ED873" w:themeColor="accent6" w:themeTint="99" w:sz="4" w:space="0"/>
        <w:left w:val="single" w:color="8ED873" w:themeColor="accent6" w:themeTint="99" w:sz="4" w:space="0"/>
        <w:bottom w:val="single" w:color="8ED873" w:themeColor="accent6" w:themeTint="99" w:sz="4" w:space="0"/>
        <w:right w:val="single" w:color="8ED873" w:themeColor="accent6" w:themeTint="99" w:sz="4" w:space="0"/>
        <w:insideH w:val="single" w:color="8ED873" w:themeColor="accent6" w:themeTint="99" w:sz="4" w:space="0"/>
        <w:insideV w:val="single" w:color="8ED873"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F2D0" w:themeFill="accent6" w:themeFillTint="33"/>
      </w:tcPr>
    </w:tblStylePr>
    <w:tblStylePr w:type="band1Horz">
      <w:tcPr>
        <w:shd w:val="clear" w:color="auto" w:fill="D9F2D0" w:themeFill="accent6" w:themeFillTint="33"/>
      </w:tcPr>
    </w:tblStylePr>
    <w:tblStylePr w:type="neCell">
      <w:tcPr>
        <w:tcBorders>
          <w:bottom w:val="single" w:color="8ED873" w:themeColor="accent6" w:themeTint="99" w:sz="4" w:space="0"/>
        </w:tcBorders>
      </w:tcPr>
    </w:tblStylePr>
    <w:tblStylePr w:type="nwCell">
      <w:tcPr>
        <w:tcBorders>
          <w:bottom w:val="single" w:color="8ED873" w:themeColor="accent6" w:themeTint="99" w:sz="4" w:space="0"/>
        </w:tcBorders>
      </w:tcPr>
    </w:tblStylePr>
    <w:tblStylePr w:type="seCell">
      <w:tcPr>
        <w:tcBorders>
          <w:top w:val="single" w:color="8ED873" w:themeColor="accent6" w:themeTint="99" w:sz="4" w:space="0"/>
        </w:tcBorders>
      </w:tcPr>
    </w:tblStylePr>
    <w:tblStylePr w:type="swCell">
      <w:tcPr>
        <w:tcBorders>
          <w:top w:val="single" w:color="8ED873" w:themeColor="accent6" w:themeTint="99" w:sz="4" w:space="0"/>
        </w:tcBorders>
      </w:tcPr>
    </w:tblStylePr>
  </w:style>
  <w:style w:type="table" w:customStyle="1" w:styleId="393">
    <w:name w:val="网格型浅色1"/>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94">
    <w:name w:val="尾注文本 字符"/>
    <w:basedOn w:val="231"/>
    <w:link w:val="52"/>
    <w:semiHidden/>
    <w:uiPriority w:val="99"/>
    <w:rPr>
      <w:rFonts w:asciiTheme="minorHAnsi" w:hAnsiTheme="minorHAnsi" w:eastAsiaTheme="minorEastAsia" w:cstheme="minorBidi"/>
      <w:kern w:val="2"/>
      <w:sz w:val="22"/>
      <w:szCs w:val="24"/>
      <w14:ligatures w14:val="standardContextual"/>
    </w:rPr>
  </w:style>
  <w:style w:type="character" w:customStyle="1" w:styleId="395">
    <w:name w:val="未处理的提及2"/>
    <w:basedOn w:val="231"/>
    <w:semiHidden/>
    <w:unhideWhenUsed/>
    <w:uiPriority w:val="99"/>
    <w:rPr>
      <w:color w:val="605E5C"/>
      <w:shd w:val="clear" w:color="auto" w:fill="E1DFDD"/>
    </w:rPr>
  </w:style>
  <w:style w:type="character" w:customStyle="1" w:styleId="396">
    <w:name w:val="文档结构图 字符"/>
    <w:basedOn w:val="231"/>
    <w:link w:val="26"/>
    <w:semiHidden/>
    <w:uiPriority w:val="99"/>
    <w:rPr>
      <w:rFonts w:ascii="Microsoft YaHei UI" w:eastAsia="Microsoft YaHei UI" w:hAnsiTheme="minorHAnsi" w:cstheme="minorBidi"/>
      <w:kern w:val="2"/>
      <w:sz w:val="18"/>
      <w:szCs w:val="18"/>
      <w14:ligatures w14:val="standardContextual"/>
    </w:rPr>
  </w:style>
  <w:style w:type="table" w:customStyle="1" w:styleId="397">
    <w:name w:val="无格式表格 1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8">
    <w:name w:val="无格式表格 21"/>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9">
    <w:name w:val="无格式表格 3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00">
    <w:name w:val="无格式表格 41"/>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1">
    <w:name w:val="无格式表格 51"/>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02">
    <w:name w:val="No Spacing"/>
    <w:semiHidden/>
    <w:unhideWhenUsed/>
    <w:uiPriority w:val="99"/>
    <w:pPr>
      <w:widowControl w:val="0"/>
    </w:pPr>
    <w:rPr>
      <w:rFonts w:asciiTheme="minorHAnsi" w:hAnsiTheme="minorHAnsi" w:eastAsiaTheme="minorEastAsia" w:cstheme="minorBidi"/>
      <w:kern w:val="2"/>
      <w:sz w:val="22"/>
      <w:szCs w:val="24"/>
      <w:lang w:val="en-US" w:eastAsia="zh-CN" w:bidi="ar-SA"/>
      <w14:ligatures w14:val="standardContextual"/>
    </w:rPr>
  </w:style>
  <w:style w:type="character" w:customStyle="1" w:styleId="403">
    <w:name w:val="信息标题 字符"/>
    <w:basedOn w:val="231"/>
    <w:link w:val="79"/>
    <w:semiHidden/>
    <w:uiPriority w:val="99"/>
    <w:rPr>
      <w:rFonts w:asciiTheme="majorHAnsi" w:hAnsiTheme="majorHAnsi" w:eastAsiaTheme="majorEastAsia" w:cstheme="majorBidi"/>
      <w:kern w:val="2"/>
      <w:sz w:val="24"/>
      <w:szCs w:val="24"/>
      <w:shd w:val="pct20" w:color="auto" w:fill="auto"/>
      <w14:ligatures w14:val="standardContextual"/>
    </w:rPr>
  </w:style>
  <w:style w:type="paragraph" w:styleId="404">
    <w:name w:val="Quote"/>
    <w:basedOn w:val="1"/>
    <w:next w:val="1"/>
    <w:link w:val="405"/>
    <w:semiHidden/>
    <w:unhideWhenUsed/>
    <w:uiPriority w:val="9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05">
    <w:name w:val="引用 字符"/>
    <w:basedOn w:val="231"/>
    <w:link w:val="404"/>
    <w:semiHidden/>
    <w:uiPriority w:val="99"/>
    <w:rPr>
      <w:rFonts w:asciiTheme="minorHAnsi" w:hAnsiTheme="minorHAnsi" w:eastAsiaTheme="minorEastAsia" w:cstheme="minorBidi"/>
      <w:i/>
      <w:iCs/>
      <w:color w:val="404040" w:themeColor="text1" w:themeTint="BF"/>
      <w:kern w:val="2"/>
      <w:sz w:val="22"/>
      <w:szCs w:val="24"/>
      <w14:textFill>
        <w14:solidFill>
          <w14:schemeClr w14:val="tx1">
            <w14:lumMod w14:val="75000"/>
            <w14:lumOff w14:val="25000"/>
          </w14:schemeClr>
        </w14:solidFill>
      </w14:textFill>
      <w14:ligatures w14:val="standardContextual"/>
    </w:rPr>
  </w:style>
  <w:style w:type="character" w:customStyle="1" w:styleId="406">
    <w:name w:val="正文文本 字符"/>
    <w:basedOn w:val="231"/>
    <w:link w:val="34"/>
    <w:semiHidden/>
    <w:uiPriority w:val="99"/>
    <w:rPr>
      <w:rFonts w:asciiTheme="minorHAnsi" w:hAnsiTheme="minorHAnsi" w:eastAsiaTheme="minorEastAsia" w:cstheme="minorBidi"/>
      <w:kern w:val="2"/>
      <w:sz w:val="22"/>
      <w:szCs w:val="24"/>
      <w14:ligatures w14:val="standardContextual"/>
    </w:rPr>
  </w:style>
  <w:style w:type="character" w:customStyle="1" w:styleId="407">
    <w:name w:val="正文文本 2 字符"/>
    <w:basedOn w:val="231"/>
    <w:link w:val="76"/>
    <w:semiHidden/>
    <w:uiPriority w:val="99"/>
    <w:rPr>
      <w:rFonts w:asciiTheme="minorHAnsi" w:hAnsiTheme="minorHAnsi" w:eastAsiaTheme="minorEastAsia" w:cstheme="minorBidi"/>
      <w:kern w:val="2"/>
      <w:sz w:val="22"/>
      <w:szCs w:val="24"/>
      <w14:ligatures w14:val="standardContextual"/>
    </w:rPr>
  </w:style>
  <w:style w:type="character" w:customStyle="1" w:styleId="408">
    <w:name w:val="正文文本 3 字符"/>
    <w:basedOn w:val="231"/>
    <w:link w:val="31"/>
    <w:semiHidden/>
    <w:uiPriority w:val="99"/>
    <w:rPr>
      <w:rFonts w:asciiTheme="minorHAnsi" w:hAnsiTheme="minorHAnsi" w:eastAsiaTheme="minorEastAsia" w:cstheme="minorBidi"/>
      <w:kern w:val="2"/>
      <w:sz w:val="16"/>
      <w:szCs w:val="16"/>
      <w14:ligatures w14:val="standardContextual"/>
    </w:rPr>
  </w:style>
  <w:style w:type="character" w:customStyle="1" w:styleId="409">
    <w:name w:val="正文文本首行缩进 字符"/>
    <w:basedOn w:val="406"/>
    <w:link w:val="86"/>
    <w:semiHidden/>
    <w:uiPriority w:val="99"/>
    <w:rPr>
      <w:rFonts w:asciiTheme="minorHAnsi" w:hAnsiTheme="minorHAnsi" w:eastAsiaTheme="minorEastAsia" w:cstheme="minorBidi"/>
      <w:kern w:val="2"/>
      <w:sz w:val="22"/>
      <w:szCs w:val="24"/>
      <w14:ligatures w14:val="standardContextual"/>
    </w:rPr>
  </w:style>
  <w:style w:type="character" w:customStyle="1" w:styleId="410">
    <w:name w:val="正文文本缩进 字符"/>
    <w:basedOn w:val="231"/>
    <w:link w:val="35"/>
    <w:semiHidden/>
    <w:uiPriority w:val="99"/>
    <w:rPr>
      <w:rFonts w:asciiTheme="minorHAnsi" w:hAnsiTheme="minorHAnsi" w:eastAsiaTheme="minorEastAsia" w:cstheme="minorBidi"/>
      <w:kern w:val="2"/>
      <w:sz w:val="22"/>
      <w:szCs w:val="24"/>
      <w14:ligatures w14:val="standardContextual"/>
    </w:rPr>
  </w:style>
  <w:style w:type="character" w:customStyle="1" w:styleId="411">
    <w:name w:val="正文文本首行缩进 2 字符"/>
    <w:basedOn w:val="410"/>
    <w:link w:val="87"/>
    <w:semiHidden/>
    <w:uiPriority w:val="99"/>
    <w:rPr>
      <w:rFonts w:asciiTheme="minorHAnsi" w:hAnsiTheme="minorHAnsi" w:eastAsiaTheme="minorEastAsia" w:cstheme="minorBidi"/>
      <w:kern w:val="2"/>
      <w:sz w:val="22"/>
      <w:szCs w:val="24"/>
      <w14:ligatures w14:val="standardContextual"/>
    </w:rPr>
  </w:style>
  <w:style w:type="character" w:customStyle="1" w:styleId="412">
    <w:name w:val="正文文本缩进 2 字符"/>
    <w:basedOn w:val="231"/>
    <w:link w:val="51"/>
    <w:semiHidden/>
    <w:uiPriority w:val="99"/>
    <w:rPr>
      <w:rFonts w:asciiTheme="minorHAnsi" w:hAnsiTheme="minorHAnsi" w:eastAsiaTheme="minorEastAsia" w:cstheme="minorBidi"/>
      <w:kern w:val="2"/>
      <w:sz w:val="22"/>
      <w:szCs w:val="24"/>
      <w14:ligatures w14:val="standardContextual"/>
    </w:rPr>
  </w:style>
  <w:style w:type="character" w:customStyle="1" w:styleId="413">
    <w:name w:val="正文文本缩进 3 字符"/>
    <w:basedOn w:val="231"/>
    <w:link w:val="70"/>
    <w:semiHidden/>
    <w:uiPriority w:val="99"/>
    <w:rPr>
      <w:rFonts w:asciiTheme="minorHAnsi" w:hAnsiTheme="minorHAnsi" w:eastAsiaTheme="minorEastAsia" w:cstheme="minorBidi"/>
      <w:kern w:val="2"/>
      <w:sz w:val="16"/>
      <w:szCs w:val="16"/>
      <w14:ligatures w14:val="standardContextual"/>
    </w:rPr>
  </w:style>
  <w:style w:type="character" w:customStyle="1" w:styleId="414">
    <w:name w:val="智能超链接1"/>
    <w:basedOn w:val="231"/>
    <w:semiHidden/>
    <w:unhideWhenUsed/>
    <w:uiPriority w:val="99"/>
    <w:rPr>
      <w:u w:val="dotted"/>
    </w:rPr>
  </w:style>
  <w:style w:type="character" w:customStyle="1" w:styleId="415">
    <w:name w:val="智能链接1"/>
    <w:basedOn w:val="231"/>
    <w:semiHidden/>
    <w:unhideWhenUsed/>
    <w:uiPriority w:val="99"/>
    <w:rPr>
      <w:color w:val="0000FF"/>
      <w:u w:val="single"/>
      <w:shd w:val="clear" w:color="auto" w:fill="F3F2F1"/>
    </w:rPr>
  </w:style>
  <w:style w:type="character" w:customStyle="1" w:styleId="416">
    <w:name w:val="注释标题 字符"/>
    <w:basedOn w:val="231"/>
    <w:link w:val="16"/>
    <w:semiHidden/>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3CDE-0CE7-4183-8B0E-E7D8B81F9396}">
  <ds:schemaRefs/>
</ds:datastoreItem>
</file>

<file path=docProps/app.xml><?xml version="1.0" encoding="utf-8"?>
<Properties xmlns="http://schemas.openxmlformats.org/officeDocument/2006/extended-properties" xmlns:vt="http://schemas.openxmlformats.org/officeDocument/2006/docPropsVTypes">
  <Template>Normal</Template>
  <Pages>42</Pages>
  <Words>23000</Words>
  <Characters>24031</Characters>
  <Lines>1130</Lines>
  <Paragraphs>896</Paragraphs>
  <TotalTime>86</TotalTime>
  <ScaleCrop>false</ScaleCrop>
  <LinksUpToDate>false</LinksUpToDate>
  <CharactersWithSpaces>24370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2024-08-07T15:27:00Z</dcterms:created>
  <dc:creator>Administrator</dc:creator>
  <cp:lastModifiedBy>Administrator</cp:lastModifiedBy>
  <dcterms:modified xsi:type="dcterms:W3CDTF">2024-11-26T08:50:45Z</dcterms:modified>
  <cp:revision>719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FB5092610D9245E6B15E0D4F62C2A700_13</vt:lpwstr>
  </property>
</Properties>
</file>