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经典黑体简" w:hAnsi="经典黑体简" w:eastAsia="经典黑体简" w:cs="经典黑体简"/>
          <w:b w:val="0"/>
          <w:bCs w:val="0"/>
          <w:color w:val="auto"/>
          <w:sz w:val="28"/>
          <w:szCs w:val="28"/>
          <w:u w:val="none"/>
        </w:rPr>
      </w:pPr>
      <w:bookmarkStart w:id="2" w:name="_GoBack"/>
      <w:bookmarkEnd w:id="2"/>
      <w:r>
        <w:rPr>
          <w:rFonts w:hint="eastAsia" w:ascii="经典黑体简" w:hAnsi="经典黑体简" w:eastAsia="经典黑体简" w:cs="经典黑体简"/>
          <w:b w:val="0"/>
          <w:bCs w:val="0"/>
          <w:color w:val="auto"/>
          <w:sz w:val="28"/>
          <w:szCs w:val="28"/>
          <w:u w:val="none"/>
        </w:rPr>
        <w:t>县十九届人大</w:t>
      </w:r>
      <w:r>
        <w:rPr>
          <w:rFonts w:hint="eastAsia" w:ascii="经典黑体简" w:hAnsi="经典黑体简" w:eastAsia="经典黑体简" w:cs="经典黑体简"/>
          <w:b w:val="0"/>
          <w:bCs w:val="0"/>
          <w:color w:val="auto"/>
          <w:sz w:val="28"/>
          <w:szCs w:val="28"/>
          <w:u w:val="none"/>
          <w:lang w:val="en-US" w:eastAsia="zh-CN"/>
        </w:rPr>
        <w:t>六</w:t>
      </w:r>
      <w:r>
        <w:rPr>
          <w:rFonts w:hint="eastAsia" w:ascii="经典黑体简" w:hAnsi="经典黑体简" w:eastAsia="经典黑体简" w:cs="经典黑体简"/>
          <w:b w:val="0"/>
          <w:bCs w:val="0"/>
          <w:color w:val="auto"/>
          <w:sz w:val="28"/>
          <w:szCs w:val="28"/>
          <w:u w:val="none"/>
        </w:rPr>
        <w:t>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经典黑体简" w:hAnsi="经典黑体简" w:eastAsia="经典黑体简" w:cs="经典黑体简"/>
          <w:b w:val="0"/>
          <w:bCs w:val="0"/>
          <w:color w:val="auto"/>
          <w:spacing w:val="11"/>
          <w:sz w:val="28"/>
          <w:szCs w:val="28"/>
          <w:u w:val="none"/>
        </w:rPr>
      </w:pPr>
      <w:r>
        <w:rPr>
          <w:rFonts w:hint="eastAsia" w:ascii="经典黑体简" w:hAnsi="经典黑体简" w:eastAsia="经典黑体简" w:cs="经典黑体简"/>
          <w:b w:val="0"/>
          <w:bCs w:val="0"/>
          <w:color w:val="auto"/>
          <w:spacing w:val="11"/>
          <w:sz w:val="28"/>
          <w:szCs w:val="28"/>
          <w:u w:val="none"/>
        </w:rPr>
        <w:t>会议文件（</w:t>
      </w:r>
      <w:r>
        <w:rPr>
          <w:rFonts w:hint="eastAsia" w:ascii="经典黑体简" w:hAnsi="经典黑体简" w:eastAsia="经典黑体简" w:cs="经典黑体简"/>
          <w:b w:val="0"/>
          <w:bCs w:val="0"/>
          <w:color w:val="auto"/>
          <w:spacing w:val="11"/>
          <w:sz w:val="28"/>
          <w:szCs w:val="28"/>
          <w:u w:val="none"/>
          <w:lang w:eastAsia="zh-CN"/>
        </w:rPr>
        <w:t>十</w:t>
      </w:r>
      <w:r>
        <w:rPr>
          <w:rFonts w:hint="eastAsia" w:ascii="经典黑体简" w:hAnsi="经典黑体简" w:eastAsia="经典黑体简" w:cs="经典黑体简"/>
          <w:b w:val="0"/>
          <w:bCs w:val="0"/>
          <w:color w:val="auto"/>
          <w:spacing w:val="11"/>
          <w:sz w:val="28"/>
          <w:szCs w:val="28"/>
          <w:u w:val="none"/>
          <w:lang w:val="en-US" w:eastAsia="zh-CN"/>
        </w:rPr>
        <w:t>五</w:t>
      </w:r>
      <w:r>
        <w:rPr>
          <w:rFonts w:hint="eastAsia" w:ascii="经典黑体简" w:hAnsi="经典黑体简" w:eastAsia="经典黑体简" w:cs="经典黑体简"/>
          <w:b w:val="0"/>
          <w:bCs w:val="0"/>
          <w:color w:val="auto"/>
          <w:spacing w:val="11"/>
          <w:sz w:val="28"/>
          <w:szCs w:val="28"/>
          <w:u w:val="none"/>
        </w:rPr>
        <w:t>）</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80" w:lineRule="exact"/>
        <w:ind w:left="0" w:leftChars="0" w:right="0" w:rightChars="0" w:firstLine="0" w:firstLineChars="0"/>
        <w:jc w:val="both"/>
        <w:textAlignment w:val="auto"/>
        <w:outlineLvl w:val="0"/>
        <w:rPr>
          <w:rFonts w:hint="eastAsia" w:ascii="Times New Roman" w:hAnsi="Times New Roman" w:eastAsia="方正小标宋简体" w:cstheme="minorBidi"/>
          <w:snapToGrid w:val="0"/>
          <w:color w:val="auto"/>
          <w:kern w:val="44"/>
          <w:sz w:val="4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80" w:lineRule="exact"/>
        <w:ind w:left="0" w:leftChars="0" w:right="0" w:rightChars="0" w:firstLine="0" w:firstLineChars="0"/>
        <w:jc w:val="center"/>
        <w:textAlignment w:val="auto"/>
        <w:outlineLvl w:val="0"/>
        <w:rPr>
          <w:rFonts w:hint="eastAsia" w:ascii="Times New Roman" w:hAnsi="Times New Roman" w:eastAsia="方正小标宋简体" w:cstheme="minorBidi"/>
          <w:snapToGrid w:val="0"/>
          <w:color w:val="auto"/>
          <w:kern w:val="44"/>
          <w:sz w:val="44"/>
          <w:szCs w:val="24"/>
          <w:u w:val="none"/>
          <w:lang w:val="en-US" w:eastAsia="zh-CN" w:bidi="ar-SA"/>
        </w:rPr>
      </w:pPr>
      <w:r>
        <w:rPr>
          <w:rFonts w:hint="eastAsia" w:ascii="Times New Roman" w:hAnsi="Times New Roman" w:eastAsia="方正小标宋简体" w:cstheme="minorBidi"/>
          <w:snapToGrid w:val="0"/>
          <w:color w:val="auto"/>
          <w:kern w:val="44"/>
          <w:sz w:val="44"/>
          <w:szCs w:val="24"/>
          <w:u w:val="none"/>
          <w:lang w:val="en-US" w:eastAsia="zh-CN" w:bidi="ar-SA"/>
        </w:rPr>
        <w:t>德化县2025年预算执行情况</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80" w:lineRule="exact"/>
        <w:ind w:left="0" w:leftChars="0" w:right="0" w:rightChars="0" w:firstLine="0" w:firstLineChars="0"/>
        <w:jc w:val="center"/>
        <w:textAlignment w:val="auto"/>
        <w:outlineLvl w:val="0"/>
        <w:rPr>
          <w:rFonts w:hint="eastAsia" w:ascii="Times New Roman" w:hAnsi="Times New Roman" w:eastAsia="方正小标宋简体" w:cstheme="minorBidi"/>
          <w:snapToGrid w:val="0"/>
          <w:color w:val="auto"/>
          <w:kern w:val="44"/>
          <w:sz w:val="44"/>
          <w:szCs w:val="24"/>
          <w:u w:val="none"/>
          <w:lang w:val="en-US" w:eastAsia="zh-CN" w:bidi="ar-SA"/>
        </w:rPr>
      </w:pPr>
      <w:r>
        <w:rPr>
          <w:rFonts w:hint="eastAsia" w:ascii="Times New Roman" w:hAnsi="Times New Roman" w:eastAsia="方正小标宋简体" w:cstheme="minorBidi"/>
          <w:snapToGrid w:val="0"/>
          <w:color w:val="auto"/>
          <w:kern w:val="44"/>
          <w:sz w:val="44"/>
          <w:szCs w:val="24"/>
          <w:u w:val="none"/>
          <w:lang w:val="en-US" w:eastAsia="zh-CN" w:bidi="ar-SA"/>
        </w:rPr>
        <w:t>和2026年预算（草案）的报告</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rPr>
          <w:rFonts w:hint="eastAsia" w:ascii="Times New Roman" w:hAnsi="Times New Roman" w:eastAsia="楷体_GB2312" w:cs="楷体_GB2312"/>
          <w:color w:val="auto"/>
          <w:sz w:val="32"/>
          <w:u w:val="none"/>
        </w:rPr>
      </w:pPr>
      <w:r>
        <w:rPr>
          <w:rFonts w:hint="default" w:ascii="Times New Roman" w:hAnsi="Times New Roman" w:eastAsia="楷体_GB2312" w:cs="Times New Roman"/>
          <w:color w:val="auto"/>
          <w:u w:val="none"/>
        </w:rPr>
        <w:t>——</w:t>
      </w:r>
      <w:r>
        <w:rPr>
          <w:rFonts w:hint="eastAsia" w:ascii="Times New Roman" w:hAnsi="Times New Roman" w:eastAsia="楷体_GB2312" w:cs="楷体_GB2312"/>
          <w:color w:val="auto"/>
          <w:sz w:val="32"/>
          <w:u w:val="none"/>
        </w:rPr>
        <w:t>202</w:t>
      </w:r>
      <w:r>
        <w:rPr>
          <w:rFonts w:hint="eastAsia" w:ascii="Times New Roman" w:hAnsi="Times New Roman" w:eastAsia="楷体_GB2312" w:cs="楷体_GB2312"/>
          <w:color w:val="auto"/>
          <w:sz w:val="32"/>
          <w:u w:val="none"/>
          <w:lang w:val="en-US" w:eastAsia="zh-CN"/>
        </w:rPr>
        <w:t>5</w:t>
      </w:r>
      <w:r>
        <w:rPr>
          <w:rFonts w:hint="eastAsia" w:ascii="Times New Roman" w:hAnsi="Times New Roman" w:eastAsia="楷体_GB2312" w:cs="楷体_GB2312"/>
          <w:color w:val="auto"/>
          <w:sz w:val="32"/>
          <w:u w:val="none"/>
        </w:rPr>
        <w:t>年12月</w:t>
      </w:r>
      <w:r>
        <w:rPr>
          <w:rFonts w:hint="eastAsia" w:ascii="Times New Roman" w:hAnsi="Times New Roman" w:eastAsia="楷体_GB2312" w:cs="楷体_GB2312"/>
          <w:color w:val="auto"/>
          <w:sz w:val="32"/>
          <w:u w:val="none"/>
          <w:lang w:val="en-US" w:eastAsia="zh-CN"/>
        </w:rPr>
        <w:t>23</w:t>
      </w:r>
      <w:r>
        <w:rPr>
          <w:rFonts w:hint="eastAsia" w:ascii="Times New Roman" w:hAnsi="Times New Roman" w:eastAsia="楷体_GB2312" w:cs="楷体_GB2312"/>
          <w:color w:val="auto"/>
          <w:sz w:val="32"/>
          <w:u w:val="none"/>
        </w:rPr>
        <w:t>日在德化县第十九届</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rPr>
          <w:rFonts w:hint="eastAsia" w:ascii="Times New Roman" w:hAnsi="Times New Roman" w:eastAsia="楷体_GB2312" w:cs="楷体_GB2312"/>
          <w:color w:val="auto"/>
          <w:sz w:val="32"/>
          <w:u w:val="none"/>
        </w:rPr>
      </w:pPr>
      <w:r>
        <w:rPr>
          <w:rFonts w:hint="eastAsia" w:ascii="Times New Roman" w:hAnsi="Times New Roman" w:eastAsia="楷体_GB2312" w:cs="楷体_GB2312"/>
          <w:color w:val="auto"/>
          <w:sz w:val="32"/>
          <w:u w:val="none"/>
        </w:rPr>
        <w:t>人民代表大会第</w:t>
      </w:r>
      <w:r>
        <w:rPr>
          <w:rFonts w:hint="eastAsia" w:ascii="Times New Roman" w:hAnsi="Times New Roman" w:eastAsia="楷体_GB2312" w:cs="楷体_GB2312"/>
          <w:color w:val="auto"/>
          <w:sz w:val="32"/>
          <w:u w:val="none"/>
          <w:lang w:val="en-US" w:eastAsia="zh-CN"/>
        </w:rPr>
        <w:t>六</w:t>
      </w:r>
      <w:r>
        <w:rPr>
          <w:rFonts w:hint="eastAsia" w:ascii="Times New Roman" w:hAnsi="Times New Roman" w:eastAsia="楷体_GB2312" w:cs="楷体_GB2312"/>
          <w:color w:val="auto"/>
          <w:sz w:val="32"/>
          <w:u w:val="none"/>
        </w:rPr>
        <w:t>次会议上</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rPr>
          <w:rFonts w:hint="default" w:ascii="Times New Roman" w:hAnsi="Times New Roman" w:eastAsia="楷体_GB2312" w:cs="楷体_GB2312"/>
          <w:color w:val="auto"/>
          <w:sz w:val="32"/>
          <w:u w:val="none"/>
          <w:lang w:val="en-US" w:eastAsia="zh-CN"/>
        </w:rPr>
      </w:pPr>
      <w:r>
        <w:rPr>
          <w:rFonts w:hint="eastAsia" w:ascii="Times New Roman" w:hAnsi="Times New Roman" w:eastAsia="楷体_GB2312" w:cs="楷体_GB2312"/>
          <w:color w:val="auto"/>
          <w:sz w:val="32"/>
          <w:u w:val="none"/>
        </w:rPr>
        <w:t>德化县财政局局长</w:t>
      </w:r>
      <w:r>
        <w:rPr>
          <w:rFonts w:hint="eastAsia" w:eastAsia="楷体_GB2312" w:cs="楷体_GB2312"/>
          <w:color w:val="auto"/>
          <w:sz w:val="32"/>
          <w:u w:val="none"/>
          <w:lang w:val="en-US" w:eastAsia="zh-CN"/>
        </w:rPr>
        <w:t xml:space="preserve">  </w:t>
      </w:r>
      <w:r>
        <w:rPr>
          <w:rFonts w:hint="eastAsia" w:ascii="Times New Roman" w:hAnsi="Times New Roman" w:eastAsia="楷体_GB2312" w:cs="楷体_GB2312"/>
          <w:color w:val="auto"/>
          <w:sz w:val="32"/>
          <w:u w:val="none"/>
          <w:lang w:val="en-US" w:eastAsia="zh-CN"/>
        </w:rPr>
        <w:t>林其粮</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Times New Roman" w:hAnsi="Times New Roman" w:eastAsia="仿宋_GB2312" w:cs="仿宋_GB2312"/>
          <w:color w:val="auto"/>
          <w:highlight w:val="none"/>
          <w:u w:val="none"/>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eastAsia="仿宋_GB2312" w:cs="仿宋_GB2312"/>
          <w:color w:val="auto"/>
          <w:highlight w:val="none"/>
          <w:u w:val="none"/>
        </w:rPr>
        <w:t>各位代表：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cs="仿宋_GB2312"/>
          <w:color w:val="auto"/>
          <w:highlight w:val="none"/>
          <w:u w:val="none"/>
          <w:lang w:val="en-US" w:eastAsia="zh-CN"/>
        </w:rPr>
        <w:t xml:space="preserve">    </w:t>
      </w:r>
      <w:r>
        <w:rPr>
          <w:rFonts w:hint="eastAsia" w:ascii="Times New Roman" w:hAnsi="Times New Roman" w:eastAsia="仿宋_GB2312" w:cs="仿宋_GB2312"/>
          <w:color w:val="auto"/>
          <w:highlight w:val="none"/>
          <w:u w:val="none"/>
        </w:rPr>
        <w:t>受县人民政府委托，现将德化县202</w:t>
      </w:r>
      <w:r>
        <w:rPr>
          <w:rFonts w:hint="eastAsia" w:ascii="Times New Roman" w:hAnsi="Times New Roman" w:cs="仿宋_GB2312"/>
          <w:color w:val="auto"/>
          <w:highlight w:val="none"/>
          <w:u w:val="none"/>
          <w:lang w:val="en-US" w:eastAsia="zh-CN"/>
        </w:rPr>
        <w:t>5</w:t>
      </w:r>
      <w:r>
        <w:rPr>
          <w:rFonts w:hint="eastAsia" w:ascii="Times New Roman" w:hAnsi="Times New Roman" w:eastAsia="仿宋_GB2312" w:cs="仿宋_GB2312"/>
          <w:color w:val="auto"/>
          <w:highlight w:val="none"/>
          <w:u w:val="none"/>
        </w:rPr>
        <w:t>年预算执行情况和202</w:t>
      </w:r>
      <w:r>
        <w:rPr>
          <w:rFonts w:hint="eastAsia" w:ascii="Times New Roman" w:hAnsi="Times New Roman" w:cs="仿宋_GB2312"/>
          <w:color w:val="auto"/>
          <w:highlight w:val="none"/>
          <w:u w:val="none"/>
          <w:lang w:val="en-US" w:eastAsia="zh-CN"/>
        </w:rPr>
        <w:t>6</w:t>
      </w:r>
      <w:r>
        <w:rPr>
          <w:rFonts w:hint="eastAsia" w:ascii="Times New Roman" w:hAnsi="Times New Roman" w:eastAsia="仿宋_GB2312" w:cs="仿宋_GB2312"/>
          <w:color w:val="auto"/>
          <w:highlight w:val="none"/>
          <w:u w:val="none"/>
        </w:rPr>
        <w:t>年预算草案提请县第十九届人民代表大会第</w:t>
      </w:r>
      <w:r>
        <w:rPr>
          <w:rFonts w:hint="eastAsia" w:ascii="Times New Roman" w:hAnsi="Times New Roman" w:cs="仿宋_GB2312"/>
          <w:color w:val="auto"/>
          <w:highlight w:val="none"/>
          <w:u w:val="none"/>
          <w:lang w:val="en-US" w:eastAsia="zh-CN"/>
        </w:rPr>
        <w:t>六</w:t>
      </w:r>
      <w:r>
        <w:rPr>
          <w:rFonts w:hint="eastAsia" w:ascii="Times New Roman" w:hAnsi="Times New Roman" w:eastAsia="仿宋_GB2312" w:cs="仿宋_GB2312"/>
          <w:color w:val="auto"/>
          <w:highlight w:val="none"/>
          <w:u w:val="none"/>
        </w:rPr>
        <w:t>次会议审议，并请各位政协委员和列席人员提出意见。</w:t>
      </w:r>
    </w:p>
    <w:p>
      <w:pPr>
        <w:pStyle w:val="4"/>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both"/>
        <w:textAlignment w:val="auto"/>
        <w:rPr>
          <w:rFonts w:hint="eastAsia" w:ascii="Times New Roman" w:hAnsi="Times New Roman"/>
          <w:color w:val="auto"/>
          <w:highlight w:val="none"/>
          <w:u w:val="none"/>
        </w:rPr>
      </w:pP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none"/>
        </w:rPr>
        <w:t>一、202</w:t>
      </w:r>
      <w:r>
        <w:rPr>
          <w:rFonts w:hint="eastAsia" w:ascii="Times New Roman" w:hAnsi="Times New Roman"/>
          <w:color w:val="auto"/>
          <w:highlight w:val="none"/>
          <w:u w:val="none"/>
          <w:lang w:val="en-US" w:eastAsia="zh-CN"/>
        </w:rPr>
        <w:t>5</w:t>
      </w:r>
      <w:r>
        <w:rPr>
          <w:rFonts w:hint="eastAsia" w:ascii="Times New Roman" w:hAnsi="Times New Roman"/>
          <w:color w:val="auto"/>
          <w:highlight w:val="none"/>
          <w:u w:val="none"/>
        </w:rPr>
        <w:t>年预算执行情况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1" w:firstLineChars="0"/>
        <w:jc w:val="both"/>
        <w:textAlignment w:val="auto"/>
        <w:rPr>
          <w:rFonts w:hint="eastAsia" w:ascii="Times New Roman" w:hAnsi="Times New Roman" w:eastAsia="仿宋_GB2312" w:cs="仿宋_GB2312"/>
          <w:color w:val="auto"/>
          <w:spacing w:val="6"/>
          <w:highlight w:val="none"/>
          <w:u w:val="none"/>
        </w:rPr>
      </w:pPr>
      <w:r>
        <w:rPr>
          <w:rFonts w:hint="eastAsia" w:ascii="Times New Roman" w:hAnsi="Times New Roman" w:cs="仿宋_GB2312"/>
          <w:color w:val="auto"/>
          <w:spacing w:val="6"/>
          <w:highlight w:val="none"/>
          <w:u w:val="none"/>
          <w:lang w:val="en-US" w:eastAsia="zh-CN"/>
        </w:rPr>
        <w:t>2025年</w:t>
      </w:r>
      <w:r>
        <w:rPr>
          <w:rFonts w:hint="eastAsia" w:ascii="Times New Roman" w:hAnsi="Times New Roman" w:eastAsia="仿宋_GB2312" w:cs="仿宋_GB2312"/>
          <w:color w:val="auto"/>
          <w:spacing w:val="6"/>
          <w:highlight w:val="none"/>
          <w:u w:val="none"/>
        </w:rPr>
        <w:t>在县委的坚强领导下，在县人大、县政协的监督支持下，各级各部门以习近平新时代中国特色社会主义思想为指导，</w:t>
      </w:r>
      <w:r>
        <w:rPr>
          <w:rFonts w:hint="eastAsia" w:cs="仿宋_GB2312"/>
          <w:color w:val="auto"/>
          <w:spacing w:val="6"/>
          <w:highlight w:val="none"/>
          <w:u w:val="none"/>
          <w:lang w:val="en-US" w:eastAsia="zh-CN"/>
        </w:rPr>
        <w:t>全面</w:t>
      </w:r>
      <w:r>
        <w:rPr>
          <w:rFonts w:hint="eastAsia" w:ascii="Times New Roman" w:hAnsi="Times New Roman" w:eastAsia="仿宋_GB2312" w:cs="仿宋_GB2312"/>
          <w:color w:val="auto"/>
          <w:spacing w:val="6"/>
          <w:highlight w:val="none"/>
          <w:u w:val="none"/>
        </w:rPr>
        <w:t>贯彻</w:t>
      </w:r>
      <w:r>
        <w:rPr>
          <w:rFonts w:hint="eastAsia" w:cs="仿宋_GB2312"/>
          <w:color w:val="auto"/>
          <w:spacing w:val="6"/>
          <w:highlight w:val="none"/>
          <w:u w:val="none"/>
          <w:lang w:eastAsia="zh-CN"/>
        </w:rPr>
        <w:t>落实</w:t>
      </w:r>
      <w:r>
        <w:rPr>
          <w:rFonts w:hint="eastAsia" w:ascii="Times New Roman" w:hAnsi="Times New Roman" w:eastAsia="仿宋_GB2312" w:cs="仿宋_GB2312"/>
          <w:color w:val="auto"/>
          <w:spacing w:val="6"/>
          <w:highlight w:val="none"/>
          <w:u w:val="none"/>
        </w:rPr>
        <w:t>党的二十大和二十届</w:t>
      </w:r>
      <w:r>
        <w:rPr>
          <w:rFonts w:hint="eastAsia" w:cs="仿宋_GB2312"/>
          <w:color w:val="auto"/>
          <w:spacing w:val="6"/>
          <w:highlight w:val="none"/>
          <w:u w:val="none"/>
          <w:lang w:val="en-US" w:eastAsia="zh-CN"/>
        </w:rPr>
        <w:t>历次</w:t>
      </w:r>
      <w:r>
        <w:rPr>
          <w:rFonts w:hint="eastAsia" w:ascii="Times New Roman" w:hAnsi="Times New Roman" w:eastAsia="仿宋_GB2312" w:cs="仿宋_GB2312"/>
          <w:color w:val="auto"/>
          <w:spacing w:val="6"/>
          <w:highlight w:val="none"/>
          <w:u w:val="none"/>
        </w:rPr>
        <w:t>全会精神，深入学习贯彻习近平总书记在福建考察时的重要讲话精神，</w:t>
      </w:r>
      <w:r>
        <w:rPr>
          <w:rFonts w:hint="eastAsia" w:cs="仿宋_GB2312"/>
          <w:color w:val="auto"/>
          <w:spacing w:val="6"/>
          <w:highlight w:val="none"/>
          <w:u w:val="none"/>
          <w:lang w:eastAsia="zh-CN"/>
        </w:rPr>
        <w:t>创新发展“晋江经验”，</w:t>
      </w:r>
      <w:r>
        <w:rPr>
          <w:rFonts w:hint="eastAsia" w:ascii="Times New Roman" w:hAnsi="Times New Roman" w:eastAsia="仿宋_GB2312" w:cs="仿宋_GB2312"/>
          <w:color w:val="auto"/>
          <w:spacing w:val="6"/>
          <w:highlight w:val="none"/>
          <w:u w:val="none"/>
        </w:rPr>
        <w:t>持续深化拓展“三争”行动，深入开展“奋勇争先、建功瓷都”激励行动，坚持实施更加积极</w:t>
      </w:r>
      <w:r>
        <w:rPr>
          <w:rFonts w:hint="eastAsia" w:cs="仿宋_GB2312"/>
          <w:color w:val="auto"/>
          <w:spacing w:val="6"/>
          <w:highlight w:val="none"/>
          <w:u w:val="none"/>
          <w:lang w:val="en-US" w:eastAsia="zh-CN"/>
        </w:rPr>
        <w:t>的</w:t>
      </w:r>
      <w:r>
        <w:rPr>
          <w:rFonts w:hint="eastAsia" w:ascii="Times New Roman" w:hAnsi="Times New Roman" w:eastAsia="仿宋_GB2312" w:cs="仿宋_GB2312"/>
          <w:color w:val="auto"/>
          <w:spacing w:val="6"/>
          <w:highlight w:val="none"/>
          <w:u w:val="none"/>
        </w:rPr>
        <w:t>财政政策，持续用力</w:t>
      </w:r>
      <w:r>
        <w:rPr>
          <w:rFonts w:hint="eastAsia" w:cs="仿宋_GB2312"/>
          <w:color w:val="auto"/>
          <w:spacing w:val="6"/>
          <w:highlight w:val="none"/>
          <w:u w:val="none"/>
          <w:lang w:eastAsia="zh-CN"/>
        </w:rPr>
        <w:t>、</w:t>
      </w:r>
      <w:r>
        <w:rPr>
          <w:rFonts w:hint="eastAsia" w:ascii="Times New Roman" w:hAnsi="Times New Roman" w:eastAsia="仿宋_GB2312" w:cs="仿宋_GB2312"/>
          <w:color w:val="auto"/>
          <w:spacing w:val="6"/>
          <w:highlight w:val="none"/>
          <w:u w:val="none"/>
        </w:rPr>
        <w:t>更加给力，</w:t>
      </w:r>
      <w:r>
        <w:rPr>
          <w:rFonts w:hint="eastAsia" w:ascii="Times New Roman" w:hAnsi="Times New Roman" w:cs="仿宋_GB2312"/>
          <w:color w:val="auto"/>
          <w:spacing w:val="6"/>
          <w:highlight w:val="none"/>
          <w:u w:val="none"/>
          <w:lang w:val="en-US" w:eastAsia="zh-CN"/>
        </w:rPr>
        <w:t>推动财政收入平稳增长</w:t>
      </w:r>
      <w:r>
        <w:rPr>
          <w:rFonts w:hint="eastAsia" w:cs="仿宋_GB2312"/>
          <w:color w:val="auto"/>
          <w:spacing w:val="6"/>
          <w:highlight w:val="none"/>
          <w:u w:val="none"/>
          <w:lang w:val="en-US" w:eastAsia="zh-CN"/>
        </w:rPr>
        <w:t>，</w:t>
      </w:r>
      <w:r>
        <w:rPr>
          <w:rFonts w:hint="eastAsia" w:ascii="Times New Roman" w:hAnsi="Times New Roman" w:cs="仿宋_GB2312"/>
          <w:color w:val="auto"/>
          <w:spacing w:val="6"/>
          <w:highlight w:val="none"/>
          <w:u w:val="none"/>
          <w:lang w:val="en-US" w:eastAsia="zh-CN"/>
        </w:rPr>
        <w:t>财政支出加力提效</w:t>
      </w:r>
      <w:r>
        <w:rPr>
          <w:rFonts w:hint="eastAsia" w:cs="仿宋_GB2312"/>
          <w:color w:val="auto"/>
          <w:spacing w:val="6"/>
          <w:highlight w:val="none"/>
          <w:u w:val="none"/>
          <w:lang w:val="en-US" w:eastAsia="zh-CN"/>
        </w:rPr>
        <w:t>，</w:t>
      </w:r>
      <w:r>
        <w:rPr>
          <w:rFonts w:hint="eastAsia" w:ascii="Times New Roman" w:hAnsi="Times New Roman" w:cs="仿宋_GB2312"/>
          <w:color w:val="auto"/>
          <w:spacing w:val="6"/>
          <w:highlight w:val="none"/>
          <w:u w:val="none"/>
          <w:lang w:val="en-US" w:eastAsia="zh-CN"/>
        </w:rPr>
        <w:t>财政管理持续</w:t>
      </w:r>
      <w:r>
        <w:rPr>
          <w:rFonts w:hint="eastAsia" w:cs="仿宋_GB2312"/>
          <w:color w:val="auto"/>
          <w:spacing w:val="6"/>
          <w:highlight w:val="none"/>
          <w:u w:val="none"/>
          <w:lang w:val="en-US" w:eastAsia="zh-CN"/>
        </w:rPr>
        <w:t>优化，</w:t>
      </w:r>
      <w:r>
        <w:rPr>
          <w:rFonts w:hint="eastAsia" w:ascii="Times New Roman" w:hAnsi="Times New Roman" w:eastAsia="仿宋_GB2312" w:cs="仿宋_GB2312"/>
          <w:color w:val="auto"/>
          <w:spacing w:val="6"/>
          <w:highlight w:val="none"/>
          <w:u w:val="none"/>
        </w:rPr>
        <w:t>为</w:t>
      </w:r>
      <w:r>
        <w:rPr>
          <w:rFonts w:hint="eastAsia" w:ascii="Times New Roman" w:hAnsi="Times New Roman" w:cs="仿宋_GB2312"/>
          <w:color w:val="auto"/>
          <w:spacing w:val="6"/>
          <w:highlight w:val="none"/>
          <w:u w:val="none"/>
          <w:lang w:val="en-US" w:eastAsia="zh-CN"/>
        </w:rPr>
        <w:t>全县经济社会高质量发展</w:t>
      </w:r>
      <w:r>
        <w:rPr>
          <w:rFonts w:hint="eastAsia" w:ascii="Times New Roman" w:hAnsi="Times New Roman" w:eastAsia="仿宋_GB2312" w:cs="仿宋_GB2312"/>
          <w:color w:val="auto"/>
          <w:spacing w:val="6"/>
          <w:highlight w:val="none"/>
          <w:u w:val="none"/>
        </w:rPr>
        <w:t>提供强有力的财政保障。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0"/>
        <w:jc w:val="both"/>
        <w:textAlignment w:val="auto"/>
        <w:rPr>
          <w:rFonts w:hint="eastAsia" w:ascii="Times New Roman" w:hAnsi="Times New Roman" w:eastAsia="楷体_GB2312" w:cs="楷体_GB2312"/>
          <w:b/>
          <w:bCs/>
          <w:color w:val="auto"/>
          <w:highlight w:val="none"/>
          <w:u w:val="none"/>
        </w:rPr>
      </w:pPr>
      <w:r>
        <w:rPr>
          <w:rFonts w:hint="eastAsia" w:ascii="Times New Roman" w:hAnsi="Times New Roman" w:eastAsia="楷体_GB2312" w:cs="楷体_GB2312"/>
          <w:b/>
          <w:bCs/>
          <w:color w:val="auto"/>
          <w:highlight w:val="none"/>
          <w:u w:val="none"/>
        </w:rPr>
        <w:t>（一）预算收支情况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cs="仿宋_GB2312"/>
          <w:b/>
          <w:bCs/>
          <w:color w:val="auto"/>
          <w:highlight w:val="none"/>
          <w:u w:val="none"/>
          <w:lang w:val="en-US" w:eastAsia="zh-CN"/>
        </w:rPr>
        <w:t xml:space="preserve">    </w:t>
      </w:r>
      <w:r>
        <w:rPr>
          <w:rFonts w:hint="eastAsia" w:ascii="Times New Roman" w:hAnsi="Times New Roman" w:eastAsia="仿宋_GB2312" w:cs="仿宋_GB2312"/>
          <w:b/>
          <w:bCs/>
          <w:color w:val="auto"/>
          <w:highlight w:val="none"/>
          <w:u w:val="none"/>
        </w:rPr>
        <w:t>1.一般公共预算：</w:t>
      </w:r>
      <w:r>
        <w:rPr>
          <w:rFonts w:hint="eastAsia" w:ascii="Times New Roman" w:hAnsi="Times New Roman" w:eastAsia="仿宋_GB2312" w:cs="仿宋_GB2312"/>
          <w:color w:val="auto"/>
          <w:highlight w:val="none"/>
          <w:u w:val="none"/>
        </w:rPr>
        <w:t>全县一般公共预算总收入</w:t>
      </w:r>
      <w:r>
        <w:rPr>
          <w:rFonts w:hint="eastAsia" w:cs="仿宋_GB2312"/>
          <w:color w:val="auto"/>
          <w:highlight w:val="none"/>
          <w:u w:val="none"/>
          <w:lang w:val="en-US" w:eastAsia="zh-CN"/>
        </w:rPr>
        <w:t>27.54</w:t>
      </w:r>
      <w:r>
        <w:rPr>
          <w:rFonts w:hint="eastAsia" w:ascii="Times New Roman" w:hAnsi="Times New Roman" w:eastAsia="仿宋_GB2312" w:cs="仿宋_GB2312"/>
          <w:color w:val="auto"/>
          <w:highlight w:val="none"/>
          <w:u w:val="none"/>
        </w:rPr>
        <w:t>亿元（预计完成数，下同），比上年增长</w:t>
      </w:r>
      <w:r>
        <w:rPr>
          <w:rFonts w:hint="eastAsia" w:cs="仿宋_GB2312"/>
          <w:color w:val="auto"/>
          <w:highlight w:val="none"/>
          <w:u w:val="none"/>
          <w:lang w:val="en-US" w:eastAsia="zh-CN"/>
        </w:rPr>
        <w:t>2</w:t>
      </w:r>
      <w:r>
        <w:rPr>
          <w:rFonts w:hint="eastAsia" w:ascii="Times New Roman" w:hAnsi="Times New Roman" w:eastAsia="仿宋_GB2312" w:cs="仿宋_GB2312"/>
          <w:color w:val="auto"/>
          <w:highlight w:val="none"/>
          <w:u w:val="none"/>
        </w:rPr>
        <w:t>%，其中一般公共预算收入</w:t>
      </w:r>
      <w:r>
        <w:rPr>
          <w:rFonts w:hint="eastAsia" w:cs="仿宋_GB2312"/>
          <w:color w:val="auto"/>
          <w:highlight w:val="none"/>
          <w:u w:val="none"/>
          <w:lang w:val="en-US" w:eastAsia="zh-CN"/>
        </w:rPr>
        <w:t>19.69</w:t>
      </w:r>
      <w:r>
        <w:rPr>
          <w:rFonts w:hint="eastAsia" w:ascii="Times New Roman" w:hAnsi="Times New Roman" w:eastAsia="仿宋_GB2312" w:cs="仿宋_GB2312"/>
          <w:color w:val="auto"/>
          <w:highlight w:val="none"/>
          <w:u w:val="none"/>
        </w:rPr>
        <w:t>亿元，完成调整预算的</w:t>
      </w:r>
      <w:r>
        <w:rPr>
          <w:rFonts w:hint="eastAsia" w:cs="仿宋_GB2312"/>
          <w:color w:val="auto"/>
          <w:highlight w:val="none"/>
          <w:u w:val="none"/>
          <w:lang w:val="en-US" w:eastAsia="zh-CN"/>
        </w:rPr>
        <w:t>100</w:t>
      </w:r>
      <w:r>
        <w:rPr>
          <w:rFonts w:hint="eastAsia" w:ascii="Times New Roman" w:hAnsi="Times New Roman" w:eastAsia="仿宋_GB2312" w:cs="仿宋_GB2312"/>
          <w:color w:val="auto"/>
          <w:highlight w:val="none"/>
          <w:u w:val="none"/>
        </w:rPr>
        <w:t>%，比上年增长</w:t>
      </w:r>
      <w:r>
        <w:rPr>
          <w:rFonts w:hint="eastAsia" w:cs="仿宋_GB2312"/>
          <w:color w:val="auto"/>
          <w:highlight w:val="none"/>
          <w:u w:val="none"/>
          <w:lang w:val="en-US" w:eastAsia="zh-CN"/>
        </w:rPr>
        <w:t>3</w:t>
      </w:r>
      <w:r>
        <w:rPr>
          <w:rFonts w:hint="eastAsia" w:ascii="Times New Roman" w:hAnsi="Times New Roman" w:eastAsia="仿宋_GB2312" w:cs="仿宋_GB2312"/>
          <w:color w:val="auto"/>
          <w:highlight w:val="none"/>
          <w:u w:val="none"/>
        </w:rPr>
        <w:t>%。全县一般公共预算支出</w:t>
      </w:r>
      <w:r>
        <w:rPr>
          <w:rFonts w:hint="eastAsia" w:cs="仿宋_GB2312"/>
          <w:color w:val="auto"/>
          <w:highlight w:val="none"/>
          <w:u w:val="none"/>
          <w:lang w:val="en-US" w:eastAsia="zh-CN"/>
        </w:rPr>
        <w:t>42.93</w:t>
      </w:r>
      <w:r>
        <w:rPr>
          <w:rFonts w:hint="eastAsia" w:ascii="Times New Roman" w:hAnsi="Times New Roman" w:eastAsia="仿宋_GB2312" w:cs="仿宋_GB2312"/>
          <w:color w:val="auto"/>
          <w:highlight w:val="none"/>
          <w:u w:val="none"/>
        </w:rPr>
        <w:t>亿元，比上年增长</w:t>
      </w:r>
      <w:r>
        <w:rPr>
          <w:rFonts w:hint="eastAsia" w:cs="仿宋_GB2312"/>
          <w:color w:val="auto"/>
          <w:highlight w:val="none"/>
          <w:u w:val="none"/>
          <w:lang w:val="en-US" w:eastAsia="zh-CN"/>
        </w:rPr>
        <w:t>7.9</w:t>
      </w:r>
      <w:r>
        <w:rPr>
          <w:rFonts w:hint="eastAsia" w:ascii="Times New Roman" w:hAnsi="Times New Roman" w:eastAsia="仿宋_GB2312" w:cs="仿宋_GB2312"/>
          <w:color w:val="auto"/>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cs="仿宋_GB2312"/>
          <w:b/>
          <w:bCs/>
          <w:color w:val="auto"/>
          <w:highlight w:val="none"/>
          <w:u w:val="none"/>
          <w:lang w:val="en-US" w:eastAsia="zh-CN"/>
        </w:rPr>
        <w:t xml:space="preserve">    </w:t>
      </w:r>
      <w:r>
        <w:rPr>
          <w:rFonts w:hint="eastAsia" w:ascii="Times New Roman" w:hAnsi="Times New Roman" w:eastAsia="仿宋_GB2312" w:cs="仿宋_GB2312"/>
          <w:b/>
          <w:bCs/>
          <w:color w:val="auto"/>
          <w:highlight w:val="none"/>
          <w:u w:val="none"/>
        </w:rPr>
        <w:t>2.政府性基金预算：</w:t>
      </w:r>
      <w:r>
        <w:rPr>
          <w:rFonts w:hint="eastAsia" w:ascii="Times New Roman" w:hAnsi="Times New Roman" w:eastAsia="仿宋_GB2312" w:cs="仿宋_GB2312"/>
          <w:color w:val="auto"/>
          <w:highlight w:val="none"/>
          <w:u w:val="none"/>
        </w:rPr>
        <w:t>全县政府性基金收入</w:t>
      </w:r>
      <w:r>
        <w:rPr>
          <w:rFonts w:hint="eastAsia" w:cs="仿宋_GB2312"/>
          <w:color w:val="auto"/>
          <w:highlight w:val="none"/>
          <w:u w:val="none"/>
          <w:lang w:val="en-US" w:eastAsia="zh-CN"/>
        </w:rPr>
        <w:t>9.8</w:t>
      </w:r>
      <w:r>
        <w:rPr>
          <w:rFonts w:hint="eastAsia" w:ascii="Times New Roman" w:hAnsi="Times New Roman" w:eastAsia="仿宋_GB2312" w:cs="仿宋_GB2312"/>
          <w:color w:val="auto"/>
          <w:highlight w:val="none"/>
          <w:u w:val="none"/>
        </w:rPr>
        <w:t>亿元；政府性基金支出</w:t>
      </w:r>
      <w:r>
        <w:rPr>
          <w:rFonts w:hint="eastAsia" w:cs="仿宋_GB2312"/>
          <w:color w:val="auto"/>
          <w:highlight w:val="none"/>
          <w:u w:val="none"/>
          <w:lang w:val="en-US" w:eastAsia="zh-CN"/>
        </w:rPr>
        <w:t>22.2</w:t>
      </w:r>
      <w:r>
        <w:rPr>
          <w:rFonts w:hint="eastAsia" w:ascii="Times New Roman" w:hAnsi="Times New Roman" w:eastAsia="仿宋_GB2312" w:cs="仿宋_GB2312"/>
          <w:color w:val="auto"/>
          <w:highlight w:val="none"/>
          <w:u w:val="none"/>
        </w:rPr>
        <w:t>亿元。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cs="仿宋_GB2312"/>
          <w:b/>
          <w:bCs/>
          <w:color w:val="auto"/>
          <w:highlight w:val="none"/>
          <w:u w:val="none"/>
          <w:lang w:val="en-US" w:eastAsia="zh-CN"/>
        </w:rPr>
        <w:t xml:space="preserve">    </w:t>
      </w:r>
      <w:r>
        <w:rPr>
          <w:rFonts w:hint="eastAsia" w:ascii="Times New Roman" w:hAnsi="Times New Roman" w:eastAsia="仿宋_GB2312" w:cs="仿宋_GB2312"/>
          <w:b/>
          <w:bCs/>
          <w:color w:val="auto"/>
          <w:highlight w:val="none"/>
          <w:u w:val="none"/>
        </w:rPr>
        <w:t>3.国有资本经营预算：</w:t>
      </w:r>
      <w:r>
        <w:rPr>
          <w:rFonts w:hint="eastAsia" w:ascii="Times New Roman" w:hAnsi="Times New Roman" w:eastAsia="仿宋_GB2312" w:cs="仿宋_GB2312"/>
          <w:color w:val="auto"/>
          <w:highlight w:val="none"/>
          <w:u w:val="none"/>
        </w:rPr>
        <w:t>全县国有资本经营预算收入</w:t>
      </w:r>
      <w:r>
        <w:rPr>
          <w:rFonts w:hint="eastAsia" w:cs="仿宋_GB2312"/>
          <w:color w:val="auto"/>
          <w:highlight w:val="none"/>
          <w:u w:val="none"/>
          <w:lang w:val="en-US" w:eastAsia="zh-CN"/>
        </w:rPr>
        <w:t>0.06</w:t>
      </w:r>
      <w:r>
        <w:rPr>
          <w:rFonts w:hint="eastAsia" w:ascii="Times New Roman" w:hAnsi="Times New Roman" w:eastAsia="仿宋_GB2312" w:cs="仿宋_GB2312"/>
          <w:color w:val="auto"/>
          <w:highlight w:val="none"/>
          <w:u w:val="none"/>
        </w:rPr>
        <w:t>亿元；国有资本经营预算支出</w:t>
      </w:r>
      <w:r>
        <w:rPr>
          <w:rFonts w:hint="eastAsia" w:cs="仿宋_GB2312"/>
          <w:color w:val="auto"/>
          <w:highlight w:val="none"/>
          <w:u w:val="none"/>
          <w:lang w:val="en-US" w:eastAsia="zh-CN"/>
        </w:rPr>
        <w:t>0.06</w:t>
      </w:r>
      <w:r>
        <w:rPr>
          <w:rFonts w:hint="eastAsia" w:ascii="Times New Roman" w:hAnsi="Times New Roman" w:eastAsia="仿宋_GB2312" w:cs="仿宋_GB2312"/>
          <w:color w:val="auto"/>
          <w:highlight w:val="none"/>
          <w:u w:val="none"/>
        </w:rPr>
        <w:t>亿元。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cs="仿宋_GB2312"/>
          <w:b/>
          <w:bCs/>
          <w:color w:val="auto"/>
          <w:highlight w:val="none"/>
          <w:u w:val="none"/>
          <w:lang w:val="en-US" w:eastAsia="zh-CN"/>
        </w:rPr>
        <w:t xml:space="preserve">    </w:t>
      </w:r>
      <w:r>
        <w:rPr>
          <w:rFonts w:hint="eastAsia" w:ascii="Times New Roman" w:hAnsi="Times New Roman" w:eastAsia="仿宋_GB2312" w:cs="仿宋_GB2312"/>
          <w:b/>
          <w:bCs/>
          <w:color w:val="auto"/>
          <w:highlight w:val="none"/>
          <w:u w:val="none"/>
        </w:rPr>
        <w:t>4.社会保险基金预算：</w:t>
      </w:r>
      <w:r>
        <w:rPr>
          <w:rFonts w:hint="eastAsia" w:ascii="Times New Roman" w:hAnsi="Times New Roman" w:eastAsia="仿宋_GB2312" w:cs="仿宋_GB2312"/>
          <w:color w:val="auto"/>
          <w:highlight w:val="none"/>
          <w:u w:val="none"/>
        </w:rPr>
        <w:t>全县社会保险基金收入</w:t>
      </w:r>
      <w:r>
        <w:rPr>
          <w:rFonts w:hint="eastAsia" w:cs="仿宋_GB2312"/>
          <w:color w:val="auto"/>
          <w:highlight w:val="none"/>
          <w:u w:val="none"/>
          <w:lang w:val="en-US" w:eastAsia="zh-CN"/>
        </w:rPr>
        <w:t>4.08</w:t>
      </w:r>
      <w:r>
        <w:rPr>
          <w:rFonts w:hint="eastAsia" w:ascii="Times New Roman" w:hAnsi="Times New Roman" w:eastAsia="仿宋_GB2312" w:cs="仿宋_GB2312"/>
          <w:color w:val="auto"/>
          <w:highlight w:val="none"/>
          <w:u w:val="none"/>
        </w:rPr>
        <w:t>亿元；社会保险基金支出</w:t>
      </w:r>
      <w:r>
        <w:rPr>
          <w:rFonts w:hint="eastAsia" w:cs="仿宋_GB2312"/>
          <w:color w:val="auto"/>
          <w:highlight w:val="none"/>
          <w:u w:val="none"/>
          <w:lang w:val="en-US" w:eastAsia="zh-CN"/>
        </w:rPr>
        <w:t>3.65</w:t>
      </w:r>
      <w:r>
        <w:rPr>
          <w:rFonts w:hint="eastAsia" w:ascii="Times New Roman" w:hAnsi="Times New Roman" w:eastAsia="仿宋_GB2312" w:cs="仿宋_GB2312"/>
          <w:color w:val="auto"/>
          <w:highlight w:val="none"/>
          <w:u w:val="none"/>
        </w:rPr>
        <w:t>亿元。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jc w:val="both"/>
        <w:textAlignment w:val="auto"/>
        <w:rPr>
          <w:rFonts w:hint="eastAsia" w:ascii="Times New Roman" w:hAnsi="Times New Roman" w:cs="仿宋_GB2312"/>
          <w:color w:val="auto"/>
          <w:highlight w:val="none"/>
          <w:u w:val="none"/>
          <w:lang w:val="en-US" w:eastAsia="zh-CN"/>
        </w:rPr>
      </w:pPr>
      <w:r>
        <w:rPr>
          <w:rFonts w:hint="eastAsia" w:ascii="Times New Roman" w:hAnsi="Times New Roman" w:eastAsia="仿宋_GB2312" w:cs="仿宋_GB2312"/>
          <w:b/>
          <w:bCs/>
          <w:color w:val="auto"/>
          <w:highlight w:val="none"/>
          <w:u w:val="none"/>
        </w:rPr>
        <w:t>5.地方政府债务：</w:t>
      </w:r>
      <w:r>
        <w:rPr>
          <w:rFonts w:hint="eastAsia" w:ascii="Times New Roman" w:hAnsi="Times New Roman" w:eastAsia="仿宋_GB2312" w:cs="仿宋_GB2312"/>
          <w:color w:val="auto"/>
          <w:highlight w:val="none"/>
          <w:u w:val="none"/>
        </w:rPr>
        <w:t>全县政府债务余额</w:t>
      </w:r>
      <w:r>
        <w:rPr>
          <w:rFonts w:hint="eastAsia" w:cs="仿宋_GB2312"/>
          <w:color w:val="auto"/>
          <w:highlight w:val="none"/>
          <w:u w:val="none"/>
          <w:lang w:val="en-US" w:eastAsia="zh-CN"/>
        </w:rPr>
        <w:t>124.83</w:t>
      </w:r>
      <w:r>
        <w:rPr>
          <w:rFonts w:hint="eastAsia" w:ascii="Times New Roman" w:hAnsi="Times New Roman" w:eastAsia="仿宋_GB2312" w:cs="仿宋_GB2312"/>
          <w:color w:val="auto"/>
          <w:highlight w:val="none"/>
          <w:u w:val="none"/>
        </w:rPr>
        <w:t>亿元，</w:t>
      </w:r>
      <w:r>
        <w:rPr>
          <w:rFonts w:hint="eastAsia" w:ascii="Times New Roman" w:hAnsi="Times New Roman" w:cs="仿宋_GB2312"/>
          <w:color w:val="auto"/>
          <w:highlight w:val="none"/>
          <w:u w:val="none"/>
          <w:lang w:val="en-US" w:eastAsia="zh-CN"/>
        </w:rPr>
        <w:t>低于省财政厅下达的2025年债务总限额，</w:t>
      </w:r>
      <w:r>
        <w:rPr>
          <w:rFonts w:hint="eastAsia" w:ascii="Times New Roman" w:hAnsi="Times New Roman" w:eastAsia="仿宋_GB2312" w:cs="仿宋_GB2312"/>
          <w:color w:val="auto"/>
          <w:highlight w:val="none"/>
          <w:u w:val="none"/>
        </w:rPr>
        <w:t>政府举债规模适度，债务风险可控。</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jc w:val="both"/>
        <w:textAlignment w:val="auto"/>
        <w:rPr>
          <w:rFonts w:hint="eastAsia" w:ascii="Times New Roman" w:hAnsi="Times New Roman" w:eastAsia="楷体_GB2312" w:cs="楷体_GB2312"/>
          <w:color w:val="auto"/>
          <w:highlight w:val="none"/>
          <w:u w:val="none"/>
          <w:lang w:val="en-US" w:eastAsia="zh-CN"/>
        </w:rPr>
      </w:pPr>
      <w:r>
        <w:rPr>
          <w:rFonts w:hint="eastAsia" w:ascii="Times New Roman" w:hAnsi="Times New Roman" w:eastAsia="仿宋_GB2312" w:cs="仿宋_GB2312"/>
          <w:color w:val="auto"/>
          <w:highlight w:val="none"/>
          <w:u w:val="none"/>
        </w:rPr>
        <w:t>需要说明的是：由于202</w:t>
      </w:r>
      <w:r>
        <w:rPr>
          <w:rFonts w:hint="eastAsia" w:ascii="Times New Roman" w:hAnsi="Times New Roman" w:cs="仿宋_GB2312"/>
          <w:color w:val="auto"/>
          <w:highlight w:val="none"/>
          <w:u w:val="none"/>
          <w:lang w:val="en-US" w:eastAsia="zh-CN"/>
        </w:rPr>
        <w:t>5</w:t>
      </w:r>
      <w:r>
        <w:rPr>
          <w:rFonts w:hint="eastAsia" w:ascii="Times New Roman" w:hAnsi="Times New Roman" w:eastAsia="仿宋_GB2312" w:cs="仿宋_GB2312"/>
          <w:color w:val="auto"/>
          <w:highlight w:val="none"/>
          <w:u w:val="none"/>
        </w:rPr>
        <w:t>年度预算执行尚未结束，以上</w:t>
      </w:r>
      <w:r>
        <w:rPr>
          <w:rFonts w:hint="eastAsia" w:ascii="Times New Roman" w:hAnsi="Times New Roman" w:eastAsia="仿宋_GB2312" w:cs="仿宋_GB2312"/>
          <w:strike w:val="0"/>
          <w:dstrike w:val="0"/>
          <w:color w:val="auto"/>
          <w:highlight w:val="none"/>
          <w:u w:val="none"/>
        </w:rPr>
        <w:t>快报数</w:t>
      </w:r>
      <w:r>
        <w:rPr>
          <w:rFonts w:hint="eastAsia" w:ascii="Times New Roman" w:hAnsi="Times New Roman" w:eastAsia="仿宋_GB2312" w:cs="仿宋_GB2312"/>
          <w:color w:val="auto"/>
          <w:highlight w:val="none"/>
          <w:u w:val="none"/>
        </w:rPr>
        <w:t>在决算编制中可能还会有所调整，待决算编成后再报县人大常委会审批。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Times New Roman" w:hAnsi="Times New Roman" w:eastAsia="楷体_GB2312" w:cs="楷体_GB2312"/>
          <w:b/>
          <w:bCs/>
          <w:color w:val="auto"/>
          <w:highlight w:val="none"/>
          <w:u w:val="none"/>
        </w:rPr>
      </w:pPr>
      <w:r>
        <w:rPr>
          <w:rFonts w:hint="eastAsia" w:ascii="Times New Roman" w:hAnsi="Times New Roman" w:eastAsia="楷体_GB2312" w:cs="楷体_GB2312"/>
          <w:b/>
          <w:bCs/>
          <w:color w:val="auto"/>
          <w:highlight w:val="none"/>
          <w:u w:val="none"/>
          <w:lang w:val="en-US" w:eastAsia="zh-CN"/>
        </w:rPr>
        <w:t xml:space="preserve">    </w:t>
      </w:r>
      <w:r>
        <w:rPr>
          <w:rFonts w:hint="eastAsia" w:ascii="Times New Roman" w:hAnsi="Times New Roman" w:eastAsia="楷体_GB2312" w:cs="楷体_GB2312"/>
          <w:b/>
          <w:bCs/>
          <w:color w:val="auto"/>
          <w:highlight w:val="none"/>
          <w:u w:val="none"/>
        </w:rPr>
        <w:t>（二）主要工作情况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0"/>
        <w:jc w:val="both"/>
        <w:textAlignment w:val="auto"/>
        <w:rPr>
          <w:rFonts w:hint="eastAsia" w:ascii="Times New Roman" w:hAnsi="Times New Roman" w:cs="仿宋_GB2312"/>
          <w:b/>
          <w:bCs/>
          <w:color w:val="auto"/>
          <w:highlight w:val="none"/>
          <w:u w:val="none"/>
          <w:lang w:val="en-US" w:eastAsia="zh-CN"/>
        </w:rPr>
      </w:pPr>
      <w:r>
        <w:rPr>
          <w:rFonts w:hint="eastAsia" w:ascii="Times New Roman" w:hAnsi="Times New Roman" w:eastAsia="仿宋_GB2312" w:cs="仿宋_GB2312"/>
          <w:b/>
          <w:bCs/>
          <w:color w:val="auto"/>
          <w:highlight w:val="none"/>
          <w:u w:val="none"/>
        </w:rPr>
        <w:t>1.</w:t>
      </w:r>
      <w:r>
        <w:rPr>
          <w:rStyle w:val="12"/>
          <w:rFonts w:hint="eastAsia" w:ascii="Times New Roman" w:hAnsi="Times New Roman" w:eastAsia="仿宋_GB2312" w:cs="仿宋_GB2312"/>
          <w:b/>
          <w:bCs/>
          <w:i w:val="0"/>
          <w:caps w:val="0"/>
          <w:color w:val="auto"/>
          <w:spacing w:val="0"/>
          <w:sz w:val="32"/>
          <w:szCs w:val="24"/>
          <w:highlight w:val="none"/>
          <w:u w:val="none"/>
          <w:shd w:val="clear"/>
        </w:rPr>
        <w:t>坚持扩量与提质并举</w:t>
      </w:r>
      <w:r>
        <w:rPr>
          <w:rFonts w:hint="eastAsia" w:ascii="Times New Roman" w:hAnsi="Times New Roman" w:cs="仿宋_GB2312"/>
          <w:b/>
          <w:bCs/>
          <w:color w:val="auto"/>
          <w:highlight w:val="none"/>
          <w:u w:val="none"/>
          <w:lang w:val="en-US" w:eastAsia="zh-CN"/>
        </w:rPr>
        <w:t>，财政保障能力进一步</w:t>
      </w:r>
      <w:r>
        <w:rPr>
          <w:rFonts w:hint="eastAsia" w:cs="仿宋_GB2312"/>
          <w:b/>
          <w:bCs/>
          <w:color w:val="auto"/>
          <w:highlight w:val="none"/>
          <w:u w:val="none"/>
          <w:lang w:val="en-US" w:eastAsia="zh-CN"/>
        </w:rPr>
        <w:t>增强</w:t>
      </w:r>
      <w:r>
        <w:rPr>
          <w:rFonts w:hint="eastAsia" w:ascii="Times New Roman" w:hAnsi="Times New Roman" w:cs="仿宋_GB2312"/>
          <w:b/>
          <w:bCs/>
          <w:color w:val="auto"/>
          <w:highlight w:val="none"/>
          <w:u w:val="none"/>
          <w:lang w:val="en-US" w:eastAsia="zh-CN"/>
        </w:rPr>
        <w:t>。</w:t>
      </w:r>
      <w:r>
        <w:rPr>
          <w:rFonts w:hint="eastAsia" w:ascii="Times New Roman" w:hAnsi="Times New Roman"/>
          <w:b/>
          <w:bCs/>
          <w:color w:val="auto"/>
          <w:highlight w:val="none"/>
          <w:u w:val="none"/>
        </w:rPr>
        <w:t>一是</w:t>
      </w:r>
      <w:r>
        <w:rPr>
          <w:rFonts w:hint="eastAsia" w:ascii="Times New Roman" w:hAnsi="Times New Roman"/>
          <w:b/>
          <w:bCs/>
          <w:color w:val="auto"/>
          <w:highlight w:val="none"/>
          <w:u w:val="none"/>
          <w:lang w:val="en-US" w:eastAsia="zh-CN"/>
        </w:rPr>
        <w:t>持续巩固收入增长态势</w:t>
      </w:r>
      <w:r>
        <w:rPr>
          <w:rFonts w:hint="eastAsia" w:ascii="Times New Roman" w:hAnsi="Times New Roman"/>
          <w:b/>
          <w:bCs/>
          <w:color w:val="auto"/>
          <w:highlight w:val="none"/>
          <w:u w:val="none"/>
          <w:lang w:eastAsia="zh-CN"/>
        </w:rPr>
        <w:t>。</w:t>
      </w:r>
      <w:r>
        <w:rPr>
          <w:rFonts w:hint="eastAsia" w:ascii="Times New Roman" w:hAnsi="Times New Roman"/>
          <w:color w:val="auto"/>
          <w:highlight w:val="none"/>
          <w:u w:val="none"/>
          <w:lang w:val="en-US" w:eastAsia="zh-CN"/>
        </w:rPr>
        <w:t>强化财税协同、县乡联动、部门协作，聚焦重点行业、企业和项目等税源继续挖掘收入潜力，做精数智监管、</w:t>
      </w:r>
      <w:r>
        <w:rPr>
          <w:rFonts w:hint="eastAsia"/>
          <w:color w:val="auto"/>
          <w:highlight w:val="none"/>
          <w:u w:val="none"/>
          <w:lang w:val="en-US" w:eastAsia="zh-CN"/>
        </w:rPr>
        <w:t>做好纳税辅导</w:t>
      </w:r>
      <w:r>
        <w:rPr>
          <w:rFonts w:hint="eastAsia" w:ascii="Times New Roman" w:hAnsi="Times New Roman"/>
          <w:color w:val="auto"/>
          <w:highlight w:val="none"/>
          <w:u w:val="none"/>
          <w:lang w:val="en-US" w:eastAsia="zh-CN"/>
        </w:rPr>
        <w:t>，以月保季、以季保年，</w:t>
      </w:r>
      <w:bookmarkStart w:id="0" w:name="OLE_LINK2"/>
      <w:r>
        <w:rPr>
          <w:rFonts w:hint="eastAsia" w:ascii="Times New Roman" w:hAnsi="Times New Roman"/>
          <w:color w:val="auto"/>
          <w:highlight w:val="none"/>
          <w:u w:val="none"/>
          <w:lang w:val="en-US" w:eastAsia="zh-CN"/>
        </w:rPr>
        <w:t>提升税源精细化管理水平</w:t>
      </w:r>
      <w:bookmarkEnd w:id="0"/>
      <w:r>
        <w:rPr>
          <w:rFonts w:hint="eastAsia" w:ascii="Times New Roman" w:hAnsi="Times New Roman"/>
          <w:color w:val="auto"/>
          <w:highlight w:val="none"/>
          <w:u w:val="none"/>
          <w:lang w:val="en-US" w:eastAsia="zh-CN"/>
        </w:rPr>
        <w:t>，提高收入质量。全面推进非税收入精细化、规范化和科学化，严格实行收费目录清单管理，定期分析非税收入增减变化情况，</w:t>
      </w:r>
      <w:r>
        <w:rPr>
          <w:rFonts w:hint="eastAsia" w:ascii="Times New Roman" w:hAnsi="Times New Roman" w:eastAsia="仿宋_GB2312" w:cstheme="minorBidi"/>
          <w:color w:val="auto"/>
          <w:sz w:val="32"/>
          <w:szCs w:val="24"/>
          <w:highlight w:val="none"/>
          <w:u w:val="none"/>
          <w:lang w:eastAsia="zh-CN"/>
        </w:rPr>
        <w:t>充分挖掘非税</w:t>
      </w:r>
      <w:r>
        <w:rPr>
          <w:rFonts w:hint="eastAsia" w:cstheme="minorBidi"/>
          <w:color w:val="auto"/>
          <w:sz w:val="32"/>
          <w:szCs w:val="24"/>
          <w:highlight w:val="none"/>
          <w:u w:val="none"/>
          <w:lang w:val="en-US" w:eastAsia="zh-CN"/>
        </w:rPr>
        <w:t>收入</w:t>
      </w:r>
      <w:r>
        <w:rPr>
          <w:rFonts w:hint="eastAsia" w:ascii="Times New Roman" w:hAnsi="Times New Roman" w:eastAsia="仿宋_GB2312" w:cstheme="minorBidi"/>
          <w:color w:val="auto"/>
          <w:sz w:val="32"/>
          <w:szCs w:val="24"/>
          <w:highlight w:val="none"/>
          <w:u w:val="none"/>
          <w:lang w:eastAsia="zh-CN"/>
        </w:rPr>
        <w:t>空间</w:t>
      </w:r>
      <w:r>
        <w:rPr>
          <w:rFonts w:hint="eastAsia" w:ascii="Times New Roman" w:hAnsi="Times New Roman"/>
          <w:color w:val="auto"/>
          <w:highlight w:val="none"/>
          <w:u w:val="none"/>
          <w:lang w:val="en-US" w:eastAsia="zh-CN"/>
        </w:rPr>
        <w:t>。2025年全县一般公共预算总收入和一般公共预算收入增速均位居全市中上游水平。</w:t>
      </w:r>
      <w:r>
        <w:rPr>
          <w:rFonts w:hint="eastAsia" w:ascii="Times New Roman" w:hAnsi="Times New Roman"/>
          <w:b/>
          <w:bCs/>
          <w:color w:val="auto"/>
          <w:highlight w:val="none"/>
          <w:u w:val="none"/>
        </w:rPr>
        <w:t>二是</w:t>
      </w:r>
      <w:r>
        <w:rPr>
          <w:rFonts w:hint="eastAsia" w:ascii="Times New Roman" w:hAnsi="Times New Roman"/>
          <w:b/>
          <w:bCs/>
          <w:color w:val="auto"/>
          <w:highlight w:val="none"/>
          <w:u w:val="none"/>
          <w:lang w:val="en-US" w:eastAsia="zh-CN"/>
        </w:rPr>
        <w:t>持续提升向上争取成效</w:t>
      </w:r>
      <w:r>
        <w:rPr>
          <w:rFonts w:hint="eastAsia" w:ascii="Times New Roman" w:hAnsi="Times New Roman"/>
          <w:b/>
          <w:bCs/>
          <w:color w:val="auto"/>
          <w:highlight w:val="none"/>
          <w:u w:val="none"/>
          <w:lang w:eastAsia="zh-CN"/>
        </w:rPr>
        <w:t>。</w:t>
      </w:r>
      <w:r>
        <w:rPr>
          <w:rFonts w:hint="eastAsia" w:ascii="Times New Roman" w:hAnsi="Times New Roman" w:eastAsia="仿宋_GB2312"/>
          <w:color w:val="auto"/>
          <w:sz w:val="32"/>
          <w:szCs w:val="32"/>
          <w:highlight w:val="none"/>
          <w:u w:val="none"/>
        </w:rPr>
        <w:t>关注</w:t>
      </w:r>
      <w:r>
        <w:rPr>
          <w:rFonts w:hint="eastAsia"/>
          <w:color w:val="auto"/>
          <w:sz w:val="32"/>
          <w:szCs w:val="32"/>
          <w:highlight w:val="none"/>
          <w:u w:val="none"/>
          <w:lang w:val="en-US" w:eastAsia="zh-CN"/>
        </w:rPr>
        <w:t>上级</w:t>
      </w:r>
      <w:r>
        <w:rPr>
          <w:rFonts w:hint="eastAsia" w:ascii="Times New Roman" w:hAnsi="Times New Roman" w:eastAsia="仿宋_GB2312"/>
          <w:color w:val="auto"/>
          <w:sz w:val="32"/>
          <w:szCs w:val="32"/>
          <w:highlight w:val="none"/>
          <w:u w:val="none"/>
        </w:rPr>
        <w:t>宏观政策、产业政策和资金投向，紧密结合我县发展实际</w:t>
      </w:r>
      <w:r>
        <w:rPr>
          <w:rFonts w:hint="eastAsia" w:ascii="Times New Roman" w:hAnsi="Times New Roman"/>
          <w:color w:val="auto"/>
          <w:sz w:val="32"/>
          <w:szCs w:val="32"/>
          <w:highlight w:val="none"/>
          <w:u w:val="none"/>
          <w:lang w:eastAsia="zh-CN"/>
        </w:rPr>
        <w:t>，</w:t>
      </w:r>
      <w:r>
        <w:rPr>
          <w:rFonts w:hint="eastAsia" w:ascii="Times New Roman" w:hAnsi="Times New Roman"/>
          <w:color w:val="auto"/>
          <w:sz w:val="32"/>
          <w:szCs w:val="32"/>
          <w:highlight w:val="none"/>
          <w:u w:val="none"/>
          <w:lang w:val="en-US" w:eastAsia="zh-CN"/>
        </w:rPr>
        <w:t>联动各乡镇各部门</w:t>
      </w:r>
      <w:r>
        <w:rPr>
          <w:rFonts w:hint="eastAsia" w:ascii="Times New Roman" w:hAnsi="Times New Roman" w:eastAsia="仿宋" w:cs="仿宋"/>
          <w:color w:val="auto"/>
          <w:sz w:val="32"/>
          <w:szCs w:val="32"/>
          <w:highlight w:val="none"/>
          <w:u w:val="none" w:color="auto"/>
          <w:lang w:eastAsia="zh-CN"/>
        </w:rPr>
        <w:t>加力协同谋划项目</w:t>
      </w:r>
      <w:r>
        <w:rPr>
          <w:rFonts w:hint="eastAsia" w:ascii="Times New Roman" w:hAnsi="Times New Roman" w:eastAsia="仿宋_GB2312" w:cstheme="minorBidi"/>
          <w:color w:val="auto"/>
          <w:sz w:val="32"/>
          <w:szCs w:val="32"/>
          <w:highlight w:val="none"/>
          <w:u w:val="none" w:color="auto"/>
          <w:lang w:eastAsia="zh-CN"/>
        </w:rPr>
        <w:t>和申报对接，</w:t>
      </w:r>
      <w:r>
        <w:rPr>
          <w:rFonts w:hint="eastAsia" w:ascii="Times New Roman" w:hAnsi="Times New Roman"/>
          <w:color w:val="auto"/>
          <w:szCs w:val="32"/>
          <w:highlight w:val="none"/>
          <w:u w:val="none" w:color="auto"/>
          <w:lang w:eastAsia="zh-CN"/>
        </w:rPr>
        <w:t>全县共争取上级补助资金</w:t>
      </w:r>
      <w:r>
        <w:rPr>
          <w:rFonts w:hint="eastAsia"/>
          <w:color w:val="auto"/>
          <w:szCs w:val="32"/>
          <w:highlight w:val="none"/>
          <w:u w:val="none" w:color="auto"/>
          <w:lang w:val="en-US" w:eastAsia="zh-CN"/>
        </w:rPr>
        <w:t>17.83</w:t>
      </w:r>
      <w:r>
        <w:rPr>
          <w:rFonts w:hint="eastAsia" w:ascii="Times New Roman" w:hAnsi="Times New Roman"/>
          <w:color w:val="auto"/>
          <w:szCs w:val="32"/>
          <w:highlight w:val="none"/>
          <w:u w:val="none" w:color="auto"/>
          <w:lang w:eastAsia="zh-CN"/>
        </w:rPr>
        <w:t>亿元。</w:t>
      </w:r>
      <w:r>
        <w:rPr>
          <w:rFonts w:hint="eastAsia" w:cstheme="minorBidi"/>
          <w:color w:val="auto"/>
          <w:sz w:val="32"/>
          <w:szCs w:val="32"/>
          <w:highlight w:val="none"/>
          <w:u w:val="none" w:color="auto"/>
          <w:lang w:val="en-US" w:eastAsia="zh-CN"/>
        </w:rPr>
        <w:t>完善</w:t>
      </w:r>
      <w:r>
        <w:rPr>
          <w:rFonts w:hint="eastAsia" w:ascii="Times New Roman" w:hAnsi="Times New Roman" w:eastAsia="仿宋_GB2312" w:cstheme="minorBidi"/>
          <w:color w:val="auto"/>
          <w:sz w:val="32"/>
          <w:szCs w:val="32"/>
          <w:highlight w:val="none"/>
          <w:u w:val="none" w:color="auto"/>
          <w:lang w:val="en-US" w:eastAsia="zh-CN"/>
        </w:rPr>
        <w:t>优化向上争取资金奖励考评办法</w:t>
      </w:r>
      <w:r>
        <w:rPr>
          <w:rFonts w:hint="eastAsia" w:ascii="Times New Roman" w:hAnsi="Times New Roman" w:eastAsia="仿宋_GB2312" w:cstheme="minorBidi"/>
          <w:color w:val="auto"/>
          <w:sz w:val="32"/>
          <w:szCs w:val="32"/>
          <w:highlight w:val="none"/>
          <w:u w:val="none" w:color="auto"/>
          <w:lang w:eastAsia="zh-CN"/>
        </w:rPr>
        <w:t>，</w:t>
      </w:r>
      <w:r>
        <w:rPr>
          <w:rFonts w:hint="eastAsia" w:cstheme="minorBidi"/>
          <w:color w:val="auto"/>
          <w:sz w:val="32"/>
          <w:szCs w:val="32"/>
          <w:highlight w:val="none"/>
          <w:u w:val="none" w:color="auto"/>
          <w:lang w:val="en-US" w:eastAsia="zh-CN"/>
        </w:rPr>
        <w:t>兑现2024年度奖励资金450万元</w:t>
      </w:r>
      <w:r>
        <w:rPr>
          <w:rFonts w:hint="eastAsia" w:ascii="Times New Roman" w:hAnsi="Times New Roman" w:eastAsia="仿宋_GB2312" w:cstheme="minorBidi"/>
          <w:color w:val="auto"/>
          <w:sz w:val="32"/>
          <w:szCs w:val="32"/>
          <w:highlight w:val="none"/>
          <w:u w:val="none" w:color="auto"/>
          <w:lang w:val="en-US" w:eastAsia="zh-CN"/>
        </w:rPr>
        <w:t>，进一步提高各乡镇各部门工作主动性、积极性</w:t>
      </w:r>
      <w:r>
        <w:rPr>
          <w:rFonts w:hint="eastAsia" w:ascii="Times New Roman" w:hAnsi="Times New Roman" w:eastAsia="仿宋" w:cs="仿宋"/>
          <w:color w:val="auto"/>
          <w:sz w:val="32"/>
          <w:szCs w:val="32"/>
          <w:highlight w:val="none"/>
          <w:u w:val="none" w:color="auto"/>
          <w:lang w:val="en-US" w:eastAsia="zh-CN"/>
        </w:rPr>
        <w:t>。</w:t>
      </w:r>
      <w:r>
        <w:rPr>
          <w:rFonts w:hint="eastAsia" w:ascii="Times New Roman" w:hAnsi="Times New Roman"/>
          <w:b/>
          <w:bCs/>
          <w:color w:val="auto"/>
          <w:highlight w:val="none"/>
          <w:u w:val="none"/>
        </w:rPr>
        <w:t>三是</w:t>
      </w:r>
      <w:r>
        <w:rPr>
          <w:rFonts w:hint="eastAsia" w:ascii="Times New Roman" w:hAnsi="Times New Roman"/>
          <w:b/>
          <w:bCs/>
          <w:color w:val="auto"/>
          <w:highlight w:val="none"/>
          <w:u w:val="none"/>
          <w:lang w:val="en-US" w:eastAsia="zh-CN"/>
        </w:rPr>
        <w:t>持续</w:t>
      </w:r>
      <w:r>
        <w:rPr>
          <w:rFonts w:hint="eastAsia" w:ascii="Times New Roman" w:hAnsi="Times New Roman"/>
          <w:b/>
          <w:bCs/>
          <w:color w:val="auto"/>
          <w:highlight w:val="none"/>
          <w:u w:val="none"/>
          <w:lang w:eastAsia="zh-CN"/>
        </w:rPr>
        <w:t>紧跟</w:t>
      </w:r>
      <w:r>
        <w:rPr>
          <w:rFonts w:hint="eastAsia" w:ascii="Times New Roman" w:hAnsi="Times New Roman"/>
          <w:b/>
          <w:bCs/>
          <w:color w:val="auto"/>
          <w:highlight w:val="none"/>
          <w:u w:val="none"/>
          <w:lang w:val="en-US" w:eastAsia="zh-CN"/>
        </w:rPr>
        <w:t>政府债券</w:t>
      </w:r>
      <w:r>
        <w:rPr>
          <w:rFonts w:hint="eastAsia" w:ascii="Times New Roman" w:hAnsi="Times New Roman"/>
          <w:b/>
          <w:bCs/>
          <w:color w:val="auto"/>
          <w:highlight w:val="none"/>
          <w:u w:val="none"/>
          <w:lang w:eastAsia="zh-CN"/>
        </w:rPr>
        <w:t>风向。</w:t>
      </w:r>
      <w:r>
        <w:rPr>
          <w:rFonts w:hint="eastAsia" w:ascii="Times New Roman" w:hAnsi="Times New Roman"/>
          <w:b w:val="0"/>
          <w:bCs w:val="0"/>
          <w:color w:val="auto"/>
          <w:highlight w:val="none"/>
          <w:u w:val="none"/>
          <w:lang w:val="en-US" w:eastAsia="zh-CN"/>
        </w:rPr>
        <w:t>强化专项债券投向领域“负面清单”和资本金行业范围“正面清单”运用管理，</w:t>
      </w:r>
      <w:r>
        <w:rPr>
          <w:rFonts w:hint="eastAsia" w:ascii="Times New Roman" w:hAnsi="Times New Roman"/>
          <w:b w:val="0"/>
          <w:bCs w:val="0"/>
          <w:color w:val="auto"/>
          <w:highlight w:val="none"/>
          <w:u w:val="none"/>
          <w:lang w:eastAsia="zh-CN"/>
        </w:rPr>
        <w:t>综合考虑投向合规性、成熟度、社会效益等开展项目动态审核，推动债券资金与项目建设进度精准匹配，</w:t>
      </w:r>
      <w:r>
        <w:rPr>
          <w:rFonts w:hint="eastAsia"/>
          <w:color w:val="auto"/>
          <w:highlight w:val="none"/>
          <w:u w:val="none"/>
          <w:lang w:val="en-US" w:eastAsia="zh-CN"/>
        </w:rPr>
        <w:t>力促</w:t>
      </w:r>
      <w:r>
        <w:rPr>
          <w:rFonts w:hint="eastAsia" w:ascii="Times New Roman" w:hAnsi="Times New Roman" w:eastAsia="仿宋_GB2312" w:cstheme="minorBidi"/>
          <w:i w:val="0"/>
          <w:caps w:val="0"/>
          <w:color w:val="auto"/>
          <w:spacing w:val="0"/>
          <w:sz w:val="32"/>
          <w:szCs w:val="24"/>
          <w:highlight w:val="none"/>
          <w:u w:val="none"/>
          <w:shd w:val="clear" w:fill="auto"/>
        </w:rPr>
        <w:t>债券资金早投入、早使用、早见效，尽</w:t>
      </w:r>
      <w:r>
        <w:rPr>
          <w:rFonts w:hint="eastAsia" w:cstheme="minorBidi"/>
          <w:i w:val="0"/>
          <w:caps w:val="0"/>
          <w:color w:val="auto"/>
          <w:spacing w:val="0"/>
          <w:sz w:val="32"/>
          <w:szCs w:val="24"/>
          <w:highlight w:val="none"/>
          <w:u w:val="none"/>
          <w:shd w:val="clear" w:fill="auto"/>
          <w:lang w:val="en-US" w:eastAsia="zh-CN"/>
        </w:rPr>
        <w:t>快</w:t>
      </w:r>
      <w:r>
        <w:rPr>
          <w:rFonts w:hint="eastAsia" w:ascii="Times New Roman" w:hAnsi="Times New Roman" w:eastAsia="仿宋_GB2312" w:cstheme="minorBidi"/>
          <w:i w:val="0"/>
          <w:caps w:val="0"/>
          <w:color w:val="auto"/>
          <w:spacing w:val="0"/>
          <w:sz w:val="32"/>
          <w:szCs w:val="24"/>
          <w:highlight w:val="none"/>
          <w:u w:val="none"/>
          <w:shd w:val="clear" w:fill="auto"/>
        </w:rPr>
        <w:t>形成实物工作量</w:t>
      </w:r>
      <w:r>
        <w:rPr>
          <w:rFonts w:hint="eastAsia" w:ascii="Times New Roman" w:hAnsi="Times New Roman" w:cstheme="minorBidi"/>
          <w:i w:val="0"/>
          <w:caps w:val="0"/>
          <w:color w:val="auto"/>
          <w:spacing w:val="0"/>
          <w:sz w:val="32"/>
          <w:szCs w:val="24"/>
          <w:highlight w:val="none"/>
          <w:u w:val="none"/>
          <w:shd w:val="clear" w:fill="auto"/>
          <w:lang w:eastAsia="zh-CN"/>
        </w:rPr>
        <w:t>。</w:t>
      </w:r>
      <w:r>
        <w:rPr>
          <w:rFonts w:hint="eastAsia" w:ascii="Times New Roman" w:hAnsi="Times New Roman"/>
          <w:color w:val="auto"/>
          <w:highlight w:val="none"/>
          <w:u w:val="none"/>
        </w:rPr>
        <w:t>全县共争取债券资金</w:t>
      </w:r>
      <w:r>
        <w:rPr>
          <w:rFonts w:hint="eastAsia"/>
          <w:color w:val="auto"/>
          <w:highlight w:val="none"/>
          <w:u w:val="none"/>
          <w:lang w:val="en-US" w:eastAsia="zh-CN"/>
        </w:rPr>
        <w:t>17.36</w:t>
      </w:r>
      <w:r>
        <w:rPr>
          <w:rFonts w:hint="eastAsia" w:ascii="Times New Roman" w:hAnsi="Times New Roman"/>
          <w:color w:val="auto"/>
          <w:highlight w:val="none"/>
          <w:u w:val="none"/>
        </w:rPr>
        <w:t>亿元，</w:t>
      </w:r>
      <w:r>
        <w:rPr>
          <w:rFonts w:hint="eastAsia" w:ascii="Times New Roman" w:hAnsi="Times New Roman"/>
          <w:color w:val="auto"/>
          <w:highlight w:val="none"/>
          <w:u w:val="none"/>
          <w:lang w:val="en-US" w:eastAsia="zh-CN"/>
        </w:rPr>
        <w:t>2025年专项债券资金支出进度100%，连续四年位居全省前列、全市第一</w:t>
      </w:r>
      <w:r>
        <w:rPr>
          <w:rFonts w:hint="eastAsia" w:ascii="Times New Roman" w:hAnsi="Times New Roman"/>
          <w:color w:val="auto"/>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Times New Roman" w:hAnsi="Times New Roman"/>
          <w:b/>
          <w:bCs/>
          <w:color w:val="auto"/>
          <w:highlight w:val="none"/>
          <w:u w:val="none"/>
          <w:lang w:val="en-US" w:eastAsia="zh-CN"/>
        </w:rPr>
      </w:pPr>
      <w:r>
        <w:rPr>
          <w:rFonts w:hint="eastAsia" w:ascii="Times New Roman" w:hAnsi="Times New Roman" w:cs="仿宋_GB2312"/>
          <w:b/>
          <w:bCs/>
          <w:color w:val="auto"/>
          <w:highlight w:val="none"/>
          <w:u w:val="none"/>
          <w:lang w:val="en-US" w:eastAsia="zh-CN"/>
        </w:rPr>
        <w:t>2.坚持巩固与提升并举，</w:t>
      </w:r>
      <w:r>
        <w:rPr>
          <w:rFonts w:hint="eastAsia" w:ascii="Times New Roman" w:hAnsi="Times New Roman" w:eastAsia="仿宋_GB2312" w:cs="仿宋_GB2312"/>
          <w:b/>
          <w:bCs/>
          <w:i w:val="0"/>
          <w:caps w:val="0"/>
          <w:color w:val="auto"/>
          <w:spacing w:val="0"/>
          <w:sz w:val="32"/>
          <w:szCs w:val="24"/>
          <w:highlight w:val="none"/>
          <w:u w:val="none"/>
          <w:shd w:val="clear" w:fill="auto"/>
        </w:rPr>
        <w:t>实体经济根基</w:t>
      </w:r>
      <w:r>
        <w:rPr>
          <w:rFonts w:hint="eastAsia" w:ascii="Times New Roman" w:hAnsi="Times New Roman" w:cs="仿宋_GB2312"/>
          <w:b/>
          <w:bCs/>
          <w:color w:val="auto"/>
          <w:highlight w:val="none"/>
          <w:u w:val="none"/>
          <w:lang w:val="en-US" w:eastAsia="zh-CN"/>
        </w:rPr>
        <w:t>进一步</w:t>
      </w:r>
      <w:r>
        <w:rPr>
          <w:rFonts w:hint="eastAsia" w:cs="仿宋_GB2312"/>
          <w:b/>
          <w:bCs/>
          <w:i w:val="0"/>
          <w:caps w:val="0"/>
          <w:color w:val="auto"/>
          <w:spacing w:val="0"/>
          <w:sz w:val="32"/>
          <w:szCs w:val="24"/>
          <w:highlight w:val="none"/>
          <w:u w:val="none"/>
          <w:shd w:val="clear" w:fill="auto"/>
          <w:lang w:eastAsia="zh-CN"/>
        </w:rPr>
        <w:t>夯实</w:t>
      </w:r>
      <w:r>
        <w:rPr>
          <w:rFonts w:hint="eastAsia" w:ascii="Times New Roman" w:hAnsi="Times New Roman" w:cs="仿宋_GB2312"/>
          <w:b/>
          <w:bCs/>
          <w:color w:val="auto"/>
          <w:highlight w:val="none"/>
          <w:u w:val="none"/>
          <w:lang w:val="en-US" w:eastAsia="zh-CN"/>
        </w:rPr>
        <w:t>。</w:t>
      </w:r>
      <w:r>
        <w:rPr>
          <w:rFonts w:hint="eastAsia" w:ascii="Times New Roman" w:hAnsi="Times New Roman"/>
          <w:b/>
          <w:bCs/>
          <w:color w:val="auto"/>
          <w:highlight w:val="none"/>
          <w:u w:val="none"/>
        </w:rPr>
        <w:t>一是赋能产业提质升级</w:t>
      </w:r>
      <w:r>
        <w:rPr>
          <w:rFonts w:hint="eastAsia" w:ascii="Times New Roman" w:hAnsi="Times New Roman"/>
          <w:b/>
          <w:bCs/>
          <w:color w:val="auto"/>
          <w:highlight w:val="none"/>
          <w:u w:val="none"/>
          <w:lang w:eastAsia="zh-CN"/>
        </w:rPr>
        <w:t>。</w:t>
      </w:r>
      <w:r>
        <w:rPr>
          <w:rFonts w:hint="eastAsia" w:ascii="Times New Roman" w:hAnsi="Times New Roman"/>
          <w:color w:val="auto"/>
          <w:highlight w:val="none"/>
          <w:u w:val="none"/>
          <w:lang w:eastAsia="zh-CN"/>
        </w:rPr>
        <w:t>充分发挥政策杠杆和资金撬动作用，兑现惠企资金</w:t>
      </w:r>
      <w:r>
        <w:rPr>
          <w:rFonts w:hint="eastAsia"/>
          <w:color w:val="auto"/>
          <w:highlight w:val="none"/>
          <w:u w:val="none"/>
          <w:lang w:val="en-US" w:eastAsia="zh-CN"/>
        </w:rPr>
        <w:t>2.3</w:t>
      </w:r>
      <w:r>
        <w:rPr>
          <w:rFonts w:hint="eastAsia" w:ascii="Times New Roman" w:hAnsi="Times New Roman"/>
          <w:color w:val="auto"/>
          <w:highlight w:val="none"/>
          <w:u w:val="none"/>
          <w:lang w:eastAsia="zh-CN"/>
        </w:rPr>
        <w:t>亿元，</w:t>
      </w:r>
      <w:r>
        <w:rPr>
          <w:rFonts w:hint="eastAsia" w:ascii="Times New Roman" w:hAnsi="Times New Roman"/>
          <w:color w:val="auto"/>
          <w:highlight w:val="none"/>
          <w:u w:val="none"/>
          <w:lang w:val="en-US" w:eastAsia="zh-CN"/>
        </w:rPr>
        <w:t>落实进一步支持民营企业高质量发展若干措施，支持鼓励企业扩产增效、技术改造创新、工业设计水平提升、电商发展壮大、商贸繁荣发展等。拨付2396万元支持质检中心、快速维权中心、物流监管中心等建设，</w:t>
      </w:r>
      <w:r>
        <w:rPr>
          <w:rFonts w:hint="eastAsia"/>
          <w:color w:val="auto"/>
          <w:highlight w:val="none"/>
          <w:u w:val="none"/>
          <w:lang w:val="en-US" w:eastAsia="zh-CN"/>
        </w:rPr>
        <w:t>制定促进物流监管中心高质量发展三年行动</w:t>
      </w:r>
      <w:r>
        <w:rPr>
          <w:rFonts w:hint="eastAsia" w:ascii="Times New Roman" w:hAnsi="Times New Roman"/>
          <w:color w:val="auto"/>
          <w:highlight w:val="none"/>
          <w:u w:val="none"/>
          <w:lang w:val="en-US" w:eastAsia="zh-CN"/>
        </w:rPr>
        <w:t>，为“中国白·向世界”保驾护航。积极帮助企业争取会展经济、商务发展、稳外贸等项目奖补资金1687万元，加速推动我县企业产业结构调整升级。2025年</w:t>
      </w:r>
      <w:r>
        <w:rPr>
          <w:rFonts w:hint="eastAsia"/>
          <w:color w:val="auto"/>
          <w:highlight w:val="none"/>
          <w:u w:val="none"/>
          <w:lang w:val="en-US" w:eastAsia="zh-CN"/>
        </w:rPr>
        <w:t>获批</w:t>
      </w:r>
      <w:r>
        <w:rPr>
          <w:rFonts w:hint="eastAsia" w:ascii="Times New Roman" w:hAnsi="Times New Roman"/>
          <w:color w:val="auto"/>
          <w:highlight w:val="none"/>
          <w:u w:val="none"/>
          <w:lang w:val="en-US" w:eastAsia="zh-CN"/>
        </w:rPr>
        <w:t>园区标准化专项债券项目</w:t>
      </w:r>
      <w:r>
        <w:rPr>
          <w:rFonts w:hint="eastAsia"/>
          <w:color w:val="auto"/>
          <w:highlight w:val="none"/>
          <w:u w:val="none"/>
          <w:lang w:val="en-US" w:eastAsia="zh-CN"/>
        </w:rPr>
        <w:t>4</w:t>
      </w:r>
      <w:r>
        <w:rPr>
          <w:rFonts w:hint="eastAsia" w:ascii="Times New Roman" w:hAnsi="Times New Roman"/>
          <w:color w:val="auto"/>
          <w:highlight w:val="none"/>
          <w:u w:val="none"/>
          <w:lang w:val="en-US" w:eastAsia="zh-CN"/>
        </w:rPr>
        <w:t>个</w:t>
      </w:r>
      <w:r>
        <w:rPr>
          <w:rFonts w:hint="eastAsia"/>
          <w:color w:val="auto"/>
          <w:highlight w:val="none"/>
          <w:u w:val="none"/>
          <w:lang w:val="en-US" w:eastAsia="zh-CN"/>
        </w:rPr>
        <w:t>、资金4.47</w:t>
      </w:r>
      <w:r>
        <w:rPr>
          <w:rFonts w:hint="eastAsia" w:ascii="Times New Roman" w:hAnsi="Times New Roman"/>
          <w:color w:val="auto"/>
          <w:highlight w:val="none"/>
          <w:u w:val="none"/>
          <w:lang w:val="en-US" w:eastAsia="zh-CN"/>
        </w:rPr>
        <w:t>亿元，</w:t>
      </w:r>
      <w:r>
        <w:rPr>
          <w:rFonts w:hint="eastAsia"/>
          <w:color w:val="auto"/>
          <w:highlight w:val="none"/>
          <w:u w:val="none"/>
          <w:lang w:val="en-US" w:eastAsia="zh-CN"/>
        </w:rPr>
        <w:t>园区产业承载能力和标准化建设水平有效提升</w:t>
      </w:r>
      <w:r>
        <w:rPr>
          <w:rFonts w:hint="eastAsia" w:ascii="Times New Roman" w:hAnsi="Times New Roman"/>
          <w:color w:val="auto"/>
          <w:highlight w:val="none"/>
          <w:u w:val="none"/>
          <w:lang w:val="en-US" w:eastAsia="zh-CN"/>
        </w:rPr>
        <w:t>。</w:t>
      </w:r>
      <w:r>
        <w:rPr>
          <w:rFonts w:hint="eastAsia" w:ascii="Times New Roman" w:hAnsi="Times New Roman"/>
          <w:b/>
          <w:bCs/>
          <w:color w:val="auto"/>
          <w:highlight w:val="none"/>
          <w:u w:val="none"/>
          <w:lang w:val="en-US" w:eastAsia="zh-CN"/>
        </w:rPr>
        <w:t>二是金融“活水”精准滴灌。</w:t>
      </w:r>
      <w:r>
        <w:rPr>
          <w:rFonts w:hint="eastAsia" w:ascii="Times New Roman" w:hAnsi="Times New Roman"/>
          <w:color w:val="auto"/>
          <w:highlight w:val="none"/>
          <w:u w:val="none"/>
          <w:lang w:val="en-US" w:eastAsia="zh-CN"/>
        </w:rPr>
        <w:t>深化金融助推陶瓷产业发展、</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百名行长进千企</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融资促进活动和</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政银企担</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对接活动，多渠道破解企业融资瓶颈。加大财政金融支持力度，推出支持产业链金融、跨境结算便利化等系列政策，推动金融机构为企业提供贷款担保9.9亿元</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过桥资金12.</w:t>
      </w:r>
      <w:r>
        <w:rPr>
          <w:rFonts w:hint="eastAsia"/>
          <w:color w:val="auto"/>
          <w:highlight w:val="none"/>
          <w:u w:val="none"/>
          <w:lang w:val="en-US" w:eastAsia="zh-CN"/>
        </w:rPr>
        <w:t>9</w:t>
      </w:r>
      <w:r>
        <w:rPr>
          <w:rFonts w:hint="eastAsia" w:ascii="Times New Roman" w:hAnsi="Times New Roman"/>
          <w:color w:val="auto"/>
          <w:highlight w:val="none"/>
          <w:u w:val="none"/>
          <w:lang w:val="en-US" w:eastAsia="zh-CN"/>
        </w:rPr>
        <w:t>亿元</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无还本转续贷51亿元。利用省“金服云”平台，推动171家次企业获得省技改贷、乡村振兴贷、技术创新基金贷共20.66亿元。</w:t>
      </w:r>
      <w:r>
        <w:rPr>
          <w:rFonts w:hint="eastAsia" w:ascii="Times New Roman" w:hAnsi="Times New Roman"/>
          <w:b/>
          <w:bCs/>
          <w:color w:val="auto"/>
          <w:highlight w:val="none"/>
          <w:u w:val="none"/>
          <w:lang w:val="en-US" w:eastAsia="zh-CN"/>
        </w:rPr>
        <w:t>三是</w:t>
      </w:r>
      <w:bookmarkStart w:id="1" w:name="OLE_LINK1"/>
      <w:r>
        <w:rPr>
          <w:rFonts w:hint="eastAsia" w:ascii="Times New Roman" w:hAnsi="Times New Roman"/>
          <w:b/>
          <w:bCs/>
          <w:color w:val="auto"/>
          <w:highlight w:val="none"/>
          <w:u w:val="none"/>
          <w:lang w:val="en-US" w:eastAsia="zh-CN"/>
        </w:rPr>
        <w:t>有效促进文旅融合</w:t>
      </w:r>
      <w:bookmarkEnd w:id="1"/>
      <w:r>
        <w:rPr>
          <w:rFonts w:hint="eastAsia" w:ascii="Times New Roman" w:hAnsi="Times New Roman"/>
          <w:b/>
          <w:bCs/>
          <w:color w:val="auto"/>
          <w:highlight w:val="none"/>
          <w:u w:val="none"/>
          <w:lang w:val="en-US" w:eastAsia="zh-CN"/>
        </w:rPr>
        <w:t>。</w:t>
      </w:r>
      <w:r>
        <w:rPr>
          <w:rFonts w:hint="eastAsia" w:ascii="Times New Roman" w:hAnsi="Times New Roman"/>
          <w:b w:val="0"/>
          <w:bCs w:val="0"/>
          <w:color w:val="auto"/>
          <w:highlight w:val="none"/>
          <w:u w:val="none"/>
          <w:lang w:val="en-US" w:eastAsia="zh-CN"/>
        </w:rPr>
        <w:t>完善现代公共文化旅游服务体系，梳理“促进文旅经济高质量发展若干激励措施”38条，鼓励资源开发、业态培育、市场拓展等。引导扶持优秀群众文化活动，</w:t>
      </w:r>
      <w:r>
        <w:rPr>
          <w:rFonts w:hint="eastAsia" w:ascii="Times New Roman" w:hAnsi="Times New Roman"/>
          <w:color w:val="auto"/>
          <w:highlight w:val="none"/>
          <w:u w:val="none"/>
          <w:lang w:val="en-US" w:eastAsia="zh-CN"/>
        </w:rPr>
        <w:t>推动</w:t>
      </w:r>
      <w:r>
        <w:rPr>
          <w:rFonts w:hint="eastAsia"/>
          <w:color w:val="auto"/>
          <w:highlight w:val="none"/>
          <w:u w:val="none"/>
          <w:lang w:val="en-US" w:eastAsia="zh-CN"/>
        </w:rPr>
        <w:t>文</w:t>
      </w:r>
      <w:r>
        <w:rPr>
          <w:rFonts w:hint="eastAsia" w:ascii="Times New Roman" w:hAnsi="Times New Roman"/>
          <w:color w:val="auto"/>
          <w:highlight w:val="none"/>
          <w:u w:val="none"/>
          <w:lang w:val="en-US" w:eastAsia="zh-CN"/>
        </w:rPr>
        <w:t>体旅融合创新，</w:t>
      </w:r>
      <w:r>
        <w:rPr>
          <w:rFonts w:hint="eastAsia" w:ascii="Times New Roman" w:hAnsi="Times New Roman"/>
          <w:b w:val="0"/>
          <w:bCs w:val="0"/>
          <w:color w:val="auto"/>
          <w:highlight w:val="none"/>
          <w:u w:val="none"/>
          <w:lang w:val="en-US" w:eastAsia="zh-CN"/>
        </w:rPr>
        <w:t>统筹资金1000万元做实文旅节会、文化推介和体育赛事，提升旅游资源开发水平。</w:t>
      </w:r>
      <w:r>
        <w:rPr>
          <w:rFonts w:hint="eastAsia" w:ascii="Times New Roman" w:hAnsi="Times New Roman"/>
          <w:color w:val="auto"/>
          <w:highlight w:val="none"/>
          <w:u w:val="none"/>
          <w:lang w:val="en-US" w:eastAsia="zh-CN"/>
        </w:rPr>
        <w:t>拨付8500万元推进霞田文体园PPP项目建设，提升承接高水平赛事能力。安排资金2785万元，实施“一清二整三美化”</w:t>
      </w:r>
      <w:r>
        <w:rPr>
          <w:rFonts w:hint="eastAsia"/>
          <w:color w:val="auto"/>
          <w:highlight w:val="none"/>
          <w:u w:val="none"/>
          <w:lang w:val="en-US" w:eastAsia="zh-CN"/>
        </w:rPr>
        <w:t>专项行动</w:t>
      </w:r>
      <w:r>
        <w:rPr>
          <w:rFonts w:hint="eastAsia" w:ascii="Times New Roman" w:hAnsi="Times New Roman"/>
          <w:color w:val="auto"/>
          <w:highlight w:val="none"/>
          <w:u w:val="none"/>
          <w:lang w:val="en-US" w:eastAsia="zh-CN"/>
        </w:rPr>
        <w:t>，探索农村人居环境整治整县推进，深度融合“一县一溪一特色”田园风光示范，</w:t>
      </w:r>
      <w:r>
        <w:rPr>
          <w:rFonts w:hint="eastAsia"/>
          <w:color w:val="auto"/>
          <w:highlight w:val="none"/>
          <w:u w:val="none"/>
          <w:lang w:val="en-US" w:eastAsia="zh-CN"/>
        </w:rPr>
        <w:t>进一步</w:t>
      </w:r>
      <w:r>
        <w:rPr>
          <w:rFonts w:hint="eastAsia" w:ascii="Times New Roman" w:hAnsi="Times New Roman"/>
          <w:color w:val="auto"/>
          <w:highlight w:val="none"/>
          <w:u w:val="none"/>
          <w:lang w:val="en-US" w:eastAsia="zh-CN"/>
        </w:rPr>
        <w:t>改善乡村人居环境，筑牢农文旅融合根基。</w:t>
      </w:r>
      <w:r>
        <w:rPr>
          <w:rFonts w:hint="eastAsia" w:ascii="Times New Roman" w:hAnsi="Times New Roman"/>
          <w:b/>
          <w:bCs/>
          <w:color w:val="auto"/>
          <w:highlight w:val="none"/>
          <w:u w:val="none"/>
          <w:lang w:val="en-US" w:eastAsia="zh-CN"/>
        </w:rPr>
        <w:t>四是招商引智兴产聚人。</w:t>
      </w:r>
      <w:r>
        <w:rPr>
          <w:rFonts w:hint="eastAsia" w:ascii="Times New Roman" w:hAnsi="Times New Roman"/>
          <w:color w:val="auto"/>
          <w:highlight w:val="none"/>
          <w:u w:val="none"/>
          <w:lang w:val="en-US" w:eastAsia="zh-CN"/>
        </w:rPr>
        <w:t>将招商引资作为激活发展动能、涵养优质税源、培育壮大财源的</w:t>
      </w:r>
      <w:r>
        <w:rPr>
          <w:rFonts w:hint="eastAsia"/>
          <w:color w:val="auto"/>
          <w:highlight w:val="none"/>
          <w:u w:val="none"/>
          <w:lang w:val="en-US" w:eastAsia="zh-CN"/>
        </w:rPr>
        <w:t>重要</w:t>
      </w:r>
      <w:r>
        <w:rPr>
          <w:rFonts w:hint="eastAsia" w:ascii="Times New Roman" w:hAnsi="Times New Roman"/>
          <w:color w:val="auto"/>
          <w:highlight w:val="none"/>
          <w:u w:val="none"/>
          <w:lang w:val="en-US" w:eastAsia="zh-CN"/>
        </w:rPr>
        <w:t>抓手，以提升财政资金使用效能和服务保障水平为突破口，全力服务和保障全县招商引资工作向更高层次、更宽领域迈进，为全县产业升级注入强劲动力。确立“政府引导、市场运作、科学决策、防范风险”的产业引导母基金运作管理原则，发挥财政资金“四两拨千斤”乘数效应，通过探索“以投促引”新模式，将产业招商与基金投资深度融合，力求实现投招协同新突破，新引入子基金源一资本、规模2亿元。安排人才专项资金5000万元，从人才引进、人才培养、人才安居保障、医疗保障、人才平台建设等方面加大扶持保障力度，促进人才群体与产业政策融合发展。</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jc w:val="both"/>
        <w:textAlignment w:val="auto"/>
        <w:rPr>
          <w:rFonts w:hint="eastAsia" w:ascii="Times New Roman" w:hAnsi="Times New Roman" w:eastAsia="仿宋_GB2312" w:cs="仿宋_GB2312"/>
          <w:i w:val="0"/>
          <w:caps w:val="0"/>
          <w:color w:val="auto"/>
          <w:spacing w:val="0"/>
          <w:sz w:val="32"/>
          <w:szCs w:val="32"/>
          <w:highlight w:val="none"/>
          <w:u w:val="none"/>
          <w:shd w:val="clear" w:fill="FFFFFF"/>
        </w:rPr>
      </w:pPr>
      <w:r>
        <w:rPr>
          <w:rFonts w:hint="eastAsia" w:ascii="Times New Roman" w:hAnsi="Times New Roman"/>
          <w:b/>
          <w:bCs/>
          <w:color w:val="auto"/>
          <w:highlight w:val="none"/>
          <w:u w:val="none"/>
          <w:lang w:val="en-US" w:eastAsia="zh-CN"/>
        </w:rPr>
        <w:t>3.坚持普惠与兜底并举，民生福祉底线进一步扎牢。</w:t>
      </w:r>
      <w:r>
        <w:rPr>
          <w:rFonts w:hint="eastAsia" w:ascii="Times New Roman" w:hAnsi="Times New Roman"/>
          <w:color w:val="auto"/>
          <w:highlight w:val="none"/>
          <w:u w:val="none"/>
          <w:lang w:val="en-US" w:eastAsia="zh-CN"/>
        </w:rPr>
        <w:t>秉持“尽力而为、量力而行”原则，锚定普惠性、基础性、兜底性民生领域持续深耕，全年民生支出</w:t>
      </w:r>
      <w:r>
        <w:rPr>
          <w:rFonts w:hint="eastAsia"/>
          <w:color w:val="auto"/>
          <w:highlight w:val="none"/>
          <w:u w:val="none"/>
          <w:lang w:val="en-US" w:eastAsia="zh-CN"/>
        </w:rPr>
        <w:t>33.14</w:t>
      </w:r>
      <w:r>
        <w:rPr>
          <w:rFonts w:hint="eastAsia" w:ascii="Times New Roman" w:hAnsi="Times New Roman"/>
          <w:color w:val="auto"/>
          <w:highlight w:val="none"/>
          <w:u w:val="none"/>
          <w:lang w:val="en-US" w:eastAsia="zh-CN"/>
        </w:rPr>
        <w:t>亿元，占一般公共预算支出</w:t>
      </w:r>
      <w:r>
        <w:rPr>
          <w:rFonts w:hint="eastAsia"/>
          <w:color w:val="auto"/>
          <w:highlight w:val="none"/>
          <w:u w:val="none"/>
          <w:lang w:val="en-US" w:eastAsia="zh-CN"/>
        </w:rPr>
        <w:t>77.2</w:t>
      </w:r>
      <w:r>
        <w:rPr>
          <w:rFonts w:hint="eastAsia" w:ascii="Times New Roman" w:hAnsi="Times New Roman"/>
          <w:color w:val="auto"/>
          <w:highlight w:val="none"/>
          <w:u w:val="none"/>
          <w:lang w:val="en-US" w:eastAsia="zh-CN"/>
        </w:rPr>
        <w:t>%。</w:t>
      </w:r>
      <w:r>
        <w:rPr>
          <w:rFonts w:hint="eastAsia" w:ascii="Times New Roman" w:hAnsi="Times New Roman"/>
          <w:b/>
          <w:bCs/>
          <w:color w:val="auto"/>
          <w:highlight w:val="none"/>
          <w:u w:val="none"/>
          <w:lang w:val="en-US" w:eastAsia="zh-CN"/>
        </w:rPr>
        <w:t>一是推进乡村全面振兴战略。</w:t>
      </w:r>
      <w:r>
        <w:rPr>
          <w:rFonts w:hint="eastAsia" w:ascii="Times New Roman" w:hAnsi="Times New Roman"/>
          <w:color w:val="auto"/>
          <w:highlight w:val="none"/>
          <w:u w:val="none"/>
          <w:lang w:val="en-US" w:eastAsia="zh-CN"/>
        </w:rPr>
        <w:t>农林水支出</w:t>
      </w:r>
      <w:r>
        <w:rPr>
          <w:rFonts w:hint="eastAsia"/>
          <w:color w:val="auto"/>
          <w:highlight w:val="none"/>
          <w:u w:val="none"/>
          <w:lang w:val="en-US" w:eastAsia="zh-CN"/>
        </w:rPr>
        <w:t>6.67</w:t>
      </w:r>
      <w:r>
        <w:rPr>
          <w:rFonts w:hint="eastAsia" w:ascii="Times New Roman" w:hAnsi="Times New Roman"/>
          <w:color w:val="auto"/>
          <w:highlight w:val="none"/>
          <w:u w:val="none"/>
          <w:lang w:val="en-US" w:eastAsia="zh-CN"/>
        </w:rPr>
        <w:t>亿元，增长</w:t>
      </w:r>
      <w:r>
        <w:rPr>
          <w:rFonts w:hint="eastAsia"/>
          <w:color w:val="auto"/>
          <w:highlight w:val="none"/>
          <w:u w:val="none"/>
          <w:lang w:val="en-US" w:eastAsia="zh-CN"/>
        </w:rPr>
        <w:t>4.5</w:t>
      </w:r>
      <w:r>
        <w:rPr>
          <w:rFonts w:hint="eastAsia" w:ascii="Times New Roman" w:hAnsi="Times New Roman"/>
          <w:color w:val="auto"/>
          <w:highlight w:val="none"/>
          <w:u w:val="none"/>
          <w:lang w:val="en-US" w:eastAsia="zh-CN"/>
        </w:rPr>
        <w:t>%。坚持把农业农村作为财政优先保障领域，支持乡村优势特色产业发展，着力补齐农村基础设施短板</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提升乡村产业全产业链发展水平。加大高标准农田建设支持力度，健全种粮农民收益保障机制，全力保障粮食安全和重要农产品稳产保供。</w:t>
      </w:r>
      <w:r>
        <w:rPr>
          <w:rFonts w:hint="eastAsia" w:ascii="Times New Roman" w:hAnsi="Times New Roman" w:cs="仿宋_GB2312"/>
          <w:b/>
          <w:bCs/>
          <w:color w:val="auto"/>
          <w:highlight w:val="none"/>
          <w:u w:val="none"/>
          <w:lang w:val="en-US" w:eastAsia="zh-CN"/>
        </w:rPr>
        <w:t>二</w:t>
      </w:r>
      <w:r>
        <w:rPr>
          <w:rFonts w:hint="eastAsia" w:ascii="Times New Roman" w:hAnsi="Times New Roman" w:eastAsia="仿宋_GB2312" w:cs="仿宋_GB2312"/>
          <w:b/>
          <w:bCs/>
          <w:color w:val="auto"/>
          <w:highlight w:val="none"/>
          <w:u w:val="none"/>
          <w:lang w:val="en-US" w:eastAsia="zh-CN"/>
        </w:rPr>
        <w:t>是教育发展质量稳步提升。</w:t>
      </w:r>
      <w:r>
        <w:rPr>
          <w:rFonts w:hint="eastAsia" w:ascii="Times New Roman" w:hAnsi="Times New Roman" w:eastAsia="仿宋_GB2312" w:cs="仿宋_GB2312"/>
          <w:color w:val="auto"/>
          <w:highlight w:val="none"/>
          <w:u w:val="none"/>
          <w:lang w:val="en-US" w:eastAsia="zh-CN"/>
        </w:rPr>
        <w:t>教育总支出</w:t>
      </w:r>
      <w:r>
        <w:rPr>
          <w:rFonts w:hint="eastAsia" w:cs="仿宋_GB2312"/>
          <w:color w:val="auto"/>
          <w:highlight w:val="none"/>
          <w:u w:val="none"/>
          <w:lang w:val="en-US" w:eastAsia="zh-CN"/>
        </w:rPr>
        <w:t>13.58</w:t>
      </w:r>
      <w:r>
        <w:rPr>
          <w:rFonts w:hint="eastAsia" w:ascii="Times New Roman" w:hAnsi="Times New Roman" w:eastAsia="仿宋_GB2312" w:cs="仿宋_GB2312"/>
          <w:color w:val="auto"/>
          <w:highlight w:val="none"/>
          <w:u w:val="none"/>
          <w:lang w:val="en-US" w:eastAsia="zh-CN"/>
        </w:rPr>
        <w:t>亿元。其中教育事业费支出</w:t>
      </w:r>
      <w:r>
        <w:rPr>
          <w:rFonts w:hint="eastAsia" w:cs="仿宋_GB2312"/>
          <w:color w:val="auto"/>
          <w:highlight w:val="none"/>
          <w:u w:val="none"/>
          <w:lang w:val="en-US" w:eastAsia="zh-CN"/>
        </w:rPr>
        <w:t>10.86</w:t>
      </w:r>
      <w:r>
        <w:rPr>
          <w:rFonts w:hint="eastAsia" w:ascii="Times New Roman" w:hAnsi="Times New Roman" w:eastAsia="仿宋_GB2312" w:cs="仿宋_GB2312"/>
          <w:color w:val="auto"/>
          <w:highlight w:val="none"/>
          <w:u w:val="none"/>
          <w:lang w:val="en-US" w:eastAsia="zh-CN"/>
        </w:rPr>
        <w:t>亿元，</w:t>
      </w:r>
      <w:r>
        <w:rPr>
          <w:rFonts w:hint="eastAsia" w:cs="仿宋_GB2312"/>
          <w:color w:val="auto"/>
          <w:highlight w:val="none"/>
          <w:u w:val="none"/>
          <w:lang w:val="en-US" w:eastAsia="zh-CN"/>
        </w:rPr>
        <w:t>增长4.3%，</w:t>
      </w:r>
      <w:r>
        <w:rPr>
          <w:rFonts w:hint="eastAsia" w:ascii="Times New Roman" w:hAnsi="Times New Roman" w:eastAsia="仿宋_GB2312" w:cs="仿宋_GB2312"/>
          <w:color w:val="auto"/>
          <w:highlight w:val="none"/>
          <w:u w:val="none"/>
          <w:lang w:val="en-US" w:eastAsia="zh-CN"/>
        </w:rPr>
        <w:t>有力落实教育经费“两个只增不减”要求，持续加强教师队伍人才培养</w:t>
      </w:r>
      <w:r>
        <w:rPr>
          <w:rFonts w:hint="eastAsia" w:cs="仿宋_GB2312"/>
          <w:color w:val="auto"/>
          <w:highlight w:val="none"/>
          <w:u w:val="none"/>
          <w:lang w:val="en-US" w:eastAsia="zh-CN"/>
        </w:rPr>
        <w:t>，</w:t>
      </w:r>
      <w:r>
        <w:rPr>
          <w:rFonts w:hint="eastAsia" w:ascii="Times New Roman" w:hAnsi="Times New Roman" w:eastAsia="仿宋_GB2312" w:cs="仿宋_GB2312"/>
          <w:color w:val="auto"/>
          <w:highlight w:val="none"/>
          <w:u w:val="none"/>
          <w:lang w:val="en-US" w:eastAsia="zh-CN"/>
        </w:rPr>
        <w:t>引导和支持扩充学前教育资源，</w:t>
      </w:r>
      <w:r>
        <w:rPr>
          <w:rFonts w:hint="eastAsia" w:cs="仿宋_GB2312"/>
          <w:color w:val="auto"/>
          <w:highlight w:val="none"/>
          <w:u w:val="none"/>
          <w:lang w:val="en-US" w:eastAsia="zh-CN"/>
        </w:rPr>
        <w:t>深化托幼教育提升，</w:t>
      </w:r>
      <w:r>
        <w:rPr>
          <w:rFonts w:hint="eastAsia" w:ascii="Times New Roman" w:hAnsi="Times New Roman" w:eastAsia="仿宋_GB2312" w:cs="仿宋_GB2312"/>
          <w:color w:val="auto"/>
          <w:highlight w:val="none"/>
          <w:u w:val="none"/>
          <w:lang w:val="en-US" w:eastAsia="zh-CN"/>
        </w:rPr>
        <w:t>推进义务教育优质均衡发展，推动普通高中办学条件提质，促进职业教育高水平发展，支持整合资源优化布局</w:t>
      </w:r>
      <w:r>
        <w:rPr>
          <w:rFonts w:hint="eastAsia" w:cs="仿宋_GB2312"/>
          <w:color w:val="auto"/>
          <w:highlight w:val="none"/>
          <w:u w:val="none"/>
          <w:lang w:val="en-US" w:eastAsia="zh-CN"/>
        </w:rPr>
        <w:t>；</w:t>
      </w:r>
      <w:r>
        <w:rPr>
          <w:rFonts w:hint="eastAsia" w:ascii="Times New Roman" w:hAnsi="Times New Roman" w:eastAsia="仿宋_GB2312" w:cs="仿宋_GB2312"/>
          <w:color w:val="auto"/>
          <w:highlight w:val="none"/>
          <w:u w:val="none"/>
          <w:lang w:val="en-US" w:eastAsia="zh-CN"/>
        </w:rPr>
        <w:t>教育基建支出</w:t>
      </w:r>
      <w:r>
        <w:rPr>
          <w:rFonts w:hint="eastAsia" w:cs="仿宋_GB2312"/>
          <w:color w:val="auto"/>
          <w:highlight w:val="none"/>
          <w:u w:val="none"/>
          <w:lang w:val="en-US" w:eastAsia="zh-CN"/>
        </w:rPr>
        <w:t>2.72</w:t>
      </w:r>
      <w:r>
        <w:rPr>
          <w:rFonts w:hint="eastAsia" w:ascii="Times New Roman" w:hAnsi="Times New Roman" w:eastAsia="仿宋_GB2312" w:cs="仿宋_GB2312"/>
          <w:color w:val="auto"/>
          <w:highlight w:val="none"/>
          <w:u w:val="none"/>
          <w:lang w:val="en-US" w:eastAsia="zh-CN"/>
        </w:rPr>
        <w:t>亿元，用于推进</w:t>
      </w:r>
      <w:r>
        <w:rPr>
          <w:rFonts w:hint="eastAsia" w:cs="仿宋_GB2312"/>
          <w:color w:val="auto"/>
          <w:highlight w:val="none"/>
          <w:u w:val="none"/>
          <w:lang w:val="en-US" w:eastAsia="zh-CN"/>
        </w:rPr>
        <w:t>4</w:t>
      </w:r>
      <w:r>
        <w:rPr>
          <w:rFonts w:hint="eastAsia" w:ascii="Times New Roman" w:hAnsi="Times New Roman" w:eastAsia="仿宋_GB2312" w:cs="仿宋_GB2312"/>
          <w:color w:val="auto"/>
          <w:highlight w:val="none"/>
          <w:u w:val="none"/>
          <w:lang w:val="en-US" w:eastAsia="zh-CN"/>
        </w:rPr>
        <w:t>个新建、改扩建工程建设，以硬件提升带动优质教育资源集聚。</w:t>
      </w:r>
      <w:r>
        <w:rPr>
          <w:rFonts w:hint="eastAsia" w:ascii="Times New Roman" w:hAnsi="Times New Roman"/>
          <w:b/>
          <w:bCs/>
          <w:color w:val="auto"/>
          <w:highlight w:val="none"/>
          <w:u w:val="none"/>
          <w:lang w:val="en-US" w:eastAsia="zh-CN"/>
        </w:rPr>
        <w:t>三是社会保障体系更加健全。</w:t>
      </w:r>
      <w:r>
        <w:rPr>
          <w:rFonts w:hint="eastAsia" w:ascii="Times New Roman" w:hAnsi="Times New Roman"/>
          <w:color w:val="auto"/>
          <w:highlight w:val="none"/>
          <w:u w:val="none"/>
          <w:lang w:val="en-US" w:eastAsia="zh-CN"/>
        </w:rPr>
        <w:t>社会保障和就业支出</w:t>
      </w:r>
      <w:r>
        <w:rPr>
          <w:rFonts w:hint="eastAsia"/>
          <w:color w:val="auto"/>
          <w:highlight w:val="none"/>
          <w:u w:val="none"/>
          <w:lang w:val="en-US" w:eastAsia="zh-CN"/>
        </w:rPr>
        <w:t>4.41</w:t>
      </w:r>
      <w:r>
        <w:rPr>
          <w:rFonts w:hint="eastAsia" w:ascii="Times New Roman" w:hAnsi="Times New Roman"/>
          <w:color w:val="auto"/>
          <w:highlight w:val="none"/>
          <w:u w:val="none"/>
          <w:lang w:val="en-US" w:eastAsia="zh-CN"/>
        </w:rPr>
        <w:t>亿元，增长</w:t>
      </w:r>
      <w:r>
        <w:rPr>
          <w:rFonts w:hint="eastAsia"/>
          <w:color w:val="auto"/>
          <w:highlight w:val="none"/>
          <w:u w:val="none"/>
          <w:lang w:val="en-US" w:eastAsia="zh-CN"/>
        </w:rPr>
        <w:t>7.3</w:t>
      </w:r>
      <w:r>
        <w:rPr>
          <w:rFonts w:hint="eastAsia" w:ascii="Times New Roman" w:hAnsi="Times New Roman"/>
          <w:color w:val="auto"/>
          <w:highlight w:val="none"/>
          <w:u w:val="none"/>
          <w:lang w:val="en-US" w:eastAsia="zh-CN"/>
        </w:rPr>
        <w:t>%。完善就业创业服务体系，统筹资金加大高校毕业生</w:t>
      </w:r>
      <w:r>
        <w:rPr>
          <w:rFonts w:hint="eastAsia"/>
          <w:color w:val="auto"/>
          <w:highlight w:val="none"/>
          <w:u w:val="none"/>
          <w:lang w:val="en-US" w:eastAsia="zh-CN"/>
        </w:rPr>
        <w:t>与</w:t>
      </w:r>
      <w:r>
        <w:rPr>
          <w:rFonts w:hint="eastAsia" w:ascii="Times New Roman" w:hAnsi="Times New Roman"/>
          <w:color w:val="auto"/>
          <w:highlight w:val="none"/>
          <w:u w:val="none"/>
          <w:lang w:val="en-US" w:eastAsia="zh-CN"/>
        </w:rPr>
        <w:t>重点群体就业创业支持力度</w:t>
      </w:r>
      <w:r>
        <w:rPr>
          <w:rFonts w:hint="eastAsia"/>
          <w:color w:val="auto"/>
          <w:highlight w:val="none"/>
          <w:u w:val="none"/>
          <w:lang w:val="en-US" w:eastAsia="zh-CN"/>
        </w:rPr>
        <w:t>，构建多层次社会保障体系</w:t>
      </w:r>
      <w:r>
        <w:rPr>
          <w:rFonts w:hint="eastAsia" w:ascii="Times New Roman" w:hAnsi="Times New Roman"/>
          <w:color w:val="auto"/>
          <w:highlight w:val="none"/>
          <w:u w:val="none"/>
          <w:lang w:val="en-US" w:eastAsia="zh-CN"/>
        </w:rPr>
        <w:t>。支持城乡居民参保缴费和提高养老保险待遇，推动嵌入式养老服务机构建设、长者食堂奖补等养老事业发展，落实残疾人两项补贴标准动态调整机制，保障优抚对象、军休干部、军队转业干部和退役士兵等群体各项待遇落到实处。将低保</w:t>
      </w:r>
      <w:r>
        <w:rPr>
          <w:rFonts w:hint="eastAsia"/>
          <w:color w:val="auto"/>
          <w:highlight w:val="none"/>
          <w:u w:val="none"/>
          <w:lang w:val="en-US" w:eastAsia="zh-CN"/>
        </w:rPr>
        <w:t>月</w:t>
      </w:r>
      <w:r>
        <w:rPr>
          <w:rFonts w:hint="eastAsia" w:ascii="Times New Roman" w:hAnsi="Times New Roman"/>
          <w:color w:val="auto"/>
          <w:highlight w:val="none"/>
          <w:u w:val="none"/>
          <w:lang w:val="en-US" w:eastAsia="zh-CN"/>
        </w:rPr>
        <w:t>标准提高到</w:t>
      </w:r>
      <w:r>
        <w:rPr>
          <w:rFonts w:hint="eastAsia"/>
          <w:color w:val="auto"/>
          <w:highlight w:val="none"/>
          <w:u w:val="none"/>
          <w:lang w:val="en-US" w:eastAsia="zh-CN"/>
        </w:rPr>
        <w:t>845</w:t>
      </w:r>
      <w:r>
        <w:rPr>
          <w:rFonts w:hint="eastAsia" w:ascii="Times New Roman" w:hAnsi="Times New Roman"/>
          <w:color w:val="auto"/>
          <w:highlight w:val="none"/>
          <w:u w:val="none"/>
          <w:lang w:val="en-US" w:eastAsia="zh-CN"/>
        </w:rPr>
        <w:t>元，将集中养育孤儿和社会散居孤儿基本生活最低养育标准</w:t>
      </w:r>
      <w:r>
        <w:rPr>
          <w:rFonts w:hint="eastAsia"/>
          <w:color w:val="auto"/>
          <w:highlight w:val="none"/>
          <w:u w:val="none"/>
          <w:lang w:val="en-US" w:eastAsia="zh-CN"/>
        </w:rPr>
        <w:t>分别</w:t>
      </w:r>
      <w:r>
        <w:rPr>
          <w:rFonts w:hint="eastAsia" w:ascii="Times New Roman" w:hAnsi="Times New Roman"/>
          <w:color w:val="auto"/>
          <w:highlight w:val="none"/>
          <w:u w:val="none"/>
          <w:lang w:val="en-US" w:eastAsia="zh-CN"/>
        </w:rPr>
        <w:t>提高到2335元、1891元。</w:t>
      </w:r>
      <w:r>
        <w:rPr>
          <w:rFonts w:hint="eastAsia" w:ascii="Times New Roman" w:hAnsi="Times New Roman"/>
          <w:b/>
          <w:bCs/>
          <w:color w:val="auto"/>
          <w:highlight w:val="none"/>
          <w:u w:val="none"/>
          <w:lang w:val="en-US" w:eastAsia="zh-CN"/>
        </w:rPr>
        <w:t>四是医疗卫生服务提质增效。</w:t>
      </w:r>
      <w:r>
        <w:rPr>
          <w:rFonts w:hint="eastAsia" w:ascii="Times New Roman" w:hAnsi="Times New Roman"/>
          <w:color w:val="auto"/>
          <w:highlight w:val="none"/>
          <w:u w:val="none"/>
          <w:lang w:val="en-US" w:eastAsia="zh-CN"/>
        </w:rPr>
        <w:t>卫生健康支出</w:t>
      </w:r>
      <w:r>
        <w:rPr>
          <w:rFonts w:hint="eastAsia"/>
          <w:color w:val="auto"/>
          <w:highlight w:val="none"/>
          <w:u w:val="none"/>
          <w:lang w:val="en-US" w:eastAsia="zh-CN"/>
        </w:rPr>
        <w:t>2</w:t>
      </w:r>
      <w:r>
        <w:rPr>
          <w:rFonts w:hint="eastAsia" w:ascii="Times New Roman" w:hAnsi="Times New Roman"/>
          <w:color w:val="auto"/>
          <w:highlight w:val="none"/>
          <w:u w:val="none"/>
          <w:lang w:val="en-US" w:eastAsia="zh-CN"/>
        </w:rPr>
        <w:t>亿元，增长</w:t>
      </w:r>
      <w:r>
        <w:rPr>
          <w:rFonts w:hint="eastAsia"/>
          <w:color w:val="auto"/>
          <w:highlight w:val="none"/>
          <w:u w:val="none"/>
          <w:lang w:val="en-US" w:eastAsia="zh-CN"/>
        </w:rPr>
        <w:t>3.6</w:t>
      </w:r>
      <w:r>
        <w:rPr>
          <w:rFonts w:hint="eastAsia" w:ascii="Times New Roman" w:hAnsi="Times New Roman"/>
          <w:color w:val="auto"/>
          <w:highlight w:val="none"/>
          <w:u w:val="none"/>
          <w:lang w:val="en-US" w:eastAsia="zh-CN"/>
        </w:rPr>
        <w:t>%。主要用于公立医院及基层医疗卫生机构综合改革、公共卫生服务、医疗服务与保障能力建设等方面，稳步提高应对突发重大公共卫生事件能力</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将城乡居民医保财政补助标准提高到年人均</w:t>
      </w:r>
      <w:r>
        <w:rPr>
          <w:rFonts w:hint="eastAsia"/>
          <w:color w:val="auto"/>
          <w:highlight w:val="none"/>
          <w:u w:val="none"/>
          <w:lang w:val="en-US" w:eastAsia="zh-CN"/>
        </w:rPr>
        <w:t>700</w:t>
      </w:r>
      <w:r>
        <w:rPr>
          <w:rFonts w:hint="eastAsia" w:ascii="Times New Roman" w:hAnsi="Times New Roman"/>
          <w:color w:val="auto"/>
          <w:highlight w:val="none"/>
          <w:u w:val="none"/>
          <w:lang w:val="en-US" w:eastAsia="zh-CN"/>
        </w:rPr>
        <w:t>元，支持落实城乡居民基本医保待遇、巩固大病保险保障水平。将基本公共卫生服务人均财政补助标准提高到</w:t>
      </w:r>
      <w:r>
        <w:rPr>
          <w:rFonts w:hint="eastAsia"/>
          <w:color w:val="auto"/>
          <w:highlight w:val="none"/>
          <w:u w:val="none"/>
          <w:lang w:val="en-US" w:eastAsia="zh-CN"/>
        </w:rPr>
        <w:t>99</w:t>
      </w:r>
      <w:r>
        <w:rPr>
          <w:rFonts w:hint="eastAsia" w:ascii="Times New Roman" w:hAnsi="Times New Roman"/>
          <w:color w:val="auto"/>
          <w:highlight w:val="none"/>
          <w:u w:val="none"/>
          <w:lang w:val="en-US" w:eastAsia="zh-CN"/>
        </w:rPr>
        <w:t>元，提升公共卫生服务能力水平。</w:t>
      </w:r>
      <w:r>
        <w:rPr>
          <w:rFonts w:hint="eastAsia"/>
          <w:color w:val="auto"/>
          <w:highlight w:val="none"/>
          <w:u w:val="none"/>
          <w:lang w:val="en-US" w:eastAsia="zh-CN"/>
        </w:rPr>
        <w:t>精准发放育儿补贴2453万元，减轻家庭生育养育负担。</w:t>
      </w:r>
      <w:r>
        <w:rPr>
          <w:rFonts w:hint="eastAsia" w:ascii="Times New Roman" w:hAnsi="Times New Roman"/>
          <w:b/>
          <w:bCs/>
          <w:color w:val="auto"/>
          <w:highlight w:val="none"/>
          <w:u w:val="none"/>
          <w:lang w:val="en-US" w:eastAsia="zh-CN"/>
        </w:rPr>
        <w:t>五是</w:t>
      </w:r>
      <w:r>
        <w:rPr>
          <w:rFonts w:hint="eastAsia"/>
          <w:b/>
          <w:bCs/>
          <w:color w:val="auto"/>
          <w:highlight w:val="none"/>
          <w:u w:val="none"/>
          <w:lang w:val="en-US" w:eastAsia="zh-CN"/>
        </w:rPr>
        <w:t>加强应急抢险救灾建设</w:t>
      </w:r>
      <w:r>
        <w:rPr>
          <w:rFonts w:hint="eastAsia" w:ascii="Times New Roman" w:hAnsi="Times New Roman"/>
          <w:b/>
          <w:bCs/>
          <w:color w:val="auto"/>
          <w:highlight w:val="none"/>
          <w:u w:val="none"/>
          <w:lang w:val="en-US" w:eastAsia="zh-CN"/>
        </w:rPr>
        <w:t>。</w:t>
      </w:r>
      <w:r>
        <w:rPr>
          <w:rFonts w:hint="eastAsia"/>
          <w:color w:val="auto"/>
          <w:highlight w:val="none"/>
          <w:u w:val="none"/>
          <w:lang w:val="en-US" w:eastAsia="zh-CN"/>
        </w:rPr>
        <w:t>灾害防治及应急管理支出5800万</w:t>
      </w:r>
      <w:r>
        <w:rPr>
          <w:rFonts w:hint="eastAsia" w:ascii="Times New Roman" w:hAnsi="Times New Roman"/>
          <w:color w:val="auto"/>
          <w:highlight w:val="none"/>
          <w:u w:val="none"/>
          <w:lang w:val="en-US" w:eastAsia="zh-CN"/>
        </w:rPr>
        <w:t>元</w:t>
      </w:r>
      <w:r>
        <w:rPr>
          <w:rFonts w:hint="eastAsia"/>
          <w:color w:val="auto"/>
          <w:highlight w:val="none"/>
          <w:u w:val="none"/>
          <w:lang w:val="en-US" w:eastAsia="zh-CN"/>
        </w:rPr>
        <w:t>，用于应急抢险、受灾群众救助和应急物资储备保障，开展次生灾害隐患排查和应急整治，实施自然灾害避灾点巩固提升。</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jc w:val="both"/>
        <w:textAlignment w:val="auto"/>
        <w:rPr>
          <w:rFonts w:hint="eastAsia" w:ascii="Times New Roman" w:hAnsi="Times New Roman" w:cs="仿宋_GB2312"/>
          <w:b w:val="0"/>
          <w:bCs/>
          <w:i w:val="0"/>
          <w:caps w:val="0"/>
          <w:strike w:val="0"/>
          <w:color w:val="auto"/>
          <w:spacing w:val="0"/>
          <w:sz w:val="32"/>
          <w:szCs w:val="32"/>
          <w:highlight w:val="none"/>
          <w:u w:val="none"/>
          <w:shd w:val="clear" w:fill="FFFFFF"/>
          <w:lang w:val="en-US" w:eastAsia="zh-CN"/>
        </w:rPr>
      </w:pPr>
      <w:r>
        <w:rPr>
          <w:rFonts w:hint="eastAsia" w:ascii="Times New Roman" w:hAnsi="Times New Roman" w:eastAsia="仿宋_GB2312" w:cs="仿宋_GB2312"/>
          <w:b/>
          <w:i w:val="0"/>
          <w:caps w:val="0"/>
          <w:color w:val="auto"/>
          <w:spacing w:val="0"/>
          <w:sz w:val="32"/>
          <w:szCs w:val="32"/>
          <w:highlight w:val="none"/>
          <w:u w:val="none"/>
          <w:shd w:val="clear" w:fill="FFFFFF"/>
          <w:lang w:val="en-US" w:eastAsia="zh-CN"/>
        </w:rPr>
        <w:t>4.</w:t>
      </w:r>
      <w:r>
        <w:rPr>
          <w:rFonts w:hint="eastAsia" w:ascii="Times New Roman" w:hAnsi="Times New Roman" w:cs="仿宋_GB2312"/>
          <w:b/>
          <w:i w:val="0"/>
          <w:caps w:val="0"/>
          <w:color w:val="auto"/>
          <w:spacing w:val="0"/>
          <w:sz w:val="32"/>
          <w:szCs w:val="32"/>
          <w:highlight w:val="none"/>
          <w:u w:val="none"/>
          <w:shd w:val="clear" w:fill="FFFFFF"/>
          <w:lang w:val="en-US" w:eastAsia="zh-CN"/>
        </w:rPr>
        <w:t>坚持重点与增效并举，城乡发展动能进一步</w:t>
      </w:r>
      <w:r>
        <w:rPr>
          <w:rFonts w:hint="eastAsia" w:cs="仿宋_GB2312"/>
          <w:b/>
          <w:i w:val="0"/>
          <w:caps w:val="0"/>
          <w:color w:val="auto"/>
          <w:spacing w:val="0"/>
          <w:sz w:val="32"/>
          <w:szCs w:val="32"/>
          <w:highlight w:val="none"/>
          <w:u w:val="none"/>
          <w:shd w:val="clear" w:fill="FFFFFF"/>
          <w:lang w:val="en-US" w:eastAsia="zh-CN"/>
        </w:rPr>
        <w:t>激活</w:t>
      </w:r>
      <w:r>
        <w:rPr>
          <w:rFonts w:hint="eastAsia" w:ascii="Times New Roman" w:hAnsi="Times New Roman" w:cs="仿宋_GB2312"/>
          <w:b/>
          <w:i w:val="0"/>
          <w:caps w:val="0"/>
          <w:color w:val="auto"/>
          <w:spacing w:val="0"/>
          <w:sz w:val="32"/>
          <w:szCs w:val="32"/>
          <w:highlight w:val="none"/>
          <w:u w:val="none"/>
          <w:shd w:val="clear" w:fill="FFFFFF"/>
          <w:lang w:val="en-US" w:eastAsia="zh-CN"/>
        </w:rPr>
        <w:t>。一是</w:t>
      </w:r>
      <w:r>
        <w:rPr>
          <w:rFonts w:hint="eastAsia" w:ascii="Times New Roman" w:hAnsi="Times New Roman" w:cs="仿宋_GB2312"/>
          <w:b/>
          <w:bCs w:val="0"/>
          <w:i w:val="0"/>
          <w:caps w:val="0"/>
          <w:color w:val="auto"/>
          <w:spacing w:val="0"/>
          <w:sz w:val="32"/>
          <w:szCs w:val="32"/>
          <w:highlight w:val="none"/>
          <w:u w:val="none"/>
          <w:shd w:val="clear" w:fill="FFFFFF"/>
          <w:lang w:val="en-US" w:eastAsia="zh-CN"/>
        </w:rPr>
        <w:t>提升稳投资促发展水平。</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对全县129个</w:t>
      </w:r>
      <w:r>
        <w:rPr>
          <w:rFonts w:hint="eastAsia" w:cs="仿宋_GB2312"/>
          <w:b w:val="0"/>
          <w:bCs/>
          <w:i w:val="0"/>
          <w:caps w:val="0"/>
          <w:color w:val="auto"/>
          <w:spacing w:val="0"/>
          <w:sz w:val="32"/>
          <w:szCs w:val="32"/>
          <w:highlight w:val="none"/>
          <w:u w:val="none"/>
          <w:shd w:val="clear" w:fill="FFFFFF"/>
          <w:lang w:val="en-US" w:eastAsia="zh-CN"/>
        </w:rPr>
        <w:t>财政性</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投资重点项目的资金需求进行详细审核和统筹安排，周密制定财政投资重点项目投入产出平衡方案和重大项目资金筹措计划，</w:t>
      </w:r>
      <w:r>
        <w:rPr>
          <w:rFonts w:hint="eastAsia" w:ascii="Times New Roman" w:hAnsi="Times New Roman" w:eastAsia="仿宋_GB2312" w:cs="仿宋_GB2312"/>
          <w:b w:val="0"/>
          <w:bCs/>
          <w:color w:val="auto"/>
          <w:sz w:val="32"/>
          <w:szCs w:val="32"/>
          <w:highlight w:val="none"/>
          <w:u w:val="none" w:color="auto"/>
          <w:shd w:val="clear" w:fill="FFFFFF"/>
          <w:lang w:val="en-US"/>
        </w:rPr>
        <w:t>强化“财政</w:t>
      </w:r>
      <w:r>
        <w:rPr>
          <w:rFonts w:hint="eastAsia" w:ascii="Times New Roman" w:hAnsi="Times New Roman" w:eastAsia="仿宋_GB2312" w:cs="仿宋_GB2312"/>
          <w:b w:val="0"/>
          <w:bCs/>
          <w:color w:val="auto"/>
          <w:sz w:val="32"/>
          <w:szCs w:val="32"/>
          <w:highlight w:val="none"/>
          <w:u w:val="none" w:color="auto"/>
          <w:shd w:val="clear" w:fill="FFFFFF"/>
          <w:lang w:val="en-US" w:eastAsia="zh-CN"/>
        </w:rPr>
        <w:t>+</w:t>
      </w:r>
      <w:r>
        <w:rPr>
          <w:rFonts w:hint="eastAsia" w:ascii="Times New Roman" w:hAnsi="Times New Roman" w:eastAsia="仿宋_GB2312" w:cs="仿宋_GB2312"/>
          <w:b w:val="0"/>
          <w:bCs/>
          <w:color w:val="auto"/>
          <w:sz w:val="32"/>
          <w:szCs w:val="32"/>
          <w:highlight w:val="none"/>
          <w:u w:val="none" w:color="auto"/>
          <w:shd w:val="clear" w:fill="FFFFFF"/>
          <w:lang w:val="en-US"/>
        </w:rPr>
        <w:t>”思维，</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统筹上级补助、专项债券、土地出让金等资金和手段，全年拨付27亿元支持</w:t>
      </w:r>
      <w:r>
        <w:rPr>
          <w:rFonts w:hint="eastAsia" w:cs="仿宋_GB2312"/>
          <w:b w:val="0"/>
          <w:bCs/>
          <w:i w:val="0"/>
          <w:caps w:val="0"/>
          <w:color w:val="auto"/>
          <w:spacing w:val="0"/>
          <w:sz w:val="32"/>
          <w:szCs w:val="32"/>
          <w:highlight w:val="none"/>
          <w:u w:val="none"/>
          <w:shd w:val="clear" w:fill="FFFFFF"/>
          <w:lang w:val="en-US" w:eastAsia="zh-CN"/>
        </w:rPr>
        <w:t>交通</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、保障性住房、教育、文化、农林水利等领域财政性投资重点项目建设。</w:t>
      </w:r>
      <w:r>
        <w:rPr>
          <w:rFonts w:hint="eastAsia" w:ascii="Times New Roman" w:hAnsi="Times New Roman" w:cs="仿宋_GB2312"/>
          <w:b w:val="0"/>
          <w:bCs w:val="0"/>
          <w:color w:val="auto"/>
          <w:highlight w:val="none"/>
          <w:u w:val="none"/>
          <w:lang w:val="en-US" w:eastAsia="zh-CN"/>
        </w:rPr>
        <w:t>以高效、精准的评审服务，为项目建设抢时间、强保障</w:t>
      </w:r>
      <w:r>
        <w:rPr>
          <w:rFonts w:hint="eastAsia" w:cs="仿宋_GB2312"/>
          <w:b w:val="0"/>
          <w:bCs w:val="0"/>
          <w:color w:val="auto"/>
          <w:highlight w:val="none"/>
          <w:u w:val="none"/>
          <w:lang w:val="en-US" w:eastAsia="zh-CN"/>
        </w:rPr>
        <w:t>，</w:t>
      </w:r>
      <w:r>
        <w:rPr>
          <w:rFonts w:hint="eastAsia" w:ascii="Times New Roman" w:hAnsi="Times New Roman" w:cs="仿宋_GB2312"/>
          <w:b w:val="0"/>
          <w:bCs w:val="0"/>
          <w:color w:val="auto"/>
          <w:highlight w:val="none"/>
          <w:u w:val="none"/>
          <w:lang w:val="en-US" w:eastAsia="zh-CN"/>
        </w:rPr>
        <w:t>全年共完成57个预（结）算项目，送审金额18.06亿元，审定金额16.44亿元，节省财政资金1.62亿元，核减率8.97%。</w:t>
      </w:r>
      <w:r>
        <w:rPr>
          <w:rFonts w:hint="eastAsia" w:ascii="Times New Roman" w:hAnsi="Times New Roman" w:cs="仿宋_GB2312"/>
          <w:b/>
          <w:bCs w:val="0"/>
          <w:i w:val="0"/>
          <w:caps w:val="0"/>
          <w:color w:val="auto"/>
          <w:spacing w:val="0"/>
          <w:sz w:val="32"/>
          <w:szCs w:val="32"/>
          <w:highlight w:val="none"/>
          <w:u w:val="none"/>
          <w:shd w:val="clear" w:fill="FFFFFF"/>
          <w:lang w:val="en-US" w:eastAsia="zh-CN"/>
        </w:rPr>
        <w:t>二是深化抓城建提品质行动。</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多渠道筹措资金2.63亿元，支持实施“抓城建提品质”专项行动，扎实有序推进城市更新，系统性完善城乡基础设施，支持新型城市基础设施建设，促进城产人深度融合发展。</w:t>
      </w:r>
      <w:r>
        <w:rPr>
          <w:rFonts w:hint="eastAsia" w:ascii="Times New Roman" w:hAnsi="Times New Roman" w:cs="仿宋_GB2312"/>
          <w:b w:val="0"/>
          <w:bCs/>
          <w:i w:val="0"/>
          <w:caps w:val="0"/>
          <w:strike w:val="0"/>
          <w:dstrike w:val="0"/>
          <w:color w:val="auto"/>
          <w:spacing w:val="0"/>
          <w:sz w:val="32"/>
          <w:szCs w:val="32"/>
          <w:highlight w:val="none"/>
          <w:u w:val="none"/>
          <w:shd w:val="clear" w:fill="FFFFFF"/>
          <w:lang w:val="en-US" w:eastAsia="zh-CN"/>
        </w:rPr>
        <w:t>统筹1775万元支持“刺桐侨厝”建筑保护利用、传统村落集中连片保护利用及闽台乡建乡创合作项目等。</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争取中央专项彩票公益金支持地方社会公益事业发展资金1039万元，有力支持基层综合服务能力提升等6个社会公益事业项目建设。</w:t>
      </w:r>
      <w:r>
        <w:rPr>
          <w:rFonts w:hint="eastAsia" w:ascii="Times New Roman" w:hAnsi="Times New Roman" w:cs="仿宋_GB2312"/>
          <w:b/>
          <w:bCs w:val="0"/>
          <w:i w:val="0"/>
          <w:caps w:val="0"/>
          <w:color w:val="auto"/>
          <w:spacing w:val="0"/>
          <w:sz w:val="32"/>
          <w:szCs w:val="32"/>
          <w:highlight w:val="none"/>
          <w:u w:val="none"/>
          <w:shd w:val="clear" w:fill="FFFFFF"/>
          <w:lang w:val="en-US" w:eastAsia="zh-CN"/>
        </w:rPr>
        <w:t>三是</w:t>
      </w:r>
      <w:r>
        <w:rPr>
          <w:rFonts w:hint="eastAsia" w:ascii="Times New Roman" w:hAnsi="Times New Roman" w:cs="仿宋_GB2312"/>
          <w:b/>
          <w:i w:val="0"/>
          <w:caps w:val="0"/>
          <w:color w:val="auto"/>
          <w:spacing w:val="0"/>
          <w:sz w:val="32"/>
          <w:szCs w:val="32"/>
          <w:highlight w:val="none"/>
          <w:u w:val="none"/>
          <w:shd w:val="clear" w:fill="FFFFFF"/>
          <w:lang w:val="en-US" w:eastAsia="zh-CN"/>
        </w:rPr>
        <w:t>树立大财政大统筹思维。</w:t>
      </w:r>
      <w:r>
        <w:rPr>
          <w:rFonts w:hint="eastAsia" w:ascii="Times New Roman" w:hAnsi="Times New Roman" w:eastAsia="仿宋_GB2312" w:cs="仿宋_GB2312"/>
          <w:color w:val="auto"/>
          <w:sz w:val="32"/>
          <w:szCs w:val="32"/>
          <w:highlight w:val="none"/>
        </w:rPr>
        <w:t>整合全县财政资金、资产、资源，强化跨部门协同，形成“收入统筹、资源盘活、支出高效、风险可控”的财政管理体系，</w:t>
      </w:r>
      <w:r>
        <w:rPr>
          <w:rFonts w:hint="eastAsia" w:cs="仿宋_GB2312"/>
          <w:color w:val="auto"/>
          <w:sz w:val="32"/>
          <w:szCs w:val="32"/>
          <w:highlight w:val="none"/>
          <w:lang w:val="en-US" w:eastAsia="zh-CN"/>
        </w:rPr>
        <w:t>有效</w:t>
      </w:r>
      <w:r>
        <w:rPr>
          <w:rFonts w:hint="eastAsia" w:ascii="Times New Roman" w:hAnsi="Times New Roman" w:eastAsia="仿宋_GB2312" w:cs="仿宋_GB2312"/>
          <w:color w:val="auto"/>
          <w:sz w:val="32"/>
          <w:szCs w:val="32"/>
          <w:highlight w:val="none"/>
        </w:rPr>
        <w:t>提升预算管理水平和财政治理效能。</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建立公共资产资源盘活利用工作机制，将沉淀低效公共资产资源进行市场化盘活利用，提高政府投资效益和公共资产资源运行效率，</w:t>
      </w:r>
      <w:r>
        <w:rPr>
          <w:rFonts w:hint="eastAsia" w:cs="仿宋_GB2312"/>
          <w:b w:val="0"/>
          <w:bCs/>
          <w:i w:val="0"/>
          <w:caps w:val="0"/>
          <w:color w:val="auto"/>
          <w:spacing w:val="0"/>
          <w:sz w:val="32"/>
          <w:szCs w:val="32"/>
          <w:highlight w:val="none"/>
          <w:u w:val="none"/>
          <w:shd w:val="clear" w:fill="FFFFFF"/>
          <w:lang w:val="en-US" w:eastAsia="zh-CN"/>
        </w:rPr>
        <w:t>更好服务改革发展大局</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jc w:val="both"/>
        <w:textAlignment w:val="auto"/>
        <w:rPr>
          <w:rFonts w:hint="default" w:ascii="Times New Roman" w:hAnsi="Times New Roman" w:cs="仿宋_GB2312"/>
          <w:b w:val="0"/>
          <w:bCs w:val="0"/>
          <w:color w:val="auto"/>
          <w:highlight w:val="none"/>
          <w:u w:val="none"/>
          <w:lang w:val="en-US" w:eastAsia="zh-CN"/>
        </w:rPr>
      </w:pPr>
      <w:r>
        <w:rPr>
          <w:rFonts w:hint="eastAsia" w:ascii="Times New Roman" w:hAnsi="Times New Roman" w:eastAsia="仿宋_GB2312" w:cs="仿宋_GB2312"/>
          <w:b/>
          <w:i w:val="0"/>
          <w:caps w:val="0"/>
          <w:color w:val="auto"/>
          <w:spacing w:val="0"/>
          <w:sz w:val="32"/>
          <w:szCs w:val="32"/>
          <w:highlight w:val="none"/>
          <w:u w:val="none"/>
          <w:shd w:val="clear" w:fill="FFFFFF"/>
          <w:lang w:val="en-US" w:eastAsia="zh-CN"/>
        </w:rPr>
        <w:t>5.</w:t>
      </w:r>
      <w:r>
        <w:rPr>
          <w:rFonts w:hint="eastAsia" w:ascii="Times New Roman" w:hAnsi="Times New Roman" w:cs="仿宋_GB2312"/>
          <w:b/>
          <w:i w:val="0"/>
          <w:caps w:val="0"/>
          <w:color w:val="auto"/>
          <w:spacing w:val="0"/>
          <w:sz w:val="32"/>
          <w:szCs w:val="32"/>
          <w:highlight w:val="none"/>
          <w:u w:val="none"/>
          <w:shd w:val="clear" w:fill="FFFFFF"/>
          <w:lang w:val="en-US" w:eastAsia="zh-CN"/>
        </w:rPr>
        <w:t>坚持改革与创新并举，财政治理</w:t>
      </w:r>
      <w:r>
        <w:rPr>
          <w:rFonts w:hint="eastAsia" w:cs="仿宋_GB2312"/>
          <w:b/>
          <w:i w:val="0"/>
          <w:caps w:val="0"/>
          <w:color w:val="auto"/>
          <w:spacing w:val="0"/>
          <w:sz w:val="32"/>
          <w:szCs w:val="32"/>
          <w:highlight w:val="none"/>
          <w:u w:val="none"/>
          <w:shd w:val="clear" w:fill="FFFFFF"/>
          <w:lang w:val="en-US" w:eastAsia="zh-CN"/>
        </w:rPr>
        <w:t>效能</w:t>
      </w:r>
      <w:r>
        <w:rPr>
          <w:rFonts w:hint="eastAsia" w:ascii="Times New Roman" w:hAnsi="Times New Roman" w:cs="仿宋_GB2312"/>
          <w:b/>
          <w:i w:val="0"/>
          <w:caps w:val="0"/>
          <w:color w:val="auto"/>
          <w:spacing w:val="0"/>
          <w:sz w:val="32"/>
          <w:szCs w:val="32"/>
          <w:highlight w:val="none"/>
          <w:u w:val="none"/>
          <w:shd w:val="clear" w:fill="FFFFFF"/>
          <w:lang w:val="en-US" w:eastAsia="zh-CN"/>
        </w:rPr>
        <w:t>进一步</w:t>
      </w:r>
      <w:r>
        <w:rPr>
          <w:rFonts w:hint="eastAsia" w:cs="仿宋_GB2312"/>
          <w:b/>
          <w:i w:val="0"/>
          <w:caps w:val="0"/>
          <w:color w:val="auto"/>
          <w:spacing w:val="0"/>
          <w:sz w:val="32"/>
          <w:szCs w:val="32"/>
          <w:highlight w:val="none"/>
          <w:u w:val="none"/>
          <w:shd w:val="clear" w:fill="FFFFFF"/>
          <w:lang w:val="en-US" w:eastAsia="zh-CN"/>
        </w:rPr>
        <w:t>提高</w:t>
      </w:r>
      <w:r>
        <w:rPr>
          <w:rFonts w:hint="eastAsia" w:ascii="Times New Roman" w:hAnsi="Times New Roman" w:cs="仿宋_GB2312"/>
          <w:b/>
          <w:i w:val="0"/>
          <w:caps w:val="0"/>
          <w:color w:val="auto"/>
          <w:spacing w:val="0"/>
          <w:sz w:val="32"/>
          <w:szCs w:val="32"/>
          <w:highlight w:val="none"/>
          <w:u w:val="none"/>
          <w:shd w:val="clear" w:fill="FFFFFF"/>
          <w:lang w:val="en-US" w:eastAsia="zh-CN"/>
        </w:rPr>
        <w:t>。</w:t>
      </w:r>
      <w:r>
        <w:rPr>
          <w:rFonts w:hint="eastAsia" w:ascii="Times New Roman" w:hAnsi="Times New Roman" w:cs="仿宋_GB2312"/>
          <w:b/>
          <w:bCs/>
          <w:color w:val="auto"/>
          <w:highlight w:val="none"/>
          <w:u w:val="none"/>
          <w:lang w:val="en-US" w:eastAsia="zh-CN"/>
        </w:rPr>
        <w:t>一是扎实推进法治财政建设。</w:t>
      </w:r>
      <w:r>
        <w:rPr>
          <w:rFonts w:hint="eastAsia" w:ascii="Times New Roman" w:hAnsi="Times New Roman" w:eastAsia="仿宋_GB2312" w:cs="仿宋_GB2312"/>
          <w:color w:val="000000"/>
          <w:sz w:val="32"/>
          <w:szCs w:val="32"/>
          <w:shd w:val="clear" w:color="auto" w:fill="FFFFFF"/>
        </w:rPr>
        <w:t>依法向县人大及其常委会报告预算执行、决算、地方政府债务管理、国有资产管理等情况</w:t>
      </w:r>
      <w:r>
        <w:rPr>
          <w:rFonts w:hint="eastAsia" w:ascii="Times New Roman" w:hAnsi="Times New Roman" w:cs="仿宋_GB2312"/>
          <w:b w:val="0"/>
          <w:bCs w:val="0"/>
          <w:color w:val="auto"/>
          <w:highlight w:val="none"/>
          <w:u w:val="none"/>
          <w:lang w:val="en-US" w:eastAsia="zh-CN"/>
        </w:rPr>
        <w:t>，落实有关审查和分析意见，积极改进财政工作。坚持“公开为常态、不公开为例外”的原则，以财政管理制度、预决算、地方政府债务、政府采购、资产管理、绩效管理等领域为重点，全面推进财政信息公开。</w:t>
      </w:r>
      <w:r>
        <w:rPr>
          <w:rFonts w:hint="eastAsia" w:ascii="Times New Roman" w:hAnsi="Times New Roman" w:cs="仿宋_GB2312"/>
          <w:b/>
          <w:bCs/>
          <w:color w:val="auto"/>
          <w:highlight w:val="none"/>
          <w:u w:val="none"/>
          <w:lang w:val="en-US" w:eastAsia="zh-CN"/>
        </w:rPr>
        <w:t>二是全面深化预算</w:t>
      </w:r>
      <w:r>
        <w:rPr>
          <w:rFonts w:hint="eastAsia" w:cs="仿宋_GB2312"/>
          <w:b/>
          <w:bCs/>
          <w:color w:val="auto"/>
          <w:highlight w:val="none"/>
          <w:u w:val="none"/>
          <w:lang w:val="en-US" w:eastAsia="zh-CN"/>
        </w:rPr>
        <w:t>管理</w:t>
      </w:r>
      <w:r>
        <w:rPr>
          <w:rFonts w:hint="eastAsia" w:ascii="Times New Roman" w:hAnsi="Times New Roman" w:cs="仿宋_GB2312"/>
          <w:b/>
          <w:bCs/>
          <w:color w:val="auto"/>
          <w:highlight w:val="none"/>
          <w:u w:val="none"/>
          <w:lang w:val="en-US" w:eastAsia="zh-CN"/>
        </w:rPr>
        <w:t>改革。</w:t>
      </w:r>
      <w:r>
        <w:rPr>
          <w:rFonts w:hint="eastAsia" w:ascii="Times New Roman" w:hAnsi="Times New Roman" w:cs="仿宋_GB2312"/>
          <w:b w:val="0"/>
          <w:bCs w:val="0"/>
          <w:color w:val="auto"/>
          <w:highlight w:val="none"/>
          <w:u w:val="none"/>
          <w:lang w:val="en-US" w:eastAsia="zh-CN"/>
        </w:rPr>
        <w:t>落实零基预算改革，坚持“先预算后支出、无预算不支出、超预算不安排”原则，全面打破预算安排和资金分配“基数”，所有部门预算均以“零”为起点，逐项审核项目必要性、可行性和绩效目标，聚焦重点领域精准施策，让每一分钱都花在刀刃上、用在紧要处。</w:t>
      </w:r>
      <w:r>
        <w:rPr>
          <w:rFonts w:hint="eastAsia" w:ascii="Times New Roman" w:hAnsi="Times New Roman" w:eastAsia="仿宋_GB2312" w:cs="仿宋_GB2312"/>
          <w:i w:val="0"/>
          <w:caps w:val="0"/>
          <w:color w:val="auto"/>
          <w:spacing w:val="0"/>
          <w:sz w:val="32"/>
          <w:szCs w:val="24"/>
          <w:highlight w:val="none"/>
          <w:u w:val="none"/>
          <w:shd w:val="clear" w:fill="auto"/>
        </w:rPr>
        <w:t>建立健全</w:t>
      </w:r>
      <w:r>
        <w:rPr>
          <w:rFonts w:hint="eastAsia" w:cs="仿宋_GB2312"/>
          <w:i w:val="0"/>
          <w:caps w:val="0"/>
          <w:color w:val="auto"/>
          <w:spacing w:val="0"/>
          <w:sz w:val="32"/>
          <w:szCs w:val="24"/>
          <w:highlight w:val="none"/>
          <w:u w:val="none"/>
          <w:shd w:val="clear" w:fill="auto"/>
          <w:lang w:eastAsia="zh-CN"/>
        </w:rPr>
        <w:t>财政</w:t>
      </w:r>
      <w:r>
        <w:rPr>
          <w:rFonts w:hint="eastAsia" w:ascii="Times New Roman" w:hAnsi="Times New Roman" w:eastAsia="仿宋_GB2312" w:cs="仿宋_GB2312"/>
          <w:i w:val="0"/>
          <w:caps w:val="0"/>
          <w:color w:val="auto"/>
          <w:spacing w:val="0"/>
          <w:sz w:val="32"/>
          <w:szCs w:val="24"/>
          <w:highlight w:val="none"/>
          <w:u w:val="none"/>
          <w:shd w:val="clear" w:fill="auto"/>
        </w:rPr>
        <w:t>存量资金定期清理评估机制</w:t>
      </w:r>
      <w:r>
        <w:rPr>
          <w:rFonts w:hint="eastAsia" w:ascii="Times New Roman" w:hAnsi="Times New Roman" w:eastAsia="仿宋_GB2312" w:cs="仿宋_GB2312"/>
          <w:i w:val="0"/>
          <w:caps w:val="0"/>
          <w:color w:val="auto"/>
          <w:spacing w:val="0"/>
          <w:sz w:val="32"/>
          <w:szCs w:val="24"/>
          <w:highlight w:val="none"/>
          <w:u w:val="none"/>
          <w:shd w:val="clear" w:fill="auto"/>
          <w:lang w:eastAsia="zh-CN"/>
        </w:rPr>
        <w:t>，</w:t>
      </w:r>
      <w:r>
        <w:rPr>
          <w:rFonts w:hint="eastAsia" w:ascii="Times New Roman" w:hAnsi="Times New Roman" w:eastAsia="仿宋_GB2312" w:cs="仿宋_GB2312"/>
          <w:i w:val="0"/>
          <w:caps w:val="0"/>
          <w:color w:val="auto"/>
          <w:spacing w:val="0"/>
          <w:sz w:val="32"/>
          <w:szCs w:val="24"/>
          <w:highlight w:val="none"/>
          <w:u w:val="none"/>
          <w:shd w:val="clear" w:fill="auto"/>
        </w:rPr>
        <w:t>督促各预算部门及单位对各类结余资金进行清理并及时上缴国库，</w:t>
      </w:r>
      <w:r>
        <w:rPr>
          <w:rFonts w:hint="eastAsia" w:ascii="Times New Roman" w:hAnsi="Times New Roman" w:cs="仿宋_GB2312"/>
          <w:b w:val="0"/>
          <w:bCs w:val="0"/>
          <w:color w:val="auto"/>
          <w:highlight w:val="none"/>
          <w:u w:val="none"/>
          <w:lang w:val="en-US" w:eastAsia="zh-CN"/>
        </w:rPr>
        <w:t>全年收回存量资金</w:t>
      </w:r>
      <w:r>
        <w:rPr>
          <w:rFonts w:hint="eastAsia" w:cs="仿宋_GB2312"/>
          <w:b w:val="0"/>
          <w:bCs w:val="0"/>
          <w:color w:val="auto"/>
          <w:highlight w:val="none"/>
          <w:u w:val="none"/>
          <w:lang w:val="en-US" w:eastAsia="zh-CN"/>
        </w:rPr>
        <w:t>2677</w:t>
      </w:r>
      <w:r>
        <w:rPr>
          <w:rFonts w:hint="eastAsia" w:ascii="Times New Roman" w:hAnsi="Times New Roman" w:cs="仿宋_GB2312"/>
          <w:b w:val="0"/>
          <w:bCs w:val="0"/>
          <w:color w:val="auto"/>
          <w:highlight w:val="none"/>
          <w:u w:val="none"/>
          <w:lang w:val="en-US" w:eastAsia="zh-CN"/>
        </w:rPr>
        <w:t>万元，统筹用于经济社会发展急需支持的领域。坚持“花钱必问效、无效必问责”理念，持续深化预算绩效管理改革，聚焦“事前－事中－事后”全周期管理，建立财政重点评价与部门自评相结合的多维度评价体系，对全县2269个项目涉及金额33.97亿元开展预算绩效目标管理，选</w:t>
      </w:r>
      <w:r>
        <w:rPr>
          <w:rFonts w:hint="eastAsia" w:cs="仿宋_GB2312"/>
          <w:b w:val="0"/>
          <w:bCs w:val="0"/>
          <w:color w:val="auto"/>
          <w:highlight w:val="none"/>
          <w:u w:val="none"/>
          <w:lang w:val="en-US" w:eastAsia="zh-CN"/>
        </w:rPr>
        <w:t>取</w:t>
      </w:r>
      <w:r>
        <w:rPr>
          <w:rFonts w:hint="eastAsia" w:ascii="Times New Roman" w:hAnsi="Times New Roman" w:cs="仿宋_GB2312"/>
          <w:b w:val="0"/>
          <w:bCs w:val="0"/>
          <w:color w:val="auto"/>
          <w:highlight w:val="none"/>
          <w:u w:val="none"/>
          <w:lang w:val="en-US" w:eastAsia="zh-CN"/>
        </w:rPr>
        <w:t>7个项目开展重点绩效评价工作，强化绩效管理结果与安排预算、完善政策和改进管理的挂钩应用。</w:t>
      </w:r>
      <w:r>
        <w:rPr>
          <w:rFonts w:hint="eastAsia" w:ascii="Times New Roman" w:hAnsi="Times New Roman" w:cs="仿宋_GB2312"/>
          <w:b/>
          <w:bCs/>
          <w:color w:val="auto"/>
          <w:highlight w:val="none"/>
          <w:u w:val="none"/>
          <w:lang w:val="en-US" w:eastAsia="zh-CN"/>
        </w:rPr>
        <w:t>三是不断加大财会监督力度。</w:t>
      </w:r>
      <w:r>
        <w:rPr>
          <w:rFonts w:hint="eastAsia" w:ascii="Times New Roman" w:hAnsi="Times New Roman" w:cs="仿宋_GB2312"/>
          <w:b w:val="0"/>
          <w:bCs w:val="0"/>
          <w:color w:val="auto"/>
          <w:highlight w:val="none"/>
          <w:u w:val="none"/>
          <w:lang w:val="en-US" w:eastAsia="zh-CN"/>
        </w:rPr>
        <w:t>深化财会监督与纪检监察监督、审计监督等贯通协同，深入开展群众身边不正之风和腐败问题集中整治，聚焦财经纪律重点问题开展专项监督，提高财政资金使用效益，推动财经纪律执行更加严格规范。强化财政局机关与乡镇财政管理“一对一”服务联系工作机制，不断提升乡镇财政财务管理水平。加强预算执行常态化监督，将95</w:t>
      </w:r>
      <w:r>
        <w:rPr>
          <w:rFonts w:hint="eastAsia" w:cs="仿宋_GB2312"/>
          <w:b w:val="0"/>
          <w:bCs w:val="0"/>
          <w:color w:val="auto"/>
          <w:highlight w:val="none"/>
          <w:u w:val="none"/>
          <w:lang w:val="en-US" w:eastAsia="zh-CN"/>
        </w:rPr>
        <w:t>项</w:t>
      </w:r>
      <w:r>
        <w:rPr>
          <w:rFonts w:hint="eastAsia" w:ascii="Times New Roman" w:hAnsi="Times New Roman" w:cs="仿宋_GB2312"/>
          <w:b w:val="0"/>
          <w:bCs w:val="0"/>
          <w:color w:val="auto"/>
          <w:highlight w:val="none"/>
          <w:u w:val="none"/>
          <w:lang w:val="en-US" w:eastAsia="zh-CN"/>
        </w:rPr>
        <w:t>转移支付资金纳入监控范围</w:t>
      </w:r>
      <w:r>
        <w:rPr>
          <w:rFonts w:hint="eastAsia" w:cs="仿宋_GB2312"/>
          <w:b w:val="0"/>
          <w:bCs w:val="0"/>
          <w:color w:val="auto"/>
          <w:highlight w:val="none"/>
          <w:u w:val="none"/>
          <w:lang w:val="en-US" w:eastAsia="zh-CN"/>
        </w:rPr>
        <w:t>，动态跟踪管理单位资金使用情况，为统筹财政资源提供有力支撑</w:t>
      </w:r>
      <w:r>
        <w:rPr>
          <w:rFonts w:hint="eastAsia" w:ascii="Times New Roman" w:hAnsi="Times New Roman" w:cs="仿宋_GB2312"/>
          <w:b w:val="0"/>
          <w:bCs w:val="0"/>
          <w:color w:val="auto"/>
          <w:highlight w:val="none"/>
          <w:u w:val="none"/>
          <w:lang w:val="en-US" w:eastAsia="zh-CN"/>
        </w:rPr>
        <w:t>。</w:t>
      </w:r>
      <w:r>
        <w:rPr>
          <w:rFonts w:hint="eastAsia" w:ascii="Times New Roman" w:hAnsi="Times New Roman" w:cs="仿宋_GB2312"/>
          <w:b/>
          <w:bCs/>
          <w:color w:val="auto"/>
          <w:highlight w:val="none"/>
          <w:u w:val="none"/>
          <w:lang w:val="en-US" w:eastAsia="zh-CN"/>
        </w:rPr>
        <w:t>四是持续深化国资国企改革。</w:t>
      </w:r>
      <w:r>
        <w:rPr>
          <w:rFonts w:hint="eastAsia" w:ascii="Times New Roman" w:hAnsi="Times New Roman" w:cs="仿宋_GB2312"/>
          <w:b w:val="0"/>
          <w:bCs w:val="0"/>
          <w:color w:val="auto"/>
          <w:highlight w:val="none"/>
          <w:u w:val="none"/>
          <w:lang w:val="en-US" w:eastAsia="zh-CN"/>
        </w:rPr>
        <w:t>实施国有企业改革深化提升五年行动，</w:t>
      </w:r>
      <w:r>
        <w:rPr>
          <w:rFonts w:hint="eastAsia" w:cs="仿宋_GB2312"/>
          <w:b w:val="0"/>
          <w:bCs w:val="0"/>
          <w:color w:val="auto"/>
          <w:highlight w:val="none"/>
          <w:u w:val="none"/>
          <w:lang w:val="en-US" w:eastAsia="zh-CN"/>
        </w:rPr>
        <w:t>成立国企党工委，</w:t>
      </w:r>
      <w:r>
        <w:rPr>
          <w:rFonts w:hint="eastAsia" w:ascii="Times New Roman" w:hAnsi="Times New Roman" w:cs="仿宋_GB2312"/>
          <w:b w:val="0"/>
          <w:bCs w:val="0"/>
          <w:color w:val="auto"/>
          <w:highlight w:val="none"/>
          <w:u w:val="none"/>
          <w:lang w:val="en-US" w:eastAsia="zh-CN"/>
        </w:rPr>
        <w:t>聚焦构建“以制度管人、管事”的长效机制</w:t>
      </w:r>
      <w:r>
        <w:rPr>
          <w:rFonts w:hint="eastAsia" w:cs="仿宋_GB2312"/>
          <w:b w:val="0"/>
          <w:bCs w:val="0"/>
          <w:color w:val="auto"/>
          <w:highlight w:val="none"/>
          <w:u w:val="none"/>
          <w:lang w:val="en-US" w:eastAsia="zh-CN"/>
        </w:rPr>
        <w:t>出台9份配套文件</w:t>
      </w:r>
      <w:r>
        <w:rPr>
          <w:rFonts w:hint="eastAsia" w:ascii="Times New Roman" w:hAnsi="Times New Roman" w:cs="仿宋_GB2312"/>
          <w:b w:val="0"/>
          <w:bCs w:val="0"/>
          <w:color w:val="auto"/>
          <w:highlight w:val="none"/>
          <w:u w:val="none"/>
          <w:lang w:val="en-US" w:eastAsia="zh-CN"/>
        </w:rPr>
        <w:t>，</w:t>
      </w:r>
      <w:r>
        <w:rPr>
          <w:rFonts w:hint="eastAsia" w:cs="仿宋_GB2312"/>
          <w:b w:val="0"/>
          <w:bCs w:val="0"/>
          <w:color w:val="auto"/>
          <w:highlight w:val="none"/>
          <w:u w:val="none"/>
          <w:lang w:val="en-US" w:eastAsia="zh-CN"/>
        </w:rPr>
        <w:t>进一步</w:t>
      </w:r>
      <w:r>
        <w:rPr>
          <w:rFonts w:hint="eastAsia" w:ascii="Times New Roman" w:hAnsi="Times New Roman" w:cs="仿宋_GB2312"/>
          <w:b w:val="0"/>
          <w:bCs w:val="0"/>
          <w:color w:val="auto"/>
          <w:highlight w:val="none"/>
          <w:u w:val="none"/>
          <w:lang w:val="en-US" w:eastAsia="zh-CN"/>
        </w:rPr>
        <w:t>理顺组织架构，明确国资监管职责主体，规范议事决策程序。科学</w:t>
      </w:r>
      <w:r>
        <w:rPr>
          <w:rFonts w:hint="eastAsia" w:cs="仿宋_GB2312"/>
          <w:b w:val="0"/>
          <w:bCs w:val="0"/>
          <w:color w:val="auto"/>
          <w:highlight w:val="none"/>
          <w:u w:val="none"/>
          <w:lang w:val="en-US" w:eastAsia="zh-CN"/>
        </w:rPr>
        <w:t>核定国有企业</w:t>
      </w:r>
      <w:r>
        <w:rPr>
          <w:rFonts w:hint="eastAsia" w:ascii="Times New Roman" w:hAnsi="Times New Roman" w:cs="仿宋_GB2312"/>
          <w:b w:val="0"/>
          <w:bCs w:val="0"/>
          <w:color w:val="auto"/>
          <w:highlight w:val="none"/>
          <w:u w:val="none"/>
          <w:lang w:val="en-US" w:eastAsia="zh-CN"/>
        </w:rPr>
        <w:t>用工需求，</w:t>
      </w:r>
      <w:r>
        <w:rPr>
          <w:rFonts w:hint="eastAsia" w:cs="仿宋_GB2312"/>
          <w:color w:val="auto"/>
          <w:highlight w:val="none"/>
          <w:u w:val="none"/>
        </w:rPr>
        <w:t>健全市场化选人用人机制，推行绩效化薪酬分配与多元化激励手段，畅通人才成长渠道，打造结构合理、素质过硬的国企干部队伍</w:t>
      </w:r>
      <w:r>
        <w:rPr>
          <w:rFonts w:hint="eastAsia" w:ascii="Times New Roman" w:hAnsi="Times New Roman" w:cs="仿宋_GB2312"/>
          <w:b w:val="0"/>
          <w:bCs w:val="0"/>
          <w:color w:val="auto"/>
          <w:highlight w:val="none"/>
          <w:u w:val="none"/>
          <w:lang w:val="en-US" w:eastAsia="zh-CN"/>
        </w:rPr>
        <w:t>，提升县属国企核心竞争力与服务县域发展能力。</w:t>
      </w:r>
      <w:r>
        <w:rPr>
          <w:rFonts w:hint="eastAsia" w:ascii="Times New Roman" w:hAnsi="Times New Roman" w:cs="仿宋_GB2312"/>
          <w:b/>
          <w:bCs/>
          <w:color w:val="auto"/>
          <w:highlight w:val="none"/>
          <w:u w:val="none"/>
          <w:lang w:val="en-US" w:eastAsia="zh-CN"/>
        </w:rPr>
        <w:t>五是防范化解财政金融风险。</w:t>
      </w:r>
      <w:r>
        <w:rPr>
          <w:rFonts w:hint="eastAsia" w:ascii="Times New Roman" w:hAnsi="Times New Roman" w:cs="仿宋_GB2312"/>
          <w:b w:val="0"/>
          <w:bCs w:val="0"/>
          <w:color w:val="auto"/>
          <w:highlight w:val="none"/>
          <w:u w:val="none"/>
          <w:lang w:val="en-US" w:eastAsia="zh-CN"/>
        </w:rPr>
        <w:t>健全“三保”预算编制审核机制，强化库款保障动态监测，确保不出现“三保”支出风险，全年“三保”支出</w:t>
      </w:r>
      <w:r>
        <w:rPr>
          <w:rFonts w:hint="eastAsia" w:cs="仿宋_GB2312"/>
          <w:b w:val="0"/>
          <w:bCs w:val="0"/>
          <w:color w:val="auto"/>
          <w:highlight w:val="none"/>
          <w:u w:val="none"/>
          <w:lang w:val="en-US" w:eastAsia="zh-CN"/>
        </w:rPr>
        <w:t>15.2</w:t>
      </w:r>
      <w:r>
        <w:rPr>
          <w:rFonts w:hint="eastAsia" w:ascii="Times New Roman" w:hAnsi="Times New Roman" w:cs="仿宋_GB2312"/>
          <w:b w:val="0"/>
          <w:bCs w:val="0"/>
          <w:color w:val="auto"/>
          <w:highlight w:val="none"/>
          <w:u w:val="none"/>
          <w:lang w:val="en-US" w:eastAsia="zh-CN"/>
        </w:rPr>
        <w:t>亿元</w:t>
      </w:r>
      <w:r>
        <w:rPr>
          <w:rFonts w:hint="eastAsia" w:cs="仿宋_GB2312"/>
          <w:b w:val="0"/>
          <w:bCs w:val="0"/>
          <w:color w:val="auto"/>
          <w:highlight w:val="none"/>
          <w:u w:val="none"/>
          <w:lang w:val="en-US" w:eastAsia="zh-CN"/>
        </w:rPr>
        <w:t>，预算执行进度为100%。</w:t>
      </w:r>
      <w:r>
        <w:rPr>
          <w:rFonts w:hint="eastAsia" w:ascii="Times New Roman" w:hAnsi="Times New Roman" w:cs="仿宋_GB2312"/>
          <w:b w:val="0"/>
          <w:bCs w:val="0"/>
          <w:color w:val="auto"/>
          <w:highlight w:val="none"/>
          <w:u w:val="none"/>
          <w:lang w:val="en-US" w:eastAsia="zh-CN"/>
        </w:rPr>
        <w:t>健全地方政府债务常态化监测机制，严格实行债务限额管理和预算管理，做到债务规模与建设投资相匹配、与地方财力相适应</w:t>
      </w:r>
      <w:r>
        <w:rPr>
          <w:rFonts w:hint="eastAsia" w:cs="仿宋_GB2312"/>
          <w:b w:val="0"/>
          <w:bCs w:val="0"/>
          <w:color w:val="auto"/>
          <w:highlight w:val="none"/>
          <w:u w:val="none"/>
          <w:lang w:val="en-US" w:eastAsia="zh-CN"/>
        </w:rPr>
        <w:t>，坚决杜绝新增政府隐性债务，防范政府债务风险</w:t>
      </w:r>
      <w:r>
        <w:rPr>
          <w:rFonts w:hint="eastAsia" w:ascii="Times New Roman" w:hAnsi="Times New Roman" w:cs="仿宋_GB2312"/>
          <w:b w:val="0"/>
          <w:bCs w:val="0"/>
          <w:color w:val="auto"/>
          <w:highlight w:val="none"/>
          <w:u w:val="none"/>
          <w:lang w:val="en-US" w:eastAsia="zh-CN"/>
        </w:rPr>
        <w:t>。</w:t>
      </w:r>
      <w:r>
        <w:rPr>
          <w:rFonts w:hint="eastAsia" w:cs="仿宋_GB2312"/>
          <w:b w:val="0"/>
          <w:bCs w:val="0"/>
          <w:color w:val="auto"/>
          <w:highlight w:val="none"/>
          <w:u w:val="none"/>
          <w:lang w:val="en-US" w:eastAsia="zh-CN"/>
        </w:rPr>
        <w:t>加强</w:t>
      </w:r>
      <w:r>
        <w:rPr>
          <w:rFonts w:hint="eastAsia" w:ascii="Times New Roman" w:hAnsi="Times New Roman" w:cs="仿宋_GB2312"/>
          <w:b w:val="0"/>
          <w:bCs w:val="0"/>
          <w:color w:val="auto"/>
          <w:highlight w:val="none"/>
          <w:u w:val="none"/>
          <w:lang w:val="en-US" w:eastAsia="zh-CN"/>
        </w:rPr>
        <w:t>金融风险监测，紧盯民间投融资中介、</w:t>
      </w:r>
      <w:r>
        <w:rPr>
          <w:rFonts w:hint="eastAsia" w:cs="仿宋_GB2312"/>
          <w:b w:val="0"/>
          <w:bCs w:val="0"/>
          <w:color w:val="auto"/>
          <w:highlight w:val="none"/>
          <w:u w:val="none"/>
          <w:lang w:val="en-US" w:eastAsia="zh-CN"/>
        </w:rPr>
        <w:t>民间标会</w:t>
      </w:r>
      <w:r>
        <w:rPr>
          <w:rFonts w:hint="eastAsia" w:ascii="Times New Roman" w:hAnsi="Times New Roman" w:cs="仿宋_GB2312"/>
          <w:b w:val="0"/>
          <w:bCs w:val="0"/>
          <w:color w:val="auto"/>
          <w:highlight w:val="none"/>
          <w:u w:val="none"/>
          <w:lang w:val="en-US" w:eastAsia="zh-CN"/>
        </w:rPr>
        <w:t>、电子商务、房地产等重点领域，严防涉非问题引发大规模涉稳案件，严守不发生系统性金融风险底线。</w:t>
      </w:r>
      <w:r>
        <w:rPr>
          <w:rFonts w:hint="eastAsia" w:cs="仿宋_GB2312"/>
          <w:b/>
          <w:bCs/>
          <w:color w:val="auto"/>
          <w:highlight w:val="none"/>
          <w:u w:val="none"/>
          <w:lang w:val="en-US" w:eastAsia="zh-CN"/>
        </w:rPr>
        <w:t>六</w:t>
      </w:r>
      <w:r>
        <w:rPr>
          <w:rFonts w:hint="eastAsia" w:ascii="Times New Roman" w:hAnsi="Times New Roman" w:cs="仿宋_GB2312"/>
          <w:b/>
          <w:bCs/>
          <w:color w:val="auto"/>
          <w:highlight w:val="none"/>
          <w:u w:val="none"/>
          <w:lang w:val="en-US" w:eastAsia="zh-CN"/>
        </w:rPr>
        <w:t>是优化政府采购营商环境。</w:t>
      </w:r>
      <w:r>
        <w:rPr>
          <w:rFonts w:hint="eastAsia" w:ascii="Times New Roman" w:hAnsi="Times New Roman" w:cs="仿宋_GB2312"/>
          <w:b w:val="0"/>
          <w:bCs w:val="0"/>
          <w:color w:val="auto"/>
          <w:highlight w:val="none"/>
          <w:u w:val="none"/>
          <w:lang w:val="en-US" w:eastAsia="zh-CN"/>
        </w:rPr>
        <w:t>强化政府采购监管，规范政府采购服务，降低政府采购交易成本，全年政府采购成交金额</w:t>
      </w:r>
      <w:r>
        <w:rPr>
          <w:rFonts w:hint="eastAsia" w:cs="仿宋_GB2312"/>
          <w:b w:val="0"/>
          <w:bCs w:val="0"/>
          <w:color w:val="auto"/>
          <w:highlight w:val="none"/>
          <w:u w:val="none"/>
          <w:lang w:val="en-US" w:eastAsia="zh-CN"/>
        </w:rPr>
        <w:t>1.82亿元</w:t>
      </w:r>
      <w:r>
        <w:rPr>
          <w:rFonts w:hint="eastAsia" w:ascii="Times New Roman" w:hAnsi="Times New Roman" w:cs="仿宋_GB2312"/>
          <w:b w:val="0"/>
          <w:bCs w:val="0"/>
          <w:color w:val="auto"/>
          <w:highlight w:val="none"/>
          <w:u w:val="none"/>
          <w:lang w:val="en-US" w:eastAsia="zh-CN"/>
        </w:rPr>
        <w:t>，面向中小企业预留份额</w:t>
      </w:r>
      <w:r>
        <w:rPr>
          <w:rFonts w:hint="eastAsia" w:cs="仿宋_GB2312"/>
          <w:b w:val="0"/>
          <w:bCs w:val="0"/>
          <w:color w:val="auto"/>
          <w:highlight w:val="none"/>
          <w:u w:val="none"/>
          <w:lang w:val="en-US" w:eastAsia="zh-CN"/>
        </w:rPr>
        <w:t>1.75亿元</w:t>
      </w:r>
      <w:r>
        <w:rPr>
          <w:rFonts w:hint="eastAsia" w:ascii="Times New Roman" w:hAnsi="Times New Roman" w:cs="仿宋_GB2312"/>
          <w:b w:val="0"/>
          <w:bCs w:val="0"/>
          <w:color w:val="auto"/>
          <w:highlight w:val="none"/>
          <w:u w:val="none"/>
          <w:lang w:val="en-US" w:eastAsia="zh-CN"/>
        </w:rPr>
        <w:t>，占比</w:t>
      </w:r>
      <w:r>
        <w:rPr>
          <w:rFonts w:hint="eastAsia" w:cs="仿宋_GB2312"/>
          <w:b w:val="0"/>
          <w:bCs w:val="0"/>
          <w:color w:val="auto"/>
          <w:highlight w:val="none"/>
          <w:u w:val="none"/>
          <w:lang w:val="en-US" w:eastAsia="zh-CN"/>
        </w:rPr>
        <w:t>96.15</w:t>
      </w:r>
      <w:r>
        <w:rPr>
          <w:rFonts w:hint="eastAsia" w:ascii="Times New Roman" w:hAnsi="Times New Roman" w:cs="仿宋_GB2312"/>
          <w:b w:val="0"/>
          <w:bCs w:val="0"/>
          <w:color w:val="auto"/>
          <w:highlight w:val="none"/>
          <w:u w:val="none"/>
          <w:lang w:val="en-US" w:eastAsia="zh-CN"/>
        </w:rPr>
        <w:t>%。推进政府采购集成化远程异地评标，打破地域限制，实现优质专家资源共享。</w:t>
      </w:r>
      <w:r>
        <w:rPr>
          <w:rFonts w:hint="eastAsia" w:cs="仿宋_GB2312"/>
          <w:b w:val="0"/>
          <w:bCs w:val="0"/>
          <w:color w:val="auto"/>
          <w:highlight w:val="none"/>
          <w:u w:val="none"/>
          <w:lang w:val="en-US" w:eastAsia="zh-CN"/>
        </w:rPr>
        <w:t>扎实开展政府采购领域“清隐去垒4.0”专项行动</w:t>
      </w:r>
      <w:r>
        <w:rPr>
          <w:rFonts w:hint="eastAsia" w:ascii="Times New Roman" w:hAnsi="Times New Roman" w:cs="仿宋_GB2312"/>
          <w:b w:val="0"/>
          <w:bCs w:val="0"/>
          <w:color w:val="auto"/>
          <w:highlight w:val="none"/>
          <w:u w:val="none"/>
          <w:lang w:val="en-US" w:eastAsia="zh-CN"/>
        </w:rPr>
        <w:t>，</w:t>
      </w:r>
      <w:r>
        <w:rPr>
          <w:rFonts w:hint="eastAsia" w:cs="仿宋_GB2312"/>
          <w:b w:val="0"/>
          <w:bCs w:val="0"/>
          <w:color w:val="auto"/>
          <w:highlight w:val="none"/>
          <w:u w:val="none"/>
          <w:lang w:val="en-US" w:eastAsia="zh-CN"/>
        </w:rPr>
        <w:t>进一步规范政府采购市场秩序，扩大政府采购透明度</w:t>
      </w:r>
      <w:r>
        <w:rPr>
          <w:rFonts w:hint="eastAsia" w:ascii="Times New Roman" w:hAnsi="Times New Roman" w:cs="仿宋_GB2312"/>
          <w:b w:val="0"/>
          <w:bCs w:val="0"/>
          <w:color w:val="auto"/>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jc w:val="both"/>
        <w:textAlignment w:val="auto"/>
        <w:rPr>
          <w:rFonts w:hint="eastAsia" w:ascii="Times New Roman" w:hAnsi="Times New Roman" w:cs="仿宋_GB2312"/>
          <w:b w:val="0"/>
          <w:bCs w:val="0"/>
          <w:color w:val="auto"/>
          <w:highlight w:val="none"/>
          <w:u w:val="none"/>
          <w:lang w:val="en-US" w:eastAsia="zh-CN"/>
        </w:rPr>
      </w:pPr>
      <w:r>
        <w:rPr>
          <w:rFonts w:hint="eastAsia" w:ascii="Times New Roman" w:hAnsi="Times New Roman" w:cs="仿宋_GB2312"/>
          <w:b w:val="0"/>
          <w:bCs w:val="0"/>
          <w:color w:val="auto"/>
          <w:highlight w:val="none"/>
          <w:u w:val="none"/>
          <w:lang w:val="en-US" w:eastAsia="zh-CN"/>
        </w:rPr>
        <w:t>各位代表，“十四五”期间，我县财政坚决贯彻落实县委、</w:t>
      </w:r>
      <w:r>
        <w:rPr>
          <w:rFonts w:hint="eastAsia" w:cs="仿宋_GB2312"/>
          <w:b w:val="0"/>
          <w:bCs w:val="0"/>
          <w:color w:val="auto"/>
          <w:highlight w:val="none"/>
          <w:u w:val="none"/>
          <w:lang w:val="en-US" w:eastAsia="zh-CN"/>
        </w:rPr>
        <w:t>县</w:t>
      </w:r>
      <w:r>
        <w:rPr>
          <w:rFonts w:hint="eastAsia" w:ascii="Times New Roman" w:hAnsi="Times New Roman" w:cs="仿宋_GB2312"/>
          <w:b w:val="0"/>
          <w:bCs w:val="0"/>
          <w:color w:val="auto"/>
          <w:highlight w:val="none"/>
          <w:u w:val="none"/>
          <w:lang w:val="en-US" w:eastAsia="zh-CN"/>
        </w:rPr>
        <w:t>政府决策部署，</w:t>
      </w:r>
      <w:r>
        <w:rPr>
          <w:rFonts w:hint="eastAsia" w:cs="仿宋_GB2312"/>
          <w:b w:val="0"/>
          <w:bCs w:val="0"/>
          <w:color w:val="auto"/>
          <w:highlight w:val="none"/>
          <w:u w:val="none"/>
          <w:lang w:val="en-US" w:eastAsia="zh-CN"/>
        </w:rPr>
        <w:t>加力提效</w:t>
      </w:r>
      <w:r>
        <w:rPr>
          <w:rFonts w:hint="eastAsia" w:ascii="Times New Roman" w:hAnsi="Times New Roman" w:cs="仿宋_GB2312"/>
          <w:b w:val="0"/>
          <w:bCs w:val="0"/>
          <w:color w:val="auto"/>
          <w:highlight w:val="none"/>
          <w:u w:val="none"/>
          <w:lang w:val="en-US" w:eastAsia="zh-CN"/>
        </w:rPr>
        <w:t>落实积极财政政策，财政运行保持平稳健康，财政改革管理迈出坚实步伐，努力为圆满完成“十四五”规划目标任务提供坚强财力保障。</w:t>
      </w:r>
      <w:r>
        <w:rPr>
          <w:rFonts w:hint="eastAsia" w:ascii="Times New Roman" w:hAnsi="Times New Roman" w:cs="仿宋_GB2312"/>
          <w:b/>
          <w:bCs/>
          <w:color w:val="auto"/>
          <w:highlight w:val="none"/>
          <w:u w:val="none"/>
          <w:lang w:val="en-US" w:eastAsia="zh-CN"/>
        </w:rPr>
        <w:t>一是财政实力稳步</w:t>
      </w:r>
      <w:r>
        <w:rPr>
          <w:rFonts w:hint="eastAsia" w:cs="仿宋_GB2312"/>
          <w:b/>
          <w:bCs/>
          <w:color w:val="auto"/>
          <w:highlight w:val="none"/>
          <w:u w:val="none"/>
          <w:lang w:val="en-US" w:eastAsia="zh-CN"/>
        </w:rPr>
        <w:t>提升</w:t>
      </w:r>
      <w:r>
        <w:rPr>
          <w:rFonts w:hint="eastAsia" w:ascii="Times New Roman" w:hAnsi="Times New Roman" w:cs="仿宋_GB2312"/>
          <w:b/>
          <w:bCs/>
          <w:color w:val="auto"/>
          <w:highlight w:val="none"/>
          <w:u w:val="none"/>
          <w:lang w:val="en-US" w:eastAsia="zh-CN"/>
        </w:rPr>
        <w:t>，服务大局更加有力。</w:t>
      </w:r>
      <w:r>
        <w:rPr>
          <w:rFonts w:hint="eastAsia" w:ascii="Times New Roman" w:hAnsi="Times New Roman" w:cs="仿宋_GB2312"/>
          <w:b w:val="0"/>
          <w:bCs w:val="0"/>
          <w:color w:val="auto"/>
          <w:highlight w:val="none"/>
          <w:u w:val="none"/>
          <w:lang w:val="en-US" w:eastAsia="zh-CN"/>
        </w:rPr>
        <w:t>“十四五”</w:t>
      </w:r>
      <w:r>
        <w:rPr>
          <w:rFonts w:hint="eastAsia" w:cs="仿宋_GB2312"/>
          <w:b w:val="0"/>
          <w:bCs w:val="0"/>
          <w:color w:val="auto"/>
          <w:highlight w:val="none"/>
          <w:u w:val="none"/>
          <w:lang w:val="en-US" w:eastAsia="zh-CN"/>
        </w:rPr>
        <w:t>期间</w:t>
      </w:r>
      <w:r>
        <w:rPr>
          <w:rFonts w:hint="eastAsia" w:ascii="Times New Roman" w:hAnsi="Times New Roman" w:cs="仿宋_GB2312"/>
          <w:b w:val="0"/>
          <w:bCs w:val="0"/>
          <w:color w:val="auto"/>
          <w:highlight w:val="none"/>
          <w:u w:val="none"/>
          <w:lang w:val="en-US" w:eastAsia="zh-CN"/>
        </w:rPr>
        <w:t>，我县财政顶住经济下行压力和多重超预期因素冲击，财政收入保持稳定增长，全县一般公共预算总收入从2021年的22.89亿元增加到2025年的27</w:t>
      </w:r>
      <w:r>
        <w:rPr>
          <w:rFonts w:hint="eastAsia" w:cs="仿宋_GB2312"/>
          <w:b w:val="0"/>
          <w:bCs w:val="0"/>
          <w:color w:val="auto"/>
          <w:highlight w:val="none"/>
          <w:u w:val="none"/>
          <w:lang w:val="en-US" w:eastAsia="zh-CN"/>
        </w:rPr>
        <w:t>.54</w:t>
      </w:r>
      <w:r>
        <w:rPr>
          <w:rFonts w:hint="eastAsia" w:ascii="Times New Roman" w:hAnsi="Times New Roman" w:cs="仿宋_GB2312"/>
          <w:b w:val="0"/>
          <w:bCs w:val="0"/>
          <w:color w:val="auto"/>
          <w:highlight w:val="none"/>
          <w:u w:val="none"/>
          <w:lang w:val="en-US" w:eastAsia="zh-CN"/>
        </w:rPr>
        <w:t>亿元，年均增长7.</w:t>
      </w:r>
      <w:r>
        <w:rPr>
          <w:rFonts w:hint="eastAsia" w:cs="仿宋_GB2312"/>
          <w:b w:val="0"/>
          <w:bCs w:val="0"/>
          <w:color w:val="auto"/>
          <w:highlight w:val="none"/>
          <w:u w:val="none"/>
          <w:lang w:val="en-US" w:eastAsia="zh-CN"/>
        </w:rPr>
        <w:t>3</w:t>
      </w:r>
      <w:r>
        <w:rPr>
          <w:rFonts w:hint="eastAsia" w:ascii="Times New Roman" w:hAnsi="Times New Roman" w:cs="仿宋_GB2312"/>
          <w:b w:val="0"/>
          <w:bCs w:val="0"/>
          <w:color w:val="auto"/>
          <w:highlight w:val="none"/>
          <w:u w:val="none"/>
          <w:lang w:val="en-US" w:eastAsia="zh-CN"/>
        </w:rPr>
        <w:t>%；全县一般公共预算收入从2021年的14.63亿元增加到2025年的19.</w:t>
      </w:r>
      <w:r>
        <w:rPr>
          <w:rFonts w:hint="eastAsia" w:cs="仿宋_GB2312"/>
          <w:b w:val="0"/>
          <w:bCs w:val="0"/>
          <w:color w:val="auto"/>
          <w:highlight w:val="none"/>
          <w:u w:val="none"/>
          <w:lang w:val="en-US" w:eastAsia="zh-CN"/>
        </w:rPr>
        <w:t>69</w:t>
      </w:r>
      <w:r>
        <w:rPr>
          <w:rFonts w:hint="eastAsia" w:ascii="Times New Roman" w:hAnsi="Times New Roman" w:cs="仿宋_GB2312"/>
          <w:b w:val="0"/>
          <w:bCs w:val="0"/>
          <w:color w:val="auto"/>
          <w:highlight w:val="none"/>
          <w:u w:val="none"/>
          <w:lang w:val="en-US" w:eastAsia="zh-CN"/>
        </w:rPr>
        <w:t>亿元，年均增长8.</w:t>
      </w:r>
      <w:r>
        <w:rPr>
          <w:rFonts w:hint="eastAsia" w:cs="仿宋_GB2312"/>
          <w:b w:val="0"/>
          <w:bCs w:val="0"/>
          <w:color w:val="auto"/>
          <w:highlight w:val="none"/>
          <w:u w:val="none"/>
          <w:lang w:val="en-US" w:eastAsia="zh-CN"/>
        </w:rPr>
        <w:t>9</w:t>
      </w:r>
      <w:r>
        <w:rPr>
          <w:rFonts w:hint="eastAsia" w:ascii="Times New Roman" w:hAnsi="Times New Roman" w:cs="仿宋_GB2312"/>
          <w:b w:val="0"/>
          <w:bCs w:val="0"/>
          <w:color w:val="auto"/>
          <w:highlight w:val="none"/>
          <w:u w:val="none"/>
          <w:lang w:val="en-US" w:eastAsia="zh-CN"/>
        </w:rPr>
        <w:t>%</w:t>
      </w:r>
      <w:r>
        <w:rPr>
          <w:rFonts w:hint="eastAsia" w:cs="仿宋_GB2312"/>
          <w:b w:val="0"/>
          <w:bCs w:val="0"/>
          <w:color w:val="auto"/>
          <w:highlight w:val="none"/>
          <w:u w:val="none"/>
          <w:lang w:val="en-US" w:eastAsia="zh-CN"/>
        </w:rPr>
        <w:t>；两项收入增速均</w:t>
      </w:r>
      <w:r>
        <w:rPr>
          <w:rFonts w:hint="eastAsia" w:ascii="Times New Roman" w:hAnsi="Times New Roman" w:cs="仿宋_GB2312"/>
          <w:b w:val="0"/>
          <w:bCs w:val="0"/>
          <w:color w:val="auto"/>
          <w:highlight w:val="none"/>
          <w:u w:val="none"/>
          <w:lang w:val="en-US" w:eastAsia="zh-CN"/>
        </w:rPr>
        <w:t>高于年均增长5%预定目标，位居全市中上游水平，圆满完成“十四五”收官。全县向上争取补助资金</w:t>
      </w:r>
      <w:r>
        <w:rPr>
          <w:rFonts w:hint="eastAsia" w:cs="仿宋_GB2312"/>
          <w:b w:val="0"/>
          <w:bCs w:val="0"/>
          <w:color w:val="auto"/>
          <w:highlight w:val="none"/>
          <w:u w:val="none"/>
          <w:lang w:val="en-US" w:eastAsia="zh-CN"/>
        </w:rPr>
        <w:t>87.41</w:t>
      </w:r>
      <w:r>
        <w:rPr>
          <w:rFonts w:hint="eastAsia" w:ascii="Times New Roman" w:hAnsi="Times New Roman" w:cs="仿宋_GB2312"/>
          <w:b w:val="0"/>
          <w:bCs w:val="0"/>
          <w:color w:val="auto"/>
          <w:highlight w:val="none"/>
          <w:u w:val="none"/>
          <w:lang w:val="en-US" w:eastAsia="zh-CN"/>
        </w:rPr>
        <w:t>亿元</w:t>
      </w:r>
      <w:r>
        <w:rPr>
          <w:rFonts w:hint="eastAsia" w:cs="仿宋_GB2312"/>
          <w:b w:val="0"/>
          <w:bCs w:val="0"/>
          <w:color w:val="auto"/>
          <w:highlight w:val="none"/>
          <w:u w:val="none"/>
          <w:lang w:val="en-US" w:eastAsia="zh-CN"/>
        </w:rPr>
        <w:t>、</w:t>
      </w:r>
      <w:r>
        <w:rPr>
          <w:rFonts w:hint="eastAsia" w:ascii="Times New Roman" w:hAnsi="Times New Roman" w:cs="仿宋_GB2312"/>
          <w:b w:val="0"/>
          <w:bCs w:val="0"/>
          <w:color w:val="auto"/>
          <w:highlight w:val="none"/>
          <w:u w:val="none"/>
          <w:lang w:val="en-US" w:eastAsia="zh-CN"/>
        </w:rPr>
        <w:t>债券资金</w:t>
      </w:r>
      <w:r>
        <w:rPr>
          <w:rFonts w:hint="eastAsia" w:cs="仿宋_GB2312"/>
          <w:b w:val="0"/>
          <w:bCs w:val="0"/>
          <w:color w:val="auto"/>
          <w:highlight w:val="none"/>
          <w:u w:val="none"/>
          <w:lang w:val="en-US" w:eastAsia="zh-CN"/>
        </w:rPr>
        <w:t>103.78</w:t>
      </w:r>
      <w:r>
        <w:rPr>
          <w:rFonts w:hint="eastAsia" w:ascii="Times New Roman" w:hAnsi="Times New Roman" w:cs="仿宋_GB2312"/>
          <w:b w:val="0"/>
          <w:bCs w:val="0"/>
          <w:color w:val="auto"/>
          <w:highlight w:val="none"/>
          <w:u w:val="none"/>
          <w:lang w:val="en-US" w:eastAsia="zh-CN"/>
        </w:rPr>
        <w:t>亿元。</w:t>
      </w:r>
      <w:r>
        <w:rPr>
          <w:rFonts w:hint="eastAsia" w:ascii="Times New Roman" w:hAnsi="Times New Roman" w:cs="仿宋_GB2312"/>
          <w:b/>
          <w:bCs/>
          <w:color w:val="auto"/>
          <w:highlight w:val="none"/>
          <w:u w:val="none"/>
          <w:lang w:val="en-US" w:eastAsia="zh-CN"/>
        </w:rPr>
        <w:t>二是财政</w:t>
      </w:r>
      <w:r>
        <w:rPr>
          <w:rFonts w:hint="eastAsia" w:cs="仿宋_GB2312"/>
          <w:b/>
          <w:bCs/>
          <w:color w:val="auto"/>
          <w:highlight w:val="none"/>
          <w:u w:val="none"/>
          <w:lang w:val="en-US" w:eastAsia="zh-CN"/>
        </w:rPr>
        <w:t>支出</w:t>
      </w:r>
      <w:r>
        <w:rPr>
          <w:rFonts w:hint="eastAsia" w:ascii="Times New Roman" w:hAnsi="Times New Roman" w:cs="仿宋_GB2312"/>
          <w:b/>
          <w:bCs/>
          <w:color w:val="auto"/>
          <w:highlight w:val="none"/>
          <w:u w:val="none"/>
          <w:lang w:val="en-US" w:eastAsia="zh-CN"/>
        </w:rPr>
        <w:t>稳步</w:t>
      </w:r>
      <w:r>
        <w:rPr>
          <w:rFonts w:hint="eastAsia" w:cs="仿宋_GB2312"/>
          <w:b/>
          <w:bCs/>
          <w:color w:val="auto"/>
          <w:highlight w:val="none"/>
          <w:u w:val="none"/>
          <w:lang w:val="en-US" w:eastAsia="zh-CN"/>
        </w:rPr>
        <w:t>优化</w:t>
      </w:r>
      <w:r>
        <w:rPr>
          <w:rFonts w:hint="eastAsia" w:ascii="Times New Roman" w:hAnsi="Times New Roman" w:cs="仿宋_GB2312"/>
          <w:b/>
          <w:bCs/>
          <w:color w:val="auto"/>
          <w:highlight w:val="none"/>
          <w:u w:val="none"/>
          <w:lang w:val="en-US" w:eastAsia="zh-CN"/>
        </w:rPr>
        <w:t>，民生导向更加鲜明。</w:t>
      </w:r>
      <w:r>
        <w:rPr>
          <w:rFonts w:hint="eastAsia" w:cs="仿宋_GB2312"/>
          <w:b w:val="0"/>
          <w:bCs w:val="0"/>
          <w:color w:val="auto"/>
          <w:highlight w:val="none"/>
          <w:u w:val="none"/>
          <w:lang w:val="en-US" w:eastAsia="zh-CN"/>
        </w:rPr>
        <w:t>“十四五”期间，</w:t>
      </w:r>
      <w:r>
        <w:rPr>
          <w:rFonts w:hint="eastAsia" w:ascii="Times New Roman" w:hAnsi="Times New Roman" w:cs="仿宋_GB2312"/>
          <w:b w:val="0"/>
          <w:bCs w:val="0"/>
          <w:color w:val="auto"/>
          <w:highlight w:val="none"/>
          <w:u w:val="none"/>
          <w:lang w:val="en-US" w:eastAsia="zh-CN"/>
        </w:rPr>
        <w:t>持续加大民生投入，让群众的获得感、幸福感、安全感更加充实、更有保障、更可持续。民生相关支出</w:t>
      </w:r>
      <w:r>
        <w:rPr>
          <w:rFonts w:hint="eastAsia" w:cs="仿宋_GB2312"/>
          <w:b w:val="0"/>
          <w:bCs w:val="0"/>
          <w:color w:val="auto"/>
          <w:highlight w:val="none"/>
          <w:u w:val="none"/>
          <w:lang w:val="en-US" w:eastAsia="zh-CN"/>
        </w:rPr>
        <w:t>152.9</w:t>
      </w:r>
      <w:r>
        <w:rPr>
          <w:rFonts w:hint="eastAsia" w:ascii="Times New Roman" w:hAnsi="Times New Roman" w:cs="仿宋_GB2312"/>
          <w:b w:val="0"/>
          <w:bCs w:val="0"/>
          <w:color w:val="auto"/>
          <w:highlight w:val="none"/>
          <w:u w:val="none"/>
          <w:lang w:val="en-US" w:eastAsia="zh-CN"/>
        </w:rPr>
        <w:t>亿元，占一般公共预算支出的</w:t>
      </w:r>
      <w:r>
        <w:rPr>
          <w:rFonts w:hint="eastAsia" w:cs="仿宋_GB2312"/>
          <w:b w:val="0"/>
          <w:bCs w:val="0"/>
          <w:color w:val="auto"/>
          <w:highlight w:val="none"/>
          <w:u w:val="none"/>
          <w:lang w:val="en-US" w:eastAsia="zh-CN"/>
        </w:rPr>
        <w:t>79</w:t>
      </w:r>
      <w:r>
        <w:rPr>
          <w:rFonts w:hint="eastAsia" w:ascii="Times New Roman" w:hAnsi="Times New Roman" w:cs="仿宋_GB2312"/>
          <w:b w:val="0"/>
          <w:bCs w:val="0"/>
          <w:color w:val="auto"/>
          <w:highlight w:val="none"/>
          <w:u w:val="none"/>
          <w:lang w:val="en-US" w:eastAsia="zh-CN"/>
        </w:rPr>
        <w:t>%，其中社会保障和就业支出</w:t>
      </w:r>
      <w:r>
        <w:rPr>
          <w:rFonts w:hint="eastAsia" w:cs="仿宋_GB2312"/>
          <w:b w:val="0"/>
          <w:bCs w:val="0"/>
          <w:color w:val="auto"/>
          <w:highlight w:val="none"/>
          <w:u w:val="none"/>
          <w:lang w:val="en-US" w:eastAsia="zh-CN"/>
        </w:rPr>
        <w:t>18.79</w:t>
      </w:r>
      <w:r>
        <w:rPr>
          <w:rFonts w:hint="eastAsia" w:ascii="Times New Roman" w:hAnsi="Times New Roman" w:cs="仿宋_GB2312"/>
          <w:b w:val="0"/>
          <w:bCs w:val="0"/>
          <w:color w:val="auto"/>
          <w:highlight w:val="none"/>
          <w:u w:val="none"/>
          <w:lang w:val="en-US" w:eastAsia="zh-CN"/>
        </w:rPr>
        <w:t>亿元，落实惠企稳岗、扩大就业措施，健全多层次社会保障体系；卫生健康支出</w:t>
      </w:r>
      <w:r>
        <w:rPr>
          <w:rFonts w:hint="eastAsia" w:cs="仿宋_GB2312"/>
          <w:b w:val="0"/>
          <w:bCs w:val="0"/>
          <w:color w:val="auto"/>
          <w:highlight w:val="none"/>
          <w:u w:val="none"/>
          <w:lang w:val="en-US" w:eastAsia="zh-CN"/>
        </w:rPr>
        <w:t>12.37</w:t>
      </w:r>
      <w:r>
        <w:rPr>
          <w:rFonts w:hint="eastAsia" w:ascii="Times New Roman" w:hAnsi="Times New Roman" w:cs="仿宋_GB2312"/>
          <w:b w:val="0"/>
          <w:bCs w:val="0"/>
          <w:color w:val="auto"/>
          <w:highlight w:val="none"/>
          <w:u w:val="none"/>
          <w:lang w:val="en-US" w:eastAsia="zh-CN"/>
        </w:rPr>
        <w:t>亿元，支持优化医疗资源布局，加强公共卫生服务体系建设；教育</w:t>
      </w:r>
      <w:r>
        <w:rPr>
          <w:rFonts w:hint="eastAsia" w:cs="仿宋_GB2312"/>
          <w:b w:val="0"/>
          <w:bCs w:val="0"/>
          <w:color w:val="auto"/>
          <w:highlight w:val="none"/>
          <w:u w:val="none"/>
          <w:lang w:val="en-US" w:eastAsia="zh-CN"/>
        </w:rPr>
        <w:t>事业费</w:t>
      </w:r>
      <w:r>
        <w:rPr>
          <w:rFonts w:hint="eastAsia" w:ascii="Times New Roman" w:hAnsi="Times New Roman" w:cs="仿宋_GB2312"/>
          <w:b w:val="0"/>
          <w:bCs w:val="0"/>
          <w:color w:val="auto"/>
          <w:highlight w:val="none"/>
          <w:u w:val="none"/>
          <w:lang w:val="en-US" w:eastAsia="zh-CN"/>
        </w:rPr>
        <w:t>支出</w:t>
      </w:r>
      <w:r>
        <w:rPr>
          <w:rFonts w:hint="eastAsia" w:cs="仿宋_GB2312"/>
          <w:b w:val="0"/>
          <w:bCs w:val="0"/>
          <w:color w:val="auto"/>
          <w:highlight w:val="none"/>
          <w:u w:val="none"/>
          <w:lang w:val="en-US" w:eastAsia="zh-CN"/>
        </w:rPr>
        <w:t>48.11</w:t>
      </w:r>
      <w:r>
        <w:rPr>
          <w:rFonts w:hint="eastAsia" w:ascii="Times New Roman" w:hAnsi="Times New Roman" w:cs="仿宋_GB2312"/>
          <w:b w:val="0"/>
          <w:bCs w:val="0"/>
          <w:color w:val="auto"/>
          <w:highlight w:val="none"/>
          <w:u w:val="none"/>
          <w:lang w:val="en-US" w:eastAsia="zh-CN"/>
        </w:rPr>
        <w:t>亿元，支持</w:t>
      </w:r>
      <w:r>
        <w:rPr>
          <w:rFonts w:hint="eastAsia" w:cs="仿宋_GB2312"/>
          <w:b w:val="0"/>
          <w:bCs w:val="0"/>
          <w:color w:val="auto"/>
          <w:highlight w:val="none"/>
          <w:u w:val="none"/>
          <w:lang w:val="en-US" w:eastAsia="zh-CN"/>
        </w:rPr>
        <w:t>办好人民满意的教育</w:t>
      </w:r>
      <w:r>
        <w:rPr>
          <w:rFonts w:hint="eastAsia" w:ascii="Times New Roman" w:hAnsi="Times New Roman" w:cs="仿宋_GB2312"/>
          <w:b w:val="0"/>
          <w:bCs w:val="0"/>
          <w:color w:val="auto"/>
          <w:highlight w:val="none"/>
          <w:u w:val="none"/>
          <w:lang w:val="en-US" w:eastAsia="zh-CN"/>
        </w:rPr>
        <w:t>，</w:t>
      </w:r>
      <w:r>
        <w:rPr>
          <w:rFonts w:hint="eastAsia" w:cs="仿宋_GB2312"/>
          <w:b w:val="0"/>
          <w:bCs w:val="0"/>
          <w:color w:val="auto"/>
          <w:highlight w:val="none"/>
          <w:u w:val="none"/>
          <w:lang w:val="en-US" w:eastAsia="zh-CN"/>
        </w:rPr>
        <w:t>落实普惠性幼儿园财政补助政策，</w:t>
      </w:r>
      <w:r>
        <w:rPr>
          <w:rFonts w:hint="eastAsia" w:ascii="Times New Roman" w:hAnsi="Times New Roman" w:cs="仿宋_GB2312"/>
          <w:b w:val="0"/>
          <w:bCs w:val="0"/>
          <w:color w:val="auto"/>
          <w:highlight w:val="none"/>
          <w:u w:val="none"/>
          <w:lang w:val="en-US" w:eastAsia="zh-CN"/>
        </w:rPr>
        <w:t>持续扩充中小学学位供给</w:t>
      </w:r>
      <w:r>
        <w:rPr>
          <w:rFonts w:hint="eastAsia" w:cs="仿宋_GB2312"/>
          <w:b w:val="0"/>
          <w:bCs w:val="0"/>
          <w:color w:val="auto"/>
          <w:highlight w:val="none"/>
          <w:u w:val="none"/>
          <w:lang w:val="en-US" w:eastAsia="zh-CN"/>
        </w:rPr>
        <w:t>，</w:t>
      </w:r>
      <w:r>
        <w:rPr>
          <w:rFonts w:hint="eastAsia" w:ascii="Times New Roman" w:hAnsi="Times New Roman" w:cs="仿宋_GB2312"/>
          <w:b w:val="0"/>
          <w:bCs w:val="0"/>
          <w:color w:val="auto"/>
          <w:highlight w:val="none"/>
          <w:u w:val="none"/>
          <w:lang w:val="en-US" w:eastAsia="zh-CN"/>
        </w:rPr>
        <w:t>支持职业教育提质培优。整合利用上级补助、专项债券、土地出让金等渠道，筹措资金21</w:t>
      </w:r>
      <w:r>
        <w:rPr>
          <w:rFonts w:hint="eastAsia" w:cs="仿宋_GB2312"/>
          <w:b w:val="0"/>
          <w:bCs w:val="0"/>
          <w:color w:val="auto"/>
          <w:highlight w:val="none"/>
          <w:u w:val="none"/>
          <w:lang w:val="en-US" w:eastAsia="zh-CN"/>
        </w:rPr>
        <w:t>7</w:t>
      </w:r>
      <w:r>
        <w:rPr>
          <w:rFonts w:hint="eastAsia" w:ascii="Times New Roman" w:hAnsi="Times New Roman" w:cs="仿宋_GB2312"/>
          <w:b w:val="0"/>
          <w:bCs w:val="0"/>
          <w:color w:val="auto"/>
          <w:highlight w:val="none"/>
          <w:u w:val="none"/>
          <w:lang w:val="en-US" w:eastAsia="zh-CN"/>
        </w:rPr>
        <w:t>.</w:t>
      </w:r>
      <w:r>
        <w:rPr>
          <w:rFonts w:hint="eastAsia" w:cs="仿宋_GB2312"/>
          <w:b w:val="0"/>
          <w:bCs w:val="0"/>
          <w:color w:val="auto"/>
          <w:highlight w:val="none"/>
          <w:u w:val="none"/>
          <w:lang w:val="en-US" w:eastAsia="zh-CN"/>
        </w:rPr>
        <w:t>89</w:t>
      </w:r>
      <w:r>
        <w:rPr>
          <w:rFonts w:hint="eastAsia" w:ascii="Times New Roman" w:hAnsi="Times New Roman" w:cs="仿宋_GB2312"/>
          <w:b w:val="0"/>
          <w:bCs w:val="0"/>
          <w:color w:val="auto"/>
          <w:highlight w:val="none"/>
          <w:u w:val="none"/>
          <w:lang w:val="en-US" w:eastAsia="zh-CN"/>
        </w:rPr>
        <w:t>亿元保障教育、交通、市政、乡村振兴、生态环保、保障性住房、产业园区等重点项目建设。强化财政投资评审质效管理，累计完成</w:t>
      </w:r>
      <w:r>
        <w:rPr>
          <w:rFonts w:hint="eastAsia" w:cs="仿宋_GB2312"/>
          <w:b w:val="0"/>
          <w:bCs w:val="0"/>
          <w:color w:val="auto"/>
          <w:highlight w:val="none"/>
          <w:u w:val="none"/>
          <w:lang w:val="en-US" w:eastAsia="zh-CN"/>
        </w:rPr>
        <w:t>503</w:t>
      </w:r>
      <w:r>
        <w:rPr>
          <w:rFonts w:hint="eastAsia" w:ascii="Times New Roman" w:hAnsi="Times New Roman" w:cs="仿宋_GB2312"/>
          <w:b w:val="0"/>
          <w:bCs w:val="0"/>
          <w:color w:val="auto"/>
          <w:highlight w:val="none"/>
          <w:u w:val="none"/>
          <w:lang w:val="en-US" w:eastAsia="zh-CN"/>
        </w:rPr>
        <w:t>个项目预</w:t>
      </w:r>
      <w:r>
        <w:rPr>
          <w:rFonts w:hint="eastAsia" w:cs="仿宋_GB2312"/>
          <w:b w:val="0"/>
          <w:bCs w:val="0"/>
          <w:color w:val="auto"/>
          <w:highlight w:val="none"/>
          <w:u w:val="none"/>
          <w:lang w:val="en-US" w:eastAsia="zh-CN"/>
        </w:rPr>
        <w:t>（</w:t>
      </w:r>
      <w:r>
        <w:rPr>
          <w:rFonts w:hint="eastAsia" w:ascii="Times New Roman" w:hAnsi="Times New Roman" w:cs="仿宋_GB2312"/>
          <w:b w:val="0"/>
          <w:bCs w:val="0"/>
          <w:color w:val="auto"/>
          <w:highlight w:val="none"/>
          <w:u w:val="none"/>
          <w:lang w:val="en-US" w:eastAsia="zh-CN"/>
        </w:rPr>
        <w:t>结</w:t>
      </w:r>
      <w:r>
        <w:rPr>
          <w:rFonts w:hint="eastAsia" w:cs="仿宋_GB2312"/>
          <w:b w:val="0"/>
          <w:bCs w:val="0"/>
          <w:color w:val="auto"/>
          <w:highlight w:val="none"/>
          <w:u w:val="none"/>
          <w:lang w:val="en-US" w:eastAsia="zh-CN"/>
        </w:rPr>
        <w:t>）</w:t>
      </w:r>
      <w:r>
        <w:rPr>
          <w:rFonts w:hint="eastAsia" w:ascii="Times New Roman" w:hAnsi="Times New Roman" w:cs="仿宋_GB2312"/>
          <w:b w:val="0"/>
          <w:bCs w:val="0"/>
          <w:color w:val="auto"/>
          <w:highlight w:val="none"/>
          <w:u w:val="none"/>
          <w:lang w:val="en-US" w:eastAsia="zh-CN"/>
        </w:rPr>
        <w:t>算评审，送审金额</w:t>
      </w:r>
      <w:r>
        <w:rPr>
          <w:rFonts w:hint="eastAsia" w:cs="仿宋_GB2312"/>
          <w:b w:val="0"/>
          <w:bCs w:val="0"/>
          <w:color w:val="auto"/>
          <w:highlight w:val="none"/>
          <w:u w:val="none"/>
          <w:lang w:val="en-US" w:eastAsia="zh-CN"/>
        </w:rPr>
        <w:t>167.33</w:t>
      </w:r>
      <w:r>
        <w:rPr>
          <w:rFonts w:hint="eastAsia" w:ascii="Times New Roman" w:hAnsi="Times New Roman" w:cs="仿宋_GB2312"/>
          <w:b w:val="0"/>
          <w:bCs w:val="0"/>
          <w:color w:val="auto"/>
          <w:highlight w:val="none"/>
          <w:u w:val="none"/>
          <w:lang w:val="en-US" w:eastAsia="zh-CN"/>
        </w:rPr>
        <w:t>亿元，核减率为</w:t>
      </w:r>
      <w:r>
        <w:rPr>
          <w:rFonts w:hint="eastAsia" w:cs="仿宋_GB2312"/>
          <w:b w:val="0"/>
          <w:bCs w:val="0"/>
          <w:color w:val="auto"/>
          <w:highlight w:val="none"/>
          <w:u w:val="none"/>
          <w:lang w:val="en-US" w:eastAsia="zh-CN"/>
        </w:rPr>
        <w:t>6.99</w:t>
      </w:r>
      <w:r>
        <w:rPr>
          <w:rFonts w:hint="eastAsia" w:ascii="Times New Roman" w:hAnsi="Times New Roman" w:cs="仿宋_GB2312"/>
          <w:b w:val="0"/>
          <w:bCs w:val="0"/>
          <w:color w:val="auto"/>
          <w:highlight w:val="none"/>
          <w:u w:val="none"/>
          <w:lang w:val="en-US" w:eastAsia="zh-CN"/>
        </w:rPr>
        <w:t>%，节约财政资金</w:t>
      </w:r>
      <w:r>
        <w:rPr>
          <w:rFonts w:hint="eastAsia" w:cs="仿宋_GB2312"/>
          <w:b w:val="0"/>
          <w:bCs w:val="0"/>
          <w:color w:val="auto"/>
          <w:highlight w:val="none"/>
          <w:u w:val="none"/>
          <w:lang w:val="en-US" w:eastAsia="zh-CN"/>
        </w:rPr>
        <w:t>11.7</w:t>
      </w:r>
      <w:r>
        <w:rPr>
          <w:rFonts w:hint="eastAsia" w:ascii="Times New Roman" w:hAnsi="Times New Roman" w:cs="仿宋_GB2312"/>
          <w:b w:val="0"/>
          <w:bCs w:val="0"/>
          <w:color w:val="auto"/>
          <w:highlight w:val="none"/>
          <w:u w:val="none"/>
          <w:lang w:val="en-US" w:eastAsia="zh-CN"/>
        </w:rPr>
        <w:t>亿元。涉企政策红利精准直达企业，累计兑现各类</w:t>
      </w:r>
      <w:r>
        <w:rPr>
          <w:rFonts w:hint="eastAsia" w:cs="仿宋_GB2312"/>
          <w:b w:val="0"/>
          <w:bCs w:val="0"/>
          <w:color w:val="auto"/>
          <w:highlight w:val="none"/>
          <w:u w:val="none"/>
          <w:lang w:val="en-US" w:eastAsia="zh-CN"/>
        </w:rPr>
        <w:t>惠</w:t>
      </w:r>
      <w:r>
        <w:rPr>
          <w:rFonts w:hint="eastAsia" w:ascii="Times New Roman" w:hAnsi="Times New Roman" w:cs="仿宋_GB2312"/>
          <w:b w:val="0"/>
          <w:bCs w:val="0"/>
          <w:color w:val="auto"/>
          <w:highlight w:val="none"/>
          <w:u w:val="none"/>
          <w:lang w:val="en-US" w:eastAsia="zh-CN"/>
        </w:rPr>
        <w:t>企政策资金超</w:t>
      </w:r>
      <w:r>
        <w:rPr>
          <w:rFonts w:hint="eastAsia" w:cs="仿宋_GB2312"/>
          <w:b w:val="0"/>
          <w:bCs w:val="0"/>
          <w:color w:val="auto"/>
          <w:highlight w:val="none"/>
          <w:u w:val="none"/>
          <w:lang w:val="en-US" w:eastAsia="zh-CN"/>
        </w:rPr>
        <w:t>12</w:t>
      </w:r>
      <w:r>
        <w:rPr>
          <w:rFonts w:hint="eastAsia" w:ascii="Times New Roman" w:hAnsi="Times New Roman" w:cs="仿宋_GB2312"/>
          <w:b w:val="0"/>
          <w:bCs w:val="0"/>
          <w:color w:val="auto"/>
          <w:highlight w:val="none"/>
          <w:u w:val="none"/>
          <w:lang w:val="en-US" w:eastAsia="zh-CN"/>
        </w:rPr>
        <w:t>亿元。</w:t>
      </w:r>
      <w:r>
        <w:rPr>
          <w:rFonts w:hint="eastAsia" w:ascii="Times New Roman" w:hAnsi="Times New Roman" w:cs="仿宋_GB2312"/>
          <w:b/>
          <w:bCs/>
          <w:color w:val="auto"/>
          <w:highlight w:val="none"/>
          <w:u w:val="none"/>
          <w:lang w:val="en-US" w:eastAsia="zh-CN"/>
        </w:rPr>
        <w:t>三是财政改革稳步推进，管理体系更加健全。</w:t>
      </w:r>
      <w:r>
        <w:rPr>
          <w:rFonts w:hint="eastAsia" w:ascii="Times New Roman" w:hAnsi="Times New Roman" w:cs="仿宋_GB2312"/>
          <w:b w:val="0"/>
          <w:bCs w:val="0"/>
          <w:color w:val="auto"/>
          <w:highlight w:val="none"/>
          <w:u w:val="none"/>
          <w:lang w:val="en-US" w:eastAsia="zh-CN"/>
        </w:rPr>
        <w:t>预算管理改革成效显著</w:t>
      </w:r>
      <w:r>
        <w:rPr>
          <w:rFonts w:hint="eastAsia" w:cs="仿宋_GB2312"/>
          <w:b w:val="0"/>
          <w:bCs w:val="0"/>
          <w:color w:val="auto"/>
          <w:highlight w:val="none"/>
          <w:u w:val="none"/>
          <w:lang w:val="en-US" w:eastAsia="zh-CN"/>
        </w:rPr>
        <w:t>，相关经验做法获省财政厅发文推广</w:t>
      </w:r>
      <w:r>
        <w:rPr>
          <w:rFonts w:hint="eastAsia" w:ascii="Times New Roman" w:hAnsi="Times New Roman" w:cs="仿宋_GB2312"/>
          <w:b w:val="0"/>
          <w:bCs w:val="0"/>
          <w:color w:val="auto"/>
          <w:highlight w:val="none"/>
          <w:u w:val="none"/>
          <w:lang w:val="en-US" w:eastAsia="zh-CN"/>
        </w:rPr>
        <w:t>，2021年被授予“全省财政系统先进集体”；2022年荣获国家级节约型机关；2023年在全市预算绩效管理考评中获优秀等次</w:t>
      </w:r>
      <w:r>
        <w:rPr>
          <w:rFonts w:hint="eastAsia" w:cs="仿宋_GB2312"/>
          <w:b w:val="0"/>
          <w:bCs w:val="0"/>
          <w:color w:val="auto"/>
          <w:highlight w:val="none"/>
          <w:u w:val="none"/>
          <w:lang w:val="en-US" w:eastAsia="zh-CN"/>
        </w:rPr>
        <w:t>；2023、2024年度</w:t>
      </w:r>
      <w:r>
        <w:rPr>
          <w:rFonts w:hint="eastAsia" w:ascii="Times New Roman" w:hAnsi="Times New Roman" w:cs="仿宋_GB2312"/>
          <w:b w:val="0"/>
          <w:bCs w:val="0"/>
          <w:color w:val="auto"/>
          <w:highlight w:val="none"/>
          <w:u w:val="none"/>
          <w:lang w:val="en-US" w:eastAsia="zh-CN"/>
        </w:rPr>
        <w:t>在全市争取资金排名中</w:t>
      </w:r>
      <w:r>
        <w:rPr>
          <w:rFonts w:hint="eastAsia" w:cs="仿宋_GB2312"/>
          <w:b w:val="0"/>
          <w:bCs w:val="0"/>
          <w:color w:val="auto"/>
          <w:highlight w:val="none"/>
          <w:u w:val="none"/>
          <w:lang w:val="en-US" w:eastAsia="zh-CN"/>
        </w:rPr>
        <w:t>分别</w:t>
      </w:r>
      <w:r>
        <w:rPr>
          <w:rFonts w:hint="eastAsia" w:ascii="Times New Roman" w:hAnsi="Times New Roman" w:cs="仿宋_GB2312"/>
          <w:b w:val="0"/>
          <w:bCs w:val="0"/>
          <w:color w:val="auto"/>
          <w:highlight w:val="none"/>
          <w:u w:val="none"/>
          <w:lang w:val="en-US" w:eastAsia="zh-CN"/>
        </w:rPr>
        <w:t>位列各县（市区）第6</w:t>
      </w:r>
      <w:r>
        <w:rPr>
          <w:rFonts w:hint="eastAsia" w:cs="仿宋_GB2312"/>
          <w:b w:val="0"/>
          <w:bCs w:val="0"/>
          <w:color w:val="auto"/>
          <w:highlight w:val="none"/>
          <w:u w:val="none"/>
          <w:lang w:val="en-US" w:eastAsia="zh-CN"/>
        </w:rPr>
        <w:t>、第4</w:t>
      </w:r>
      <w:r>
        <w:rPr>
          <w:rFonts w:hint="eastAsia" w:ascii="Times New Roman" w:hAnsi="Times New Roman" w:cs="仿宋_GB2312"/>
          <w:b w:val="0"/>
          <w:bCs w:val="0"/>
          <w:color w:val="auto"/>
          <w:highlight w:val="none"/>
          <w:u w:val="none"/>
          <w:lang w:val="en-US" w:eastAsia="zh-CN"/>
        </w:rPr>
        <w:t>位</w:t>
      </w:r>
      <w:r>
        <w:rPr>
          <w:rFonts w:hint="eastAsia" w:cs="仿宋_GB2312"/>
          <w:b w:val="0"/>
          <w:bCs w:val="0"/>
          <w:color w:val="auto"/>
          <w:highlight w:val="none"/>
          <w:u w:val="none"/>
          <w:lang w:val="en-US" w:eastAsia="zh-CN"/>
        </w:rPr>
        <w:t>；</w:t>
      </w:r>
      <w:r>
        <w:rPr>
          <w:rFonts w:hint="eastAsia" w:ascii="Times New Roman" w:hAnsi="Times New Roman" w:cs="仿宋_GB2312"/>
          <w:b w:val="0"/>
          <w:bCs w:val="0"/>
          <w:color w:val="auto"/>
          <w:highlight w:val="none"/>
          <w:u w:val="none"/>
          <w:lang w:val="en-US" w:eastAsia="zh-CN"/>
        </w:rPr>
        <w:t>2022-2024年连续三年政府采购指标位列全市前二名；2022-202</w:t>
      </w:r>
      <w:r>
        <w:rPr>
          <w:rFonts w:hint="eastAsia" w:cs="仿宋_GB2312"/>
          <w:b w:val="0"/>
          <w:bCs w:val="0"/>
          <w:color w:val="auto"/>
          <w:highlight w:val="none"/>
          <w:u w:val="none"/>
          <w:lang w:val="en-US" w:eastAsia="zh-CN"/>
        </w:rPr>
        <w:t>4</w:t>
      </w:r>
      <w:r>
        <w:rPr>
          <w:rFonts w:hint="eastAsia" w:ascii="Times New Roman" w:hAnsi="Times New Roman" w:cs="仿宋_GB2312"/>
          <w:b w:val="0"/>
          <w:bCs w:val="0"/>
          <w:color w:val="auto"/>
          <w:highlight w:val="none"/>
          <w:u w:val="none"/>
          <w:lang w:val="en-US" w:eastAsia="zh-CN"/>
        </w:rPr>
        <w:t>年连续</w:t>
      </w:r>
      <w:r>
        <w:rPr>
          <w:rFonts w:hint="eastAsia" w:cs="仿宋_GB2312"/>
          <w:b w:val="0"/>
          <w:bCs w:val="0"/>
          <w:color w:val="auto"/>
          <w:highlight w:val="none"/>
          <w:u w:val="none"/>
          <w:lang w:val="en-US" w:eastAsia="zh-CN"/>
        </w:rPr>
        <w:t>三</w:t>
      </w:r>
      <w:r>
        <w:rPr>
          <w:rFonts w:hint="eastAsia" w:ascii="Times New Roman" w:hAnsi="Times New Roman" w:cs="仿宋_GB2312"/>
          <w:b w:val="0"/>
          <w:bCs w:val="0"/>
          <w:color w:val="auto"/>
          <w:highlight w:val="none"/>
          <w:u w:val="none"/>
          <w:lang w:val="en-US" w:eastAsia="zh-CN"/>
        </w:rPr>
        <w:t>年取得全市政府债券资金管理和支出进度考评第一名，已获得正向激励资金900万元。国资国企改革</w:t>
      </w:r>
      <w:r>
        <w:rPr>
          <w:rFonts w:hint="eastAsia" w:cs="仿宋_GB2312"/>
          <w:b w:val="0"/>
          <w:bCs w:val="0"/>
          <w:color w:val="auto"/>
          <w:highlight w:val="none"/>
          <w:u w:val="none"/>
          <w:lang w:val="en-US" w:eastAsia="zh-CN"/>
        </w:rPr>
        <w:t>深化提升</w:t>
      </w:r>
      <w:r>
        <w:rPr>
          <w:rFonts w:hint="eastAsia" w:ascii="Times New Roman" w:hAnsi="Times New Roman" w:cs="仿宋_GB2312"/>
          <w:b w:val="0"/>
          <w:bCs w:val="0"/>
          <w:color w:val="auto"/>
          <w:highlight w:val="none"/>
          <w:u w:val="none"/>
          <w:lang w:val="en-US" w:eastAsia="zh-CN"/>
        </w:rPr>
        <w:t>，对城建、文旅两大集团实施二次整合重组，着力构建布局合理、要素集中、优势互补的集团企业运营新体系；</w:t>
      </w:r>
      <w:r>
        <w:rPr>
          <w:rFonts w:hint="eastAsia" w:cs="仿宋_GB2312"/>
          <w:b w:val="0"/>
          <w:bCs w:val="0"/>
          <w:color w:val="auto"/>
          <w:highlight w:val="none"/>
          <w:u w:val="none"/>
          <w:lang w:val="en-US" w:eastAsia="zh-CN"/>
        </w:rPr>
        <w:t>强化党对国资国企工作的全面领导，进一步推进国有资产资源布局优化、高效配置，为理顺国资监管体制、构建国资监管大格局打下坚实基础</w:t>
      </w:r>
      <w:r>
        <w:rPr>
          <w:rFonts w:hint="eastAsia" w:ascii="Times New Roman" w:hAnsi="Times New Roman" w:cs="仿宋_GB2312"/>
          <w:b w:val="0"/>
          <w:bCs w:val="0"/>
          <w:color w:val="auto"/>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jc w:val="both"/>
        <w:textAlignment w:val="auto"/>
        <w:rPr>
          <w:rFonts w:hint="eastAsia" w:ascii="Times New Roman" w:hAnsi="Times New Roman" w:cs="仿宋_GB2312"/>
          <w:b w:val="0"/>
          <w:bCs/>
          <w:i w:val="0"/>
          <w:caps w:val="0"/>
          <w:color w:val="auto"/>
          <w:spacing w:val="0"/>
          <w:sz w:val="32"/>
          <w:szCs w:val="32"/>
          <w:highlight w:val="none"/>
          <w:u w:val="none"/>
          <w:shd w:val="clear" w:fill="FFFFFF"/>
          <w:lang w:val="en-US" w:eastAsia="zh-CN"/>
        </w:rPr>
      </w:pPr>
      <w:r>
        <w:rPr>
          <w:rFonts w:hint="eastAsia" w:cs="仿宋_GB2312"/>
          <w:b w:val="0"/>
          <w:bCs/>
          <w:i w:val="0"/>
          <w:caps w:val="0"/>
          <w:color w:val="auto"/>
          <w:spacing w:val="0"/>
          <w:sz w:val="32"/>
          <w:szCs w:val="32"/>
          <w:highlight w:val="none"/>
          <w:u w:val="none"/>
          <w:shd w:val="clear" w:fill="FFFFFF"/>
          <w:lang w:val="en-US" w:eastAsia="zh-CN"/>
        </w:rPr>
        <w:t>过去的一年，全县上下团结一心、接续奋斗、砥砺前行，</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全力确保</w:t>
      </w:r>
      <w:r>
        <w:rPr>
          <w:rFonts w:hint="eastAsia" w:cs="仿宋_GB2312"/>
          <w:b w:val="0"/>
          <w:bCs/>
          <w:i w:val="0"/>
          <w:caps w:val="0"/>
          <w:color w:val="auto"/>
          <w:spacing w:val="0"/>
          <w:sz w:val="32"/>
          <w:szCs w:val="32"/>
          <w:highlight w:val="none"/>
          <w:u w:val="none"/>
          <w:shd w:val="clear" w:fill="FFFFFF"/>
          <w:lang w:val="en-US" w:eastAsia="zh-CN"/>
        </w:rPr>
        <w:t>我县</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财政平稳运行，预算执行情况总体良好。这是县委带领全县人民奋楫争先、实干笃行的结果，是县人大、县政协和社会各界监督支持的结果。同时，我们也清醒地看到，在预算执行和财政工作中还面临着一些困难和挑战，主要是：受外部需求不振、成本上升影响，传统产业增长乏力，新兴产业尚未形成规模，税收基础受冲击，财政增收</w:t>
      </w:r>
      <w:r>
        <w:rPr>
          <w:rFonts w:hint="eastAsia" w:cs="仿宋_GB2312"/>
          <w:b w:val="0"/>
          <w:bCs/>
          <w:i w:val="0"/>
          <w:caps w:val="0"/>
          <w:color w:val="auto"/>
          <w:spacing w:val="0"/>
          <w:sz w:val="32"/>
          <w:szCs w:val="32"/>
          <w:highlight w:val="none"/>
          <w:u w:val="none"/>
          <w:shd w:val="clear" w:fill="FFFFFF"/>
          <w:lang w:val="en-US" w:eastAsia="zh-CN"/>
        </w:rPr>
        <w:t>后劲不足</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同时房地产市场下行导致土地出让收入下降，民生、基础设施等刚性支出持续增加且“三保”及债务还本付息压力加大，财政收支紧平衡问题仍将持续存在。对此，我们一定高度重视、直面问题，今后还将认真听取各位代表、委员的意见建议，加大工作力度、积极采取措施逐步予以解决。</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jc w:val="both"/>
        <w:textAlignment w:val="auto"/>
        <w:rPr>
          <w:rFonts w:hint="eastAsia" w:ascii="Times New Roman" w:hAnsi="Times New Roman" w:eastAsia="黑体" w:cs="黑体"/>
          <w:b w:val="0"/>
          <w:bCs/>
          <w:i w:val="0"/>
          <w:caps w:val="0"/>
          <w:color w:val="auto"/>
          <w:spacing w:val="0"/>
          <w:sz w:val="32"/>
          <w:szCs w:val="32"/>
          <w:highlight w:val="none"/>
          <w:u w:val="none"/>
          <w:shd w:val="clear" w:fill="FFFFFF"/>
          <w:lang w:val="en-US" w:eastAsia="zh-CN"/>
        </w:rPr>
      </w:pPr>
      <w:r>
        <w:rPr>
          <w:rFonts w:hint="eastAsia" w:ascii="Times New Roman" w:hAnsi="Times New Roman" w:eastAsia="黑体" w:cs="黑体"/>
          <w:b w:val="0"/>
          <w:bCs/>
          <w:i w:val="0"/>
          <w:caps w:val="0"/>
          <w:color w:val="auto"/>
          <w:spacing w:val="0"/>
          <w:sz w:val="32"/>
          <w:szCs w:val="32"/>
          <w:highlight w:val="none"/>
          <w:u w:val="none"/>
          <w:shd w:val="clear" w:fill="FFFFFF"/>
          <w:lang w:val="en-US" w:eastAsia="zh-CN"/>
        </w:rPr>
        <w:t>二、2026年预算草案</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jc w:val="both"/>
        <w:textAlignment w:val="auto"/>
        <w:rPr>
          <w:rFonts w:hint="eastAsia" w:ascii="Times New Roman" w:hAnsi="Times New Roman" w:cs="仿宋_GB2312"/>
          <w:b w:val="0"/>
          <w:bCs/>
          <w:i w:val="0"/>
          <w:caps w:val="0"/>
          <w:color w:val="auto"/>
          <w:spacing w:val="0"/>
          <w:sz w:val="32"/>
          <w:szCs w:val="32"/>
          <w:highlight w:val="none"/>
          <w:u w:val="none"/>
          <w:shd w:val="clear" w:fill="FFFFFF"/>
          <w:lang w:val="en-US" w:eastAsia="zh-CN"/>
        </w:rPr>
      </w:pPr>
      <w:r>
        <w:rPr>
          <w:rFonts w:hint="eastAsia" w:ascii="Times New Roman" w:hAnsi="Times New Roman" w:cs="仿宋_GB2312"/>
          <w:b w:val="0"/>
          <w:bCs/>
          <w:i w:val="0"/>
          <w:caps w:val="0"/>
          <w:color w:val="auto"/>
          <w:spacing w:val="0"/>
          <w:sz w:val="32"/>
          <w:szCs w:val="32"/>
          <w:highlight w:val="none"/>
          <w:u w:val="none"/>
          <w:shd w:val="clear" w:fill="FFFFFF"/>
          <w:lang w:val="en-US" w:eastAsia="zh-CN"/>
        </w:rPr>
        <w:t>2026年是</w:t>
      </w:r>
      <w:r>
        <w:rPr>
          <w:rFonts w:hint="eastAsia" w:cs="仿宋_GB2312"/>
          <w:b w:val="0"/>
          <w:bCs/>
          <w:i w:val="0"/>
          <w:caps w:val="0"/>
          <w:color w:val="auto"/>
          <w:spacing w:val="0"/>
          <w:sz w:val="32"/>
          <w:szCs w:val="32"/>
          <w:highlight w:val="none"/>
          <w:u w:val="none"/>
          <w:shd w:val="clear" w:fill="FFFFFF"/>
          <w:lang w:val="en-US" w:eastAsia="zh-CN"/>
        </w:rPr>
        <w:t>实施</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十五五”规划的开局之年，我们将坚持以习近平新时代中国特色社会主义思想为指导，全面贯彻落实党的二十大和二十届历次全会精神，坚持稳中求进工作总基调，完整、准确、全面贯彻新发展理念，扎实深化财政改革，实施更加积极的财政政策，</w:t>
      </w:r>
      <w:r>
        <w:rPr>
          <w:rFonts w:hint="eastAsia" w:cs="仿宋_GB2312"/>
          <w:b w:val="0"/>
          <w:bCs/>
          <w:i w:val="0"/>
          <w:caps w:val="0"/>
          <w:color w:val="auto"/>
          <w:spacing w:val="0"/>
          <w:sz w:val="32"/>
          <w:szCs w:val="32"/>
          <w:highlight w:val="none"/>
          <w:u w:val="none"/>
          <w:shd w:val="clear" w:fill="FFFFFF"/>
          <w:lang w:val="en-US" w:eastAsia="zh-CN"/>
        </w:rPr>
        <w:t>促进</w:t>
      </w:r>
      <w:r>
        <w:rPr>
          <w:rFonts w:hint="eastAsia" w:ascii="Times New Roman" w:hAnsi="Times New Roman" w:cs="仿宋_GB2312"/>
          <w:b w:val="0"/>
          <w:bCs/>
          <w:i w:val="0"/>
          <w:caps w:val="0"/>
          <w:color w:val="auto"/>
          <w:spacing w:val="0"/>
          <w:sz w:val="32"/>
          <w:szCs w:val="32"/>
          <w:highlight w:val="none"/>
          <w:u w:val="none"/>
          <w:shd w:val="clear" w:fill="FFFFFF"/>
          <w:lang w:val="en-US" w:eastAsia="zh-CN"/>
        </w:rPr>
        <w:t>经济社会高质量发展。</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Times New Roman" w:hAnsi="Times New Roman" w:eastAsia="楷体_GB2312" w:cs="楷体_GB2312"/>
          <w:b/>
          <w:bCs/>
          <w:color w:val="auto"/>
          <w:highlight w:val="none"/>
          <w:u w:val="none"/>
        </w:rPr>
      </w:pPr>
      <w:r>
        <w:rPr>
          <w:rFonts w:hint="eastAsia" w:ascii="Times New Roman" w:hAnsi="Times New Roman" w:eastAsia="楷体_GB2312" w:cs="楷体_GB2312"/>
          <w:b/>
          <w:bCs/>
          <w:color w:val="auto"/>
          <w:highlight w:val="none"/>
          <w:u w:val="none"/>
          <w:lang w:val="en-US" w:eastAsia="zh-CN"/>
        </w:rPr>
        <w:t xml:space="preserve">    </w:t>
      </w:r>
      <w:r>
        <w:rPr>
          <w:rFonts w:hint="eastAsia" w:ascii="Times New Roman" w:hAnsi="Times New Roman" w:eastAsia="楷体_GB2312" w:cs="楷体_GB2312"/>
          <w:b/>
          <w:bCs/>
          <w:color w:val="auto"/>
          <w:highlight w:val="none"/>
          <w:u w:val="none"/>
        </w:rPr>
        <w:t>（一）预算安排情况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eastAsia="仿宋_GB2312" w:cs="仿宋_GB2312"/>
          <w:color w:val="auto"/>
          <w:highlight w:val="none"/>
          <w:u w:val="none"/>
        </w:rPr>
        <w:t>根据“实事求是、依法</w:t>
      </w:r>
      <w:r>
        <w:rPr>
          <w:rFonts w:hint="eastAsia" w:ascii="Times New Roman" w:hAnsi="Times New Roman" w:cs="仿宋_GB2312"/>
          <w:color w:val="auto"/>
          <w:highlight w:val="none"/>
          <w:u w:val="none"/>
          <w:lang w:val="en-US" w:eastAsia="zh-CN"/>
        </w:rPr>
        <w:t>科学</w:t>
      </w:r>
      <w:r>
        <w:rPr>
          <w:rFonts w:hint="eastAsia" w:ascii="Times New Roman" w:hAnsi="Times New Roman" w:eastAsia="仿宋_GB2312" w:cs="仿宋_GB2312"/>
          <w:color w:val="auto"/>
          <w:highlight w:val="none"/>
          <w:u w:val="none"/>
        </w:rPr>
        <w:t>、稳妥</w:t>
      </w:r>
      <w:r>
        <w:rPr>
          <w:rFonts w:hint="eastAsia" w:ascii="Times New Roman" w:hAnsi="Times New Roman" w:cs="仿宋_GB2312"/>
          <w:color w:val="auto"/>
          <w:highlight w:val="none"/>
          <w:u w:val="none"/>
          <w:lang w:val="en-US" w:eastAsia="zh-CN"/>
        </w:rPr>
        <w:t>匹配</w:t>
      </w:r>
      <w:r>
        <w:rPr>
          <w:rFonts w:hint="eastAsia" w:ascii="Times New Roman" w:hAnsi="Times New Roman" w:eastAsia="仿宋_GB2312" w:cs="仿宋_GB2312"/>
          <w:color w:val="auto"/>
          <w:highlight w:val="none"/>
          <w:u w:val="none"/>
        </w:rPr>
        <w:t>、</w:t>
      </w:r>
      <w:r>
        <w:rPr>
          <w:rFonts w:hint="eastAsia" w:ascii="Times New Roman" w:hAnsi="Times New Roman" w:cs="仿宋_GB2312"/>
          <w:color w:val="auto"/>
          <w:highlight w:val="none"/>
          <w:u w:val="none"/>
          <w:lang w:val="en-US" w:eastAsia="zh-CN"/>
        </w:rPr>
        <w:t>提质增效</w:t>
      </w:r>
      <w:r>
        <w:rPr>
          <w:rFonts w:hint="eastAsia" w:ascii="Times New Roman" w:hAnsi="Times New Roman" w:eastAsia="仿宋_GB2312" w:cs="仿宋_GB2312"/>
          <w:color w:val="auto"/>
          <w:highlight w:val="none"/>
          <w:u w:val="none"/>
        </w:rPr>
        <w:t>”的原则合理编制收入预算；按照“统筹兼顾、保障重点、绩效导向、硬化约束、收支平衡”的原则科学编制支出预算，精准测算财政收入规模，加强财政资源统筹，优化财政支出结构，民生支出重点向促进高质量充分就业、推动义务教育优质均衡发展、</w:t>
      </w:r>
      <w:r>
        <w:rPr>
          <w:rFonts w:hint="eastAsia" w:ascii="Times New Roman" w:hAnsi="Times New Roman" w:cs="仿宋_GB2312"/>
          <w:color w:val="auto"/>
          <w:highlight w:val="none"/>
          <w:u w:val="none"/>
          <w:lang w:val="en-US" w:eastAsia="zh-CN"/>
        </w:rPr>
        <w:t>加大优质医疗资源供给</w:t>
      </w:r>
      <w:r>
        <w:rPr>
          <w:rFonts w:hint="eastAsia" w:ascii="Times New Roman" w:hAnsi="Times New Roman" w:eastAsia="仿宋_GB2312" w:cs="仿宋_GB2312"/>
          <w:color w:val="auto"/>
          <w:highlight w:val="none"/>
          <w:u w:val="none"/>
        </w:rPr>
        <w:t>、推进乡村全面振兴等方面倾斜</w:t>
      </w:r>
      <w:r>
        <w:rPr>
          <w:rFonts w:hint="eastAsia" w:ascii="Times New Roman" w:hAnsi="Times New Roman" w:cs="仿宋_GB2312"/>
          <w:color w:val="auto"/>
          <w:highlight w:val="none"/>
          <w:u w:val="none"/>
          <w:lang w:eastAsia="zh-CN"/>
        </w:rPr>
        <w:t>，统筹发展和安全、当前和长远，坚持尽力而为、量力而行，牢牢守住不发生系统性风险底线，确保财政安全平稳可持续。</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Times New Roman" w:hAnsi="Times New Roman" w:eastAsia="仿宋_GB2312" w:cs="仿宋_GB2312"/>
          <w:color w:val="auto"/>
          <w:spacing w:val="-6"/>
          <w:highlight w:val="none"/>
          <w:u w:val="none"/>
        </w:rPr>
      </w:pPr>
      <w:r>
        <w:rPr>
          <w:rFonts w:hint="eastAsia" w:ascii="Times New Roman" w:hAnsi="Times New Roman" w:eastAsia="仿宋_GB2312" w:cs="仿宋_GB2312"/>
          <w:b/>
          <w:bCs/>
          <w:color w:val="auto"/>
          <w:highlight w:val="none"/>
          <w:u w:val="none"/>
          <w:lang w:val="en-US" w:eastAsia="zh-CN"/>
        </w:rPr>
        <w:t xml:space="preserve">    </w:t>
      </w:r>
      <w:r>
        <w:rPr>
          <w:rFonts w:hint="eastAsia" w:ascii="Times New Roman" w:hAnsi="Times New Roman" w:eastAsia="仿宋_GB2312" w:cs="仿宋_GB2312"/>
          <w:b/>
          <w:bCs/>
          <w:color w:val="auto"/>
          <w:highlight w:val="none"/>
          <w:u w:val="none"/>
        </w:rPr>
        <w:t>1.一般公共预算：</w:t>
      </w:r>
      <w:r>
        <w:rPr>
          <w:rFonts w:hint="eastAsia" w:ascii="Times New Roman" w:hAnsi="Times New Roman" w:eastAsia="仿宋_GB2312" w:cs="仿宋_GB2312"/>
          <w:color w:val="auto"/>
          <w:spacing w:val="-6"/>
          <w:highlight w:val="none"/>
          <w:u w:val="none"/>
        </w:rPr>
        <w:t>全县一般公共预算收入</w:t>
      </w:r>
      <w:r>
        <w:rPr>
          <w:rFonts w:hint="eastAsia" w:cs="仿宋_GB2312"/>
          <w:color w:val="auto"/>
          <w:spacing w:val="-6"/>
          <w:highlight w:val="none"/>
          <w:u w:val="none"/>
          <w:lang w:val="en-US" w:eastAsia="zh-CN"/>
        </w:rPr>
        <w:t>20.18</w:t>
      </w:r>
      <w:r>
        <w:rPr>
          <w:rFonts w:hint="eastAsia" w:ascii="Times New Roman" w:hAnsi="Times New Roman" w:eastAsia="仿宋_GB2312" w:cs="仿宋_GB2312"/>
          <w:color w:val="auto"/>
          <w:spacing w:val="-6"/>
          <w:highlight w:val="none"/>
          <w:u w:val="none"/>
        </w:rPr>
        <w:t>亿元，增长</w:t>
      </w:r>
      <w:r>
        <w:rPr>
          <w:rFonts w:hint="eastAsia" w:cs="仿宋_GB2312"/>
          <w:color w:val="auto"/>
          <w:spacing w:val="-6"/>
          <w:highlight w:val="none"/>
          <w:u w:val="none"/>
          <w:lang w:val="en-US" w:eastAsia="zh-CN"/>
        </w:rPr>
        <w:t>2.5</w:t>
      </w:r>
      <w:r>
        <w:rPr>
          <w:rFonts w:hint="eastAsia" w:ascii="Times New Roman" w:hAnsi="Times New Roman" w:eastAsia="仿宋_GB2312" w:cs="仿宋_GB2312"/>
          <w:color w:val="auto"/>
          <w:spacing w:val="-6"/>
          <w:highlight w:val="none"/>
          <w:u w:val="none"/>
        </w:rPr>
        <w:t>%。按照收支平衡的原则，相应安排202</w:t>
      </w:r>
      <w:r>
        <w:rPr>
          <w:rFonts w:hint="eastAsia" w:ascii="Times New Roman" w:hAnsi="Times New Roman" w:cs="仿宋_GB2312"/>
          <w:color w:val="auto"/>
          <w:spacing w:val="-6"/>
          <w:highlight w:val="none"/>
          <w:u w:val="none"/>
          <w:lang w:val="en-US" w:eastAsia="zh-CN"/>
        </w:rPr>
        <w:t>6</w:t>
      </w:r>
      <w:r>
        <w:rPr>
          <w:rFonts w:hint="eastAsia" w:ascii="Times New Roman" w:hAnsi="Times New Roman" w:eastAsia="仿宋_GB2312" w:cs="仿宋_GB2312"/>
          <w:color w:val="auto"/>
          <w:spacing w:val="-6"/>
          <w:highlight w:val="none"/>
          <w:u w:val="none"/>
        </w:rPr>
        <w:t>年一般公共预算支出</w:t>
      </w:r>
      <w:r>
        <w:rPr>
          <w:rFonts w:hint="eastAsia" w:cs="仿宋_GB2312"/>
          <w:color w:val="auto"/>
          <w:spacing w:val="-6"/>
          <w:highlight w:val="none"/>
          <w:u w:val="none"/>
          <w:lang w:val="en-US" w:eastAsia="zh-CN"/>
        </w:rPr>
        <w:t>35.74</w:t>
      </w:r>
      <w:r>
        <w:rPr>
          <w:rFonts w:hint="eastAsia" w:ascii="Times New Roman" w:hAnsi="Times New Roman" w:eastAsia="仿宋_GB2312" w:cs="仿宋_GB2312"/>
          <w:color w:val="auto"/>
          <w:spacing w:val="-6"/>
          <w:highlight w:val="none"/>
          <w:u w:val="none"/>
        </w:rPr>
        <w:t>亿元，增长</w:t>
      </w:r>
      <w:r>
        <w:rPr>
          <w:rFonts w:hint="eastAsia" w:cs="仿宋_GB2312"/>
          <w:color w:val="auto"/>
          <w:spacing w:val="-6"/>
          <w:highlight w:val="none"/>
          <w:u w:val="none"/>
          <w:lang w:val="en-US" w:eastAsia="zh-CN"/>
        </w:rPr>
        <w:t>3.7</w:t>
      </w:r>
      <w:r>
        <w:rPr>
          <w:rFonts w:hint="eastAsia" w:ascii="Times New Roman" w:hAnsi="Times New Roman" w:eastAsia="仿宋_GB2312" w:cs="仿宋_GB2312"/>
          <w:color w:val="auto"/>
          <w:spacing w:val="-6"/>
          <w:highlight w:val="none"/>
          <w:u w:val="none"/>
        </w:rPr>
        <w:t>%，支出主要由一般公共预算收入</w:t>
      </w:r>
      <w:r>
        <w:rPr>
          <w:rFonts w:hint="eastAsia" w:cs="仿宋_GB2312"/>
          <w:color w:val="auto"/>
          <w:spacing w:val="-6"/>
          <w:highlight w:val="none"/>
          <w:u w:val="none"/>
          <w:lang w:val="en-US" w:eastAsia="zh-CN"/>
        </w:rPr>
        <w:t>20.18亿元</w:t>
      </w:r>
      <w:r>
        <w:rPr>
          <w:rFonts w:hint="eastAsia" w:ascii="Times New Roman" w:hAnsi="Times New Roman" w:eastAsia="仿宋_GB2312" w:cs="仿宋_GB2312"/>
          <w:color w:val="auto"/>
          <w:spacing w:val="-6"/>
          <w:highlight w:val="none"/>
          <w:u w:val="none"/>
        </w:rPr>
        <w:t>、一般性转移支付</w:t>
      </w:r>
      <w:r>
        <w:rPr>
          <w:rFonts w:hint="eastAsia" w:cs="仿宋_GB2312"/>
          <w:color w:val="auto"/>
          <w:spacing w:val="-6"/>
          <w:highlight w:val="none"/>
          <w:u w:val="none"/>
          <w:lang w:val="en-US" w:eastAsia="zh-CN"/>
        </w:rPr>
        <w:t>4.56亿元</w:t>
      </w:r>
      <w:r>
        <w:rPr>
          <w:rFonts w:hint="eastAsia" w:ascii="Times New Roman" w:hAnsi="Times New Roman" w:eastAsia="仿宋_GB2312" w:cs="仿宋_GB2312"/>
          <w:color w:val="auto"/>
          <w:spacing w:val="-6"/>
          <w:highlight w:val="none"/>
          <w:u w:val="none"/>
        </w:rPr>
        <w:t>、专项补助资金</w:t>
      </w:r>
      <w:r>
        <w:rPr>
          <w:rFonts w:hint="eastAsia" w:cs="仿宋_GB2312"/>
          <w:color w:val="auto"/>
          <w:spacing w:val="-6"/>
          <w:highlight w:val="none"/>
          <w:u w:val="none"/>
          <w:lang w:val="en-US" w:eastAsia="zh-CN"/>
        </w:rPr>
        <w:t>3.49亿元</w:t>
      </w:r>
      <w:r>
        <w:rPr>
          <w:rFonts w:hint="eastAsia" w:ascii="Times New Roman" w:hAnsi="Times New Roman" w:eastAsia="仿宋_GB2312" w:cs="仿宋_GB2312"/>
          <w:color w:val="auto"/>
          <w:spacing w:val="-6"/>
          <w:highlight w:val="none"/>
          <w:u w:val="none"/>
        </w:rPr>
        <w:t>、</w:t>
      </w:r>
      <w:r>
        <w:rPr>
          <w:rFonts w:hint="eastAsia" w:ascii="Times New Roman" w:hAnsi="Times New Roman" w:cs="仿宋_GB2312"/>
          <w:color w:val="auto"/>
          <w:spacing w:val="-6"/>
          <w:highlight w:val="none"/>
          <w:u w:val="none"/>
          <w:lang w:eastAsia="zh-CN"/>
        </w:rPr>
        <w:t>调入资金和</w:t>
      </w:r>
      <w:r>
        <w:rPr>
          <w:rFonts w:hint="eastAsia" w:ascii="Times New Roman" w:hAnsi="Times New Roman" w:eastAsia="仿宋_GB2312" w:cs="仿宋_GB2312"/>
          <w:color w:val="auto"/>
          <w:spacing w:val="-6"/>
          <w:highlight w:val="none"/>
          <w:u w:val="none"/>
        </w:rPr>
        <w:t>动用预算稳定调节基金</w:t>
      </w:r>
      <w:r>
        <w:rPr>
          <w:rFonts w:hint="eastAsia" w:cs="仿宋_GB2312"/>
          <w:color w:val="auto"/>
          <w:spacing w:val="-6"/>
          <w:highlight w:val="none"/>
          <w:u w:val="none"/>
          <w:lang w:val="en-US" w:eastAsia="zh-CN"/>
        </w:rPr>
        <w:t>7.51亿元</w:t>
      </w:r>
      <w:r>
        <w:rPr>
          <w:rFonts w:hint="eastAsia" w:ascii="Times New Roman" w:hAnsi="Times New Roman" w:eastAsia="仿宋_GB2312" w:cs="仿宋_GB2312"/>
          <w:color w:val="auto"/>
          <w:spacing w:val="-6"/>
          <w:highlight w:val="none"/>
          <w:u w:val="none"/>
        </w:rPr>
        <w:t>等构成。</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eastAsia="仿宋_GB2312" w:cs="仿宋_GB2312"/>
          <w:b/>
          <w:bCs/>
          <w:color w:val="auto"/>
          <w:highlight w:val="none"/>
          <w:u w:val="none"/>
          <w:lang w:val="en-US" w:eastAsia="zh-CN"/>
        </w:rPr>
        <w:t xml:space="preserve">    </w:t>
      </w:r>
      <w:r>
        <w:rPr>
          <w:rFonts w:hint="eastAsia" w:ascii="Times New Roman" w:hAnsi="Times New Roman" w:eastAsia="仿宋_GB2312" w:cs="仿宋_GB2312"/>
          <w:b/>
          <w:bCs/>
          <w:color w:val="auto"/>
          <w:highlight w:val="none"/>
          <w:u w:val="none"/>
        </w:rPr>
        <w:t>2.政府性基金预算：</w:t>
      </w:r>
      <w:r>
        <w:rPr>
          <w:rFonts w:hint="eastAsia" w:ascii="Times New Roman" w:hAnsi="Times New Roman" w:eastAsia="仿宋_GB2312" w:cs="仿宋_GB2312"/>
          <w:color w:val="auto"/>
          <w:highlight w:val="none"/>
          <w:u w:val="none"/>
        </w:rPr>
        <w:t>全县政府性基金收入</w:t>
      </w:r>
      <w:r>
        <w:rPr>
          <w:rFonts w:hint="eastAsia" w:cs="仿宋_GB2312"/>
          <w:color w:val="auto"/>
          <w:highlight w:val="none"/>
          <w:u w:val="none"/>
          <w:lang w:val="en-US" w:eastAsia="zh-CN"/>
        </w:rPr>
        <w:t>12.55</w:t>
      </w:r>
      <w:r>
        <w:rPr>
          <w:rFonts w:hint="eastAsia" w:ascii="Times New Roman" w:hAnsi="Times New Roman" w:eastAsia="仿宋_GB2312" w:cs="仿宋_GB2312"/>
          <w:color w:val="auto"/>
          <w:highlight w:val="none"/>
          <w:u w:val="none"/>
        </w:rPr>
        <w:t>亿元；政府性基金支出</w:t>
      </w:r>
      <w:r>
        <w:rPr>
          <w:rFonts w:hint="eastAsia" w:cs="仿宋_GB2312"/>
          <w:color w:val="auto"/>
          <w:highlight w:val="none"/>
          <w:u w:val="none"/>
          <w:lang w:val="en-US" w:eastAsia="zh-CN"/>
        </w:rPr>
        <w:t>12.55</w:t>
      </w:r>
      <w:r>
        <w:rPr>
          <w:rFonts w:hint="eastAsia" w:ascii="Times New Roman" w:hAnsi="Times New Roman" w:eastAsia="仿宋_GB2312" w:cs="仿宋_GB2312"/>
          <w:color w:val="auto"/>
          <w:highlight w:val="none"/>
          <w:u w:val="none"/>
        </w:rPr>
        <w:t>亿元。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eastAsia="仿宋_GB2312" w:cs="仿宋_GB2312"/>
          <w:b/>
          <w:bCs/>
          <w:color w:val="auto"/>
          <w:highlight w:val="none"/>
          <w:u w:val="none"/>
          <w:lang w:val="en-US" w:eastAsia="zh-CN"/>
        </w:rPr>
        <w:t xml:space="preserve">    </w:t>
      </w:r>
      <w:r>
        <w:rPr>
          <w:rFonts w:hint="eastAsia" w:ascii="Times New Roman" w:hAnsi="Times New Roman" w:eastAsia="仿宋_GB2312" w:cs="仿宋_GB2312"/>
          <w:b/>
          <w:bCs/>
          <w:color w:val="auto"/>
          <w:highlight w:val="none"/>
          <w:u w:val="none"/>
        </w:rPr>
        <w:t>3.国有资本经营预算：</w:t>
      </w:r>
      <w:r>
        <w:rPr>
          <w:rFonts w:hint="eastAsia" w:ascii="Times New Roman" w:hAnsi="Times New Roman" w:eastAsia="仿宋_GB2312" w:cs="仿宋_GB2312"/>
          <w:color w:val="auto"/>
          <w:highlight w:val="none"/>
          <w:u w:val="none"/>
        </w:rPr>
        <w:t>全县国有资本经营预算收入</w:t>
      </w:r>
      <w:r>
        <w:rPr>
          <w:rFonts w:hint="eastAsia" w:cs="仿宋_GB2312"/>
          <w:color w:val="auto"/>
          <w:highlight w:val="none"/>
          <w:u w:val="none"/>
          <w:lang w:val="en-US" w:eastAsia="zh-CN"/>
        </w:rPr>
        <w:t>0.06</w:t>
      </w:r>
      <w:r>
        <w:rPr>
          <w:rFonts w:hint="eastAsia" w:ascii="Times New Roman" w:hAnsi="Times New Roman" w:eastAsia="仿宋_GB2312" w:cs="仿宋_GB2312"/>
          <w:color w:val="auto"/>
          <w:highlight w:val="none"/>
          <w:u w:val="none"/>
        </w:rPr>
        <w:t>亿元；国有资本经营预算支出</w:t>
      </w:r>
      <w:r>
        <w:rPr>
          <w:rFonts w:hint="eastAsia" w:cs="仿宋_GB2312"/>
          <w:color w:val="auto"/>
          <w:highlight w:val="none"/>
          <w:u w:val="none"/>
          <w:lang w:val="en-US" w:eastAsia="zh-CN"/>
        </w:rPr>
        <w:t>0.06</w:t>
      </w:r>
      <w:r>
        <w:rPr>
          <w:rFonts w:hint="eastAsia" w:ascii="Times New Roman" w:hAnsi="Times New Roman" w:eastAsia="仿宋_GB2312" w:cs="仿宋_GB2312"/>
          <w:color w:val="auto"/>
          <w:highlight w:val="none"/>
          <w:u w:val="none"/>
        </w:rPr>
        <w:t>亿元。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Times New Roman" w:hAnsi="Times New Roman" w:eastAsia="楷体_GB2312" w:cs="楷体_GB2312"/>
          <w:color w:val="auto"/>
          <w:highlight w:val="none"/>
          <w:u w:val="none"/>
          <w:lang w:val="en-US" w:eastAsia="zh-CN"/>
        </w:rPr>
      </w:pPr>
      <w:r>
        <w:rPr>
          <w:rFonts w:hint="eastAsia" w:ascii="Times New Roman" w:hAnsi="Times New Roman" w:eastAsia="仿宋_GB2312" w:cs="仿宋_GB2312"/>
          <w:b/>
          <w:bCs/>
          <w:color w:val="auto"/>
          <w:highlight w:val="none"/>
          <w:u w:val="none"/>
          <w:lang w:val="en-US" w:eastAsia="zh-CN"/>
        </w:rPr>
        <w:t xml:space="preserve">    </w:t>
      </w:r>
      <w:r>
        <w:rPr>
          <w:rFonts w:hint="eastAsia" w:ascii="Times New Roman" w:hAnsi="Times New Roman" w:eastAsia="仿宋_GB2312" w:cs="仿宋_GB2312"/>
          <w:b/>
          <w:bCs/>
          <w:color w:val="auto"/>
          <w:highlight w:val="none"/>
          <w:u w:val="none"/>
        </w:rPr>
        <w:t>4.社会保险基金预算：</w:t>
      </w:r>
      <w:r>
        <w:rPr>
          <w:rFonts w:hint="eastAsia" w:ascii="Times New Roman" w:hAnsi="Times New Roman" w:eastAsia="仿宋_GB2312" w:cs="仿宋_GB2312"/>
          <w:color w:val="auto"/>
          <w:highlight w:val="none"/>
          <w:u w:val="none"/>
        </w:rPr>
        <w:t>全县社会保险基金收入</w:t>
      </w:r>
      <w:r>
        <w:rPr>
          <w:rFonts w:hint="eastAsia" w:cs="仿宋_GB2312"/>
          <w:color w:val="auto"/>
          <w:highlight w:val="none"/>
          <w:u w:val="none"/>
          <w:lang w:val="en-US" w:eastAsia="zh-CN"/>
        </w:rPr>
        <w:t>4.27</w:t>
      </w:r>
      <w:r>
        <w:rPr>
          <w:rFonts w:hint="eastAsia" w:ascii="Times New Roman" w:hAnsi="Times New Roman" w:eastAsia="仿宋_GB2312" w:cs="仿宋_GB2312"/>
          <w:color w:val="auto"/>
          <w:highlight w:val="none"/>
          <w:u w:val="none"/>
        </w:rPr>
        <w:t>亿元；社会保险基金支出</w:t>
      </w:r>
      <w:r>
        <w:rPr>
          <w:rFonts w:hint="eastAsia" w:cs="仿宋_GB2312"/>
          <w:color w:val="auto"/>
          <w:highlight w:val="none"/>
          <w:u w:val="none"/>
          <w:lang w:val="en-US" w:eastAsia="zh-CN"/>
        </w:rPr>
        <w:t>3.97</w:t>
      </w:r>
      <w:r>
        <w:rPr>
          <w:rFonts w:hint="eastAsia" w:ascii="Times New Roman" w:hAnsi="Times New Roman" w:eastAsia="仿宋_GB2312" w:cs="仿宋_GB2312"/>
          <w:color w:val="auto"/>
          <w:highlight w:val="none"/>
          <w:u w:val="none"/>
        </w:rPr>
        <w:t>亿元。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Times New Roman" w:hAnsi="Times New Roman"/>
          <w:b/>
          <w:bCs/>
          <w:color w:val="auto"/>
          <w:highlight w:val="none"/>
          <w:u w:val="none"/>
          <w:lang w:val="en-US" w:eastAsia="zh-CN"/>
        </w:rPr>
      </w:pPr>
      <w:r>
        <w:rPr>
          <w:rFonts w:hint="eastAsia" w:ascii="Times New Roman" w:hAnsi="Times New Roman" w:eastAsia="楷体_GB2312" w:cs="楷体_GB2312"/>
          <w:b/>
          <w:bCs/>
          <w:color w:val="auto"/>
          <w:highlight w:val="none"/>
          <w:u w:val="none"/>
        </w:rPr>
        <w:t>（</w:t>
      </w:r>
      <w:r>
        <w:rPr>
          <w:rFonts w:hint="eastAsia" w:ascii="Times New Roman" w:hAnsi="Times New Roman" w:eastAsia="楷体_GB2312" w:cs="楷体_GB2312"/>
          <w:b/>
          <w:bCs/>
          <w:color w:val="auto"/>
          <w:highlight w:val="none"/>
          <w:u w:val="none"/>
          <w:lang w:eastAsia="zh-CN"/>
        </w:rPr>
        <w:t>二</w:t>
      </w:r>
      <w:r>
        <w:rPr>
          <w:rFonts w:hint="eastAsia" w:ascii="Times New Roman" w:hAnsi="Times New Roman" w:eastAsia="楷体_GB2312" w:cs="楷体_GB2312"/>
          <w:b/>
          <w:bCs/>
          <w:color w:val="auto"/>
          <w:highlight w:val="none"/>
          <w:u w:val="none"/>
        </w:rPr>
        <w:t>）主要工作安排</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Times New Roman" w:hAnsi="Times New Roman"/>
          <w:b w:val="0"/>
          <w:bCs w:val="0"/>
          <w:color w:val="auto"/>
          <w:highlight w:val="none"/>
          <w:u w:val="none"/>
          <w:lang w:val="en-US" w:eastAsia="zh-CN"/>
        </w:rPr>
      </w:pPr>
      <w:r>
        <w:rPr>
          <w:rFonts w:hint="eastAsia" w:ascii="Times New Roman" w:hAnsi="Times New Roman"/>
          <w:b/>
          <w:bCs/>
          <w:color w:val="auto"/>
          <w:highlight w:val="none"/>
          <w:u w:val="none"/>
          <w:lang w:val="en-US" w:eastAsia="zh-CN"/>
        </w:rPr>
        <w:t>1.注重蓄势聚能强支撑，推动保障能力</w:t>
      </w:r>
      <w:r>
        <w:rPr>
          <w:rFonts w:hint="eastAsia"/>
          <w:b/>
          <w:bCs/>
          <w:color w:val="auto"/>
          <w:highlight w:val="none"/>
          <w:u w:val="none"/>
          <w:lang w:val="en-US" w:eastAsia="zh-CN"/>
        </w:rPr>
        <w:t>不断强化</w:t>
      </w:r>
      <w:r>
        <w:rPr>
          <w:rFonts w:hint="eastAsia" w:ascii="Times New Roman" w:hAnsi="Times New Roman"/>
          <w:b/>
          <w:bCs/>
          <w:color w:val="auto"/>
          <w:highlight w:val="none"/>
          <w:u w:val="none"/>
          <w:lang w:val="en-US" w:eastAsia="zh-CN"/>
        </w:rPr>
        <w:t>。一是</w:t>
      </w:r>
      <w:r>
        <w:rPr>
          <w:rFonts w:hint="eastAsia"/>
          <w:b/>
          <w:bCs/>
          <w:color w:val="auto"/>
          <w:highlight w:val="none"/>
          <w:u w:val="none"/>
          <w:lang w:val="en-US" w:eastAsia="zh-CN"/>
        </w:rPr>
        <w:t>加</w:t>
      </w:r>
      <w:r>
        <w:rPr>
          <w:rFonts w:hint="eastAsia" w:ascii="Times New Roman" w:hAnsi="Times New Roman" w:eastAsia="仿宋_GB2312" w:cstheme="minorBidi"/>
          <w:b/>
          <w:bCs/>
          <w:i w:val="0"/>
          <w:caps w:val="0"/>
          <w:color w:val="auto"/>
          <w:spacing w:val="0"/>
          <w:sz w:val="32"/>
          <w:szCs w:val="24"/>
          <w:highlight w:val="none"/>
          <w:u w:val="none"/>
          <w:shd w:val="clear" w:fill="auto"/>
        </w:rPr>
        <w:t>强税收收入征管</w:t>
      </w:r>
      <w:r>
        <w:rPr>
          <w:rFonts w:hint="eastAsia" w:ascii="Times New Roman" w:hAnsi="Times New Roman"/>
          <w:b/>
          <w:bCs/>
          <w:color w:val="auto"/>
          <w:highlight w:val="none"/>
          <w:u w:val="none"/>
          <w:lang w:val="en-US" w:eastAsia="zh-CN"/>
        </w:rPr>
        <w:t>。</w:t>
      </w:r>
      <w:r>
        <w:rPr>
          <w:rFonts w:hint="eastAsia" w:ascii="Times New Roman" w:hAnsi="Times New Roman"/>
          <w:b w:val="0"/>
          <w:bCs w:val="0"/>
          <w:color w:val="auto"/>
          <w:highlight w:val="none"/>
          <w:u w:val="none"/>
          <w:lang w:val="en-US" w:eastAsia="zh-CN"/>
        </w:rPr>
        <w:t>树牢全</w:t>
      </w:r>
      <w:r>
        <w:rPr>
          <w:rFonts w:hint="eastAsia"/>
          <w:b w:val="0"/>
          <w:bCs w:val="0"/>
          <w:color w:val="auto"/>
          <w:highlight w:val="none"/>
          <w:u w:val="none"/>
          <w:lang w:val="en-US" w:eastAsia="zh-CN"/>
        </w:rPr>
        <w:t>县</w:t>
      </w:r>
      <w:r>
        <w:rPr>
          <w:rFonts w:hint="eastAsia" w:ascii="Times New Roman" w:hAnsi="Times New Roman"/>
          <w:b w:val="0"/>
          <w:bCs w:val="0"/>
          <w:color w:val="auto"/>
          <w:highlight w:val="none"/>
          <w:u w:val="none"/>
          <w:lang w:val="en-US" w:eastAsia="zh-CN"/>
        </w:rPr>
        <w:t>一盘</w:t>
      </w:r>
      <w:r>
        <w:rPr>
          <w:rFonts w:hint="eastAsia"/>
          <w:b w:val="0"/>
          <w:bCs w:val="0"/>
          <w:color w:val="auto"/>
          <w:highlight w:val="none"/>
          <w:u w:val="none"/>
          <w:lang w:val="en-US" w:eastAsia="zh-CN"/>
        </w:rPr>
        <w:t>棋</w:t>
      </w:r>
      <w:r>
        <w:rPr>
          <w:rFonts w:hint="eastAsia" w:ascii="Times New Roman" w:hAnsi="Times New Roman"/>
          <w:b w:val="0"/>
          <w:bCs w:val="0"/>
          <w:color w:val="auto"/>
          <w:highlight w:val="none"/>
          <w:u w:val="none"/>
          <w:lang w:val="en-US" w:eastAsia="zh-CN"/>
        </w:rPr>
        <w:t>理念，联动收入征管部门，落实协税护税机制</w:t>
      </w:r>
      <w:r>
        <w:rPr>
          <w:rFonts w:hint="eastAsia"/>
          <w:b w:val="0"/>
          <w:bCs w:val="0"/>
          <w:color w:val="auto"/>
          <w:highlight w:val="none"/>
          <w:u w:val="none"/>
          <w:lang w:val="en-US" w:eastAsia="zh-CN"/>
        </w:rPr>
        <w:t>，</w:t>
      </w:r>
      <w:r>
        <w:rPr>
          <w:rFonts w:hint="eastAsia" w:ascii="Times New Roman" w:hAnsi="Times New Roman"/>
          <w:b w:val="0"/>
          <w:bCs w:val="0"/>
          <w:color w:val="auto"/>
          <w:highlight w:val="none"/>
          <w:u w:val="none"/>
          <w:lang w:val="en-US" w:eastAsia="zh-CN"/>
        </w:rPr>
        <w:t>动态汇总数据、分析问题、制定对策，定期调度收入组织工作，建立健全重点纳税企业、重点在建项目、招商在建投产项目、国有企业投资项目等信息库，强化监测分析，精准挖潜，稳住主体税种收入基本盘。</w:t>
      </w:r>
      <w:r>
        <w:rPr>
          <w:rFonts w:hint="eastAsia" w:ascii="Times New Roman" w:hAnsi="Times New Roman"/>
          <w:b/>
          <w:bCs/>
          <w:color w:val="auto"/>
          <w:highlight w:val="none"/>
          <w:u w:val="none"/>
          <w:lang w:val="en-US" w:eastAsia="zh-CN"/>
        </w:rPr>
        <w:t>二是挖掘非税收入潜力。</w:t>
      </w:r>
      <w:r>
        <w:rPr>
          <w:rFonts w:hint="eastAsia" w:ascii="Times New Roman" w:hAnsi="Times New Roman"/>
          <w:b w:val="0"/>
          <w:bCs w:val="0"/>
          <w:color w:val="auto"/>
          <w:highlight w:val="none"/>
          <w:u w:val="none"/>
          <w:lang w:val="en-US" w:eastAsia="zh-CN"/>
        </w:rPr>
        <w:t>将所有执收单位和非税收入项目纳入收缴电子化改革范围，加快推动非税系统与税务征收系统、执收单位系统、预算管理一体化系统的互联互通、信息共享。紧扣深入开展公共资产资源资金盘活行动，聚焦城建资产、国企资产、土地资源、行政事业单位房产等重点领域，全面摸清家底、厘清权责</w:t>
      </w:r>
      <w:r>
        <w:rPr>
          <w:rFonts w:hint="eastAsia"/>
          <w:b w:val="0"/>
          <w:bCs w:val="0"/>
          <w:color w:val="auto"/>
          <w:highlight w:val="none"/>
          <w:u w:val="none"/>
          <w:lang w:val="en-US" w:eastAsia="zh-CN"/>
        </w:rPr>
        <w:t>，</w:t>
      </w:r>
      <w:r>
        <w:rPr>
          <w:rFonts w:hint="eastAsia" w:ascii="Times New Roman" w:hAnsi="Times New Roman"/>
          <w:b w:val="0"/>
          <w:bCs w:val="0"/>
          <w:color w:val="auto"/>
          <w:highlight w:val="none"/>
          <w:u w:val="none"/>
          <w:lang w:val="en-US" w:eastAsia="zh-CN"/>
        </w:rPr>
        <w:t>依法依规推动城市资产配置优化提升，</w:t>
      </w:r>
      <w:r>
        <w:rPr>
          <w:rFonts w:hint="eastAsia"/>
          <w:b w:val="0"/>
          <w:bCs w:val="0"/>
          <w:color w:val="auto"/>
          <w:highlight w:val="none"/>
          <w:u w:val="none"/>
          <w:lang w:val="en-US" w:eastAsia="zh-CN"/>
        </w:rPr>
        <w:t>促进</w:t>
      </w:r>
      <w:r>
        <w:rPr>
          <w:rFonts w:hint="eastAsia" w:ascii="Times New Roman" w:hAnsi="Times New Roman"/>
          <w:b w:val="0"/>
          <w:bCs w:val="0"/>
          <w:color w:val="auto"/>
          <w:highlight w:val="none"/>
          <w:u w:val="none"/>
          <w:lang w:val="en-US" w:eastAsia="zh-CN"/>
        </w:rPr>
        <w:t>存量资产和新增投资良性循环，为高质量发展腾挪财力空间。</w:t>
      </w:r>
      <w:r>
        <w:rPr>
          <w:rFonts w:hint="eastAsia" w:ascii="Times New Roman" w:hAnsi="Times New Roman"/>
          <w:b/>
          <w:bCs/>
          <w:color w:val="auto"/>
          <w:highlight w:val="none"/>
          <w:u w:val="none"/>
          <w:lang w:val="en-US" w:eastAsia="zh-CN"/>
        </w:rPr>
        <w:t>三是做深要素争取保障。</w:t>
      </w:r>
      <w:r>
        <w:rPr>
          <w:rFonts w:hint="eastAsia" w:ascii="Times New Roman" w:hAnsi="Times New Roman"/>
          <w:b w:val="0"/>
          <w:bCs w:val="0"/>
          <w:color w:val="auto"/>
          <w:highlight w:val="none"/>
          <w:u w:val="none"/>
          <w:lang w:val="en-US" w:eastAsia="zh-CN"/>
        </w:rPr>
        <w:t>紧盯上级资金投向领域，结合县域实际，重点围绕城市更新、地下管网、节能降碳、设备更新等谋划项目争取预算内投资和超长期国债资金；围绕智慧物流、卫生健康、养老托育、产业园区基础设施等谋划项目争取地方政府债券资金；围绕社会公共服务均衡发展、保障性安居工程、各类试点示范项目争取各类上级专项资金等，</w:t>
      </w:r>
      <w:r>
        <w:rPr>
          <w:rFonts w:hint="eastAsia"/>
          <w:b w:val="0"/>
          <w:bCs w:val="0"/>
          <w:color w:val="auto"/>
          <w:highlight w:val="none"/>
          <w:u w:val="none"/>
          <w:lang w:val="en-US" w:eastAsia="zh-CN"/>
        </w:rPr>
        <w:t>助推</w:t>
      </w:r>
      <w:r>
        <w:rPr>
          <w:rFonts w:hint="eastAsia" w:ascii="Times New Roman" w:hAnsi="Times New Roman"/>
          <w:b w:val="0"/>
          <w:bCs w:val="0"/>
          <w:color w:val="auto"/>
          <w:highlight w:val="none"/>
          <w:u w:val="none"/>
          <w:lang w:val="en-US" w:eastAsia="zh-CN"/>
        </w:rPr>
        <w:t>我县</w:t>
      </w:r>
      <w:r>
        <w:rPr>
          <w:rFonts w:hint="eastAsia"/>
          <w:b w:val="0"/>
          <w:bCs w:val="0"/>
          <w:color w:val="auto"/>
          <w:highlight w:val="none"/>
          <w:u w:val="none"/>
          <w:lang w:val="en-US" w:eastAsia="zh-CN"/>
        </w:rPr>
        <w:t>获得</w:t>
      </w:r>
      <w:r>
        <w:rPr>
          <w:rFonts w:hint="eastAsia" w:ascii="Times New Roman" w:hAnsi="Times New Roman"/>
          <w:b w:val="0"/>
          <w:bCs w:val="0"/>
          <w:color w:val="auto"/>
          <w:highlight w:val="none"/>
          <w:u w:val="none"/>
          <w:lang w:val="en-US" w:eastAsia="zh-CN"/>
        </w:rPr>
        <w:t>更多</w:t>
      </w:r>
      <w:r>
        <w:rPr>
          <w:rFonts w:hint="eastAsia"/>
          <w:b w:val="0"/>
          <w:bCs w:val="0"/>
          <w:color w:val="auto"/>
          <w:highlight w:val="none"/>
          <w:u w:val="none"/>
          <w:lang w:val="en-US" w:eastAsia="zh-CN"/>
        </w:rPr>
        <w:t>政策和</w:t>
      </w:r>
      <w:r>
        <w:rPr>
          <w:rFonts w:hint="eastAsia" w:ascii="Times New Roman" w:hAnsi="Times New Roman"/>
          <w:b w:val="0"/>
          <w:bCs w:val="0"/>
          <w:color w:val="auto"/>
          <w:highlight w:val="none"/>
          <w:u w:val="none"/>
          <w:lang w:val="en-US" w:eastAsia="zh-CN"/>
        </w:rPr>
        <w:t>资金支持。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default" w:ascii="Times New Roman" w:hAnsi="Times New Roman"/>
          <w:b w:val="0"/>
          <w:bCs w:val="0"/>
          <w:color w:val="auto"/>
          <w:highlight w:val="none"/>
          <w:u w:val="none"/>
          <w:lang w:val="en-US" w:eastAsia="zh-CN"/>
        </w:rPr>
      </w:pPr>
      <w:r>
        <w:rPr>
          <w:rFonts w:hint="eastAsia" w:ascii="Times New Roman" w:hAnsi="Times New Roman"/>
          <w:b/>
          <w:bCs/>
          <w:color w:val="auto"/>
          <w:highlight w:val="none"/>
          <w:u w:val="none"/>
          <w:lang w:val="en-US" w:eastAsia="zh-CN"/>
        </w:rPr>
        <w:t>2.注重产城融合提能级，推动政策效应充分释放。一是政策赋能支持动能转换。</w:t>
      </w:r>
      <w:r>
        <w:rPr>
          <w:rFonts w:hint="eastAsia" w:ascii="Times New Roman" w:hAnsi="Times New Roman"/>
          <w:b w:val="0"/>
          <w:bCs w:val="0"/>
          <w:color w:val="auto"/>
          <w:highlight w:val="none"/>
          <w:u w:val="none"/>
          <w:lang w:val="en-US" w:eastAsia="zh-CN"/>
        </w:rPr>
        <w:t>继续推动落实落细增值税小规模纳税人减免、小型微利企业所得税减免优惠等一系列减税降费政策，规范行政事业性收费和政府性基金项目管理，切实提高政策落实的精准性、时效性。</w:t>
      </w:r>
      <w:r>
        <w:rPr>
          <w:rFonts w:hint="eastAsia"/>
          <w:b w:val="0"/>
          <w:bCs w:val="0"/>
          <w:color w:val="auto"/>
          <w:highlight w:val="none"/>
          <w:u w:val="none"/>
          <w:lang w:val="en-US" w:eastAsia="zh-CN"/>
        </w:rPr>
        <w:t>强化</w:t>
      </w:r>
      <w:r>
        <w:rPr>
          <w:rFonts w:hint="eastAsia" w:ascii="Times New Roman" w:hAnsi="Times New Roman"/>
          <w:b w:val="0"/>
          <w:bCs w:val="0"/>
          <w:color w:val="auto"/>
          <w:highlight w:val="none"/>
          <w:u w:val="none"/>
          <w:lang w:val="en-US" w:eastAsia="zh-CN"/>
        </w:rPr>
        <w:t>财政金融政策协同联动，持续开展</w:t>
      </w:r>
      <w:r>
        <w:rPr>
          <w:rFonts w:hint="eastAsia"/>
          <w:b w:val="0"/>
          <w:bCs w:val="0"/>
          <w:color w:val="auto"/>
          <w:highlight w:val="none"/>
          <w:u w:val="none"/>
          <w:lang w:val="en-US" w:eastAsia="zh-CN"/>
        </w:rPr>
        <w:t>“</w:t>
      </w:r>
      <w:r>
        <w:rPr>
          <w:rFonts w:hint="eastAsia" w:ascii="Times New Roman" w:hAnsi="Times New Roman"/>
          <w:b w:val="0"/>
          <w:bCs w:val="0"/>
          <w:color w:val="auto"/>
          <w:highlight w:val="none"/>
          <w:u w:val="none"/>
          <w:lang w:val="en-US" w:eastAsia="zh-CN"/>
        </w:rPr>
        <w:t>政银企担</w:t>
      </w:r>
      <w:r>
        <w:rPr>
          <w:rFonts w:hint="eastAsia"/>
          <w:b w:val="0"/>
          <w:bCs w:val="0"/>
          <w:color w:val="auto"/>
          <w:highlight w:val="none"/>
          <w:u w:val="none"/>
          <w:lang w:val="en-US" w:eastAsia="zh-CN"/>
        </w:rPr>
        <w:t>”</w:t>
      </w:r>
      <w:r>
        <w:rPr>
          <w:rFonts w:hint="eastAsia" w:ascii="Times New Roman" w:hAnsi="Times New Roman"/>
          <w:b w:val="0"/>
          <w:bCs w:val="0"/>
          <w:color w:val="auto"/>
          <w:highlight w:val="none"/>
          <w:u w:val="none"/>
          <w:lang w:val="en-US" w:eastAsia="zh-CN"/>
        </w:rPr>
        <w:t>对接活动，推动融资担保业务扩面增量，用好政策性金融产品，逐步降低企业融资成本。</w:t>
      </w:r>
      <w:r>
        <w:rPr>
          <w:rFonts w:hint="eastAsia" w:ascii="Times New Roman" w:hAnsi="Times New Roman"/>
          <w:b/>
          <w:bCs/>
          <w:color w:val="auto"/>
          <w:highlight w:val="none"/>
          <w:u w:val="none"/>
          <w:lang w:val="en-US" w:eastAsia="zh-CN"/>
        </w:rPr>
        <w:t>二是机制牵引助力文旅创新。</w:t>
      </w:r>
      <w:r>
        <w:rPr>
          <w:rFonts w:hint="eastAsia" w:ascii="Times New Roman" w:hAnsi="Times New Roman"/>
          <w:b w:val="0"/>
          <w:bCs w:val="0"/>
          <w:color w:val="auto"/>
          <w:highlight w:val="none"/>
          <w:u w:val="none"/>
          <w:lang w:val="en-US" w:eastAsia="zh-CN"/>
        </w:rPr>
        <w:t>打好“财政+文旅”组合拳，通过贴息补助、项目奖补、消费补贴等方式，为景区升级、非遗活化、乡村文旅等领域注入“源头活水”，助力孵化网红民宿、文创工坊等新业态。发挥财政金融联动效益，加大资金支持力度，推动德化窑、陶瓷博物馆等项目建设。实施“政策激励+活动造势”组合策略，以赛事经济和夜间经济双驱动实现“文旅流量”带动“消费增量”。</w:t>
      </w:r>
      <w:r>
        <w:rPr>
          <w:rFonts w:hint="eastAsia" w:ascii="Times New Roman" w:hAnsi="Times New Roman"/>
          <w:b/>
          <w:bCs/>
          <w:color w:val="auto"/>
          <w:highlight w:val="none"/>
          <w:u w:val="none"/>
          <w:lang w:val="en-US" w:eastAsia="zh-CN"/>
        </w:rPr>
        <w:t>三是精准保障加速项目建设。</w:t>
      </w:r>
      <w:r>
        <w:rPr>
          <w:rFonts w:hint="eastAsia" w:ascii="Times New Roman" w:hAnsi="Times New Roman"/>
          <w:b w:val="0"/>
          <w:bCs w:val="0"/>
          <w:color w:val="auto"/>
          <w:highlight w:val="none"/>
          <w:u w:val="none"/>
          <w:lang w:val="en-US" w:eastAsia="zh-CN"/>
        </w:rPr>
        <w:t>把财政承受能力作为编制年度财政性投资重点项目拼盘的前置条件和必要条件，结合财政状况合理确定年度建设规模，建立健全受益主体资金共担和筹集机制，积极拓宽项目建设融资渠道，全面统筹、科学调度</w:t>
      </w:r>
      <w:r>
        <w:rPr>
          <w:rFonts w:hint="eastAsia"/>
          <w:b w:val="0"/>
          <w:bCs w:val="0"/>
          <w:color w:val="auto"/>
          <w:highlight w:val="none"/>
          <w:u w:val="none"/>
          <w:lang w:val="en-US" w:eastAsia="zh-CN"/>
        </w:rPr>
        <w:t>上级补助</w:t>
      </w:r>
      <w:r>
        <w:rPr>
          <w:rFonts w:hint="eastAsia" w:ascii="Times New Roman" w:hAnsi="Times New Roman"/>
          <w:b w:val="0"/>
          <w:bCs w:val="0"/>
          <w:color w:val="auto"/>
          <w:highlight w:val="none"/>
          <w:u w:val="none"/>
          <w:lang w:val="en-US" w:eastAsia="zh-CN"/>
        </w:rPr>
        <w:t>、专项债券、</w:t>
      </w:r>
      <w:r>
        <w:rPr>
          <w:rFonts w:hint="eastAsia"/>
          <w:b w:val="0"/>
          <w:bCs w:val="0"/>
          <w:color w:val="auto"/>
          <w:highlight w:val="none"/>
          <w:u w:val="none"/>
          <w:lang w:val="en-US" w:eastAsia="zh-CN"/>
        </w:rPr>
        <w:t>土地出让金</w:t>
      </w:r>
      <w:r>
        <w:rPr>
          <w:rFonts w:hint="eastAsia" w:ascii="Times New Roman" w:hAnsi="Times New Roman"/>
          <w:b w:val="0"/>
          <w:bCs w:val="0"/>
          <w:color w:val="auto"/>
          <w:highlight w:val="none"/>
          <w:u w:val="none"/>
          <w:lang w:val="en-US" w:eastAsia="zh-CN"/>
        </w:rPr>
        <w:t>、存量资金资产等，有效保障2026年</w:t>
      </w:r>
      <w:r>
        <w:rPr>
          <w:rFonts w:hint="eastAsia"/>
          <w:b w:val="0"/>
          <w:bCs w:val="0"/>
          <w:color w:val="auto"/>
          <w:highlight w:val="none"/>
          <w:u w:val="none"/>
          <w:lang w:val="en-US" w:eastAsia="zh-CN"/>
        </w:rPr>
        <w:t>财政性投资</w:t>
      </w:r>
      <w:r>
        <w:rPr>
          <w:rFonts w:hint="eastAsia" w:ascii="Times New Roman" w:hAnsi="Times New Roman"/>
          <w:b w:val="0"/>
          <w:bCs w:val="0"/>
          <w:color w:val="auto"/>
          <w:highlight w:val="none"/>
          <w:u w:val="none"/>
          <w:lang w:val="en-US" w:eastAsia="zh-CN"/>
        </w:rPr>
        <w:t>重点项目建设</w:t>
      </w:r>
      <w:r>
        <w:rPr>
          <w:rFonts w:hint="eastAsia"/>
          <w:b w:val="0"/>
          <w:bCs w:val="0"/>
          <w:color w:val="auto"/>
          <w:highlight w:val="none"/>
          <w:u w:val="none"/>
          <w:lang w:val="en-US" w:eastAsia="zh-CN"/>
        </w:rPr>
        <w:t>54</w:t>
      </w:r>
      <w:r>
        <w:rPr>
          <w:rFonts w:hint="eastAsia" w:ascii="Times New Roman" w:hAnsi="Times New Roman"/>
          <w:b w:val="0"/>
          <w:bCs w:val="0"/>
          <w:color w:val="auto"/>
          <w:highlight w:val="none"/>
          <w:u w:val="none"/>
          <w:lang w:val="en-US" w:eastAsia="zh-CN"/>
        </w:rPr>
        <w:t>亿元资金需求。</w:t>
      </w:r>
      <w:r>
        <w:rPr>
          <w:rFonts w:hint="eastAsia" w:ascii="Times New Roman" w:hAnsi="Times New Roman"/>
          <w:b/>
          <w:bCs/>
          <w:color w:val="auto"/>
          <w:highlight w:val="none"/>
          <w:u w:val="none"/>
          <w:lang w:val="en-US" w:eastAsia="zh-CN"/>
        </w:rPr>
        <w:t>四是加大政采支持企业力度。</w:t>
      </w:r>
      <w:r>
        <w:rPr>
          <w:rFonts w:hint="eastAsia" w:ascii="Times New Roman" w:hAnsi="Times New Roman"/>
          <w:b w:val="0"/>
          <w:bCs w:val="0"/>
          <w:color w:val="auto"/>
          <w:highlight w:val="none"/>
          <w:u w:val="none"/>
          <w:lang w:val="en-US" w:eastAsia="zh-CN"/>
        </w:rPr>
        <w:t>继续推动政府采购支持企业发展政策，围绕公平竞争、流程简化、融资支持等方面，出台一系列优化政府采购营商环境的政策举措，形成“价格扣除优惠+预留份额+融资担保+合同预付款和保证金减免”的政策组合模式，全方位推动小微企业深度参与政府采购市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Times New Roman" w:hAnsi="Times New Roman"/>
          <w:b w:val="0"/>
          <w:bCs w:val="0"/>
          <w:color w:val="auto"/>
          <w:highlight w:val="none"/>
          <w:u w:val="none"/>
          <w:lang w:val="en-US" w:eastAsia="zh-CN"/>
        </w:rPr>
      </w:pPr>
      <w:r>
        <w:rPr>
          <w:rFonts w:hint="eastAsia" w:ascii="Times New Roman" w:hAnsi="Times New Roman"/>
          <w:b/>
          <w:bCs/>
          <w:color w:val="auto"/>
          <w:highlight w:val="none"/>
          <w:u w:val="none"/>
          <w:lang w:val="en-US" w:eastAsia="zh-CN"/>
        </w:rPr>
        <w:t>3.注重民生优享增福祉，推动幸福质感持续提升。</w:t>
      </w:r>
      <w:r>
        <w:rPr>
          <w:rFonts w:hint="eastAsia" w:ascii="Times New Roman" w:hAnsi="Times New Roman"/>
          <w:b w:val="0"/>
          <w:bCs w:val="0"/>
          <w:color w:val="auto"/>
          <w:highlight w:val="none"/>
          <w:u w:val="none"/>
          <w:lang w:val="en-US" w:eastAsia="zh-CN"/>
        </w:rPr>
        <w:t>紧扣兜牢兜实基层民生底线的要求，全面开源节流，进一步优化支出结构，优先安排民生领域支出</w:t>
      </w:r>
      <w:r>
        <w:rPr>
          <w:rFonts w:hint="eastAsia"/>
          <w:b w:val="0"/>
          <w:bCs w:val="0"/>
          <w:color w:val="auto"/>
          <w:highlight w:val="none"/>
          <w:u w:val="none"/>
          <w:lang w:val="en-US" w:eastAsia="zh-CN"/>
        </w:rPr>
        <w:t>24.8亿元。</w:t>
      </w:r>
      <w:r>
        <w:rPr>
          <w:rFonts w:hint="eastAsia" w:ascii="Times New Roman" w:hAnsi="Times New Roman"/>
          <w:b w:val="0"/>
          <w:bCs w:val="0"/>
          <w:color w:val="auto"/>
          <w:highlight w:val="none"/>
          <w:u w:val="none"/>
          <w:lang w:val="en-US" w:eastAsia="zh-CN"/>
        </w:rPr>
        <w:t>安排农林水支出</w:t>
      </w:r>
      <w:r>
        <w:rPr>
          <w:rFonts w:hint="eastAsia"/>
          <w:b w:val="0"/>
          <w:bCs w:val="0"/>
          <w:color w:val="auto"/>
          <w:highlight w:val="none"/>
          <w:u w:val="none"/>
          <w:lang w:val="en-US" w:eastAsia="zh-CN"/>
        </w:rPr>
        <w:t>2.85</w:t>
      </w:r>
      <w:r>
        <w:rPr>
          <w:rFonts w:hint="eastAsia" w:ascii="Times New Roman" w:hAnsi="Times New Roman"/>
          <w:b w:val="0"/>
          <w:bCs w:val="0"/>
          <w:color w:val="auto"/>
          <w:highlight w:val="none"/>
          <w:u w:val="none"/>
          <w:lang w:val="en-US" w:eastAsia="zh-CN"/>
        </w:rPr>
        <w:t>亿元，推进乡村全面振兴，建立健全财政投入保障制度，公共财政更大力度向“三农”倾斜，</w:t>
      </w:r>
      <w:r>
        <w:rPr>
          <w:rFonts w:hint="eastAsia"/>
          <w:b w:val="0"/>
          <w:bCs w:val="0"/>
          <w:color w:val="auto"/>
          <w:highlight w:val="none"/>
          <w:u w:val="none"/>
          <w:lang w:val="en-US" w:eastAsia="zh-CN"/>
        </w:rPr>
        <w:t>大力</w:t>
      </w:r>
      <w:r>
        <w:rPr>
          <w:rFonts w:hint="eastAsia" w:ascii="Times New Roman" w:hAnsi="Times New Roman"/>
          <w:b w:val="0"/>
          <w:bCs w:val="0"/>
          <w:color w:val="auto"/>
          <w:highlight w:val="none"/>
          <w:u w:val="none"/>
          <w:lang w:val="en-US" w:eastAsia="zh-CN"/>
        </w:rPr>
        <w:t>支持粮食生产、发展乡村特色产业、加快乡村建设等。安排教育总支出</w:t>
      </w:r>
      <w:r>
        <w:rPr>
          <w:rFonts w:hint="eastAsia"/>
          <w:b w:val="0"/>
          <w:bCs w:val="0"/>
          <w:color w:val="auto"/>
          <w:highlight w:val="none"/>
          <w:u w:val="none"/>
          <w:lang w:val="en-US" w:eastAsia="zh-CN"/>
        </w:rPr>
        <w:t>12.3</w:t>
      </w:r>
      <w:r>
        <w:rPr>
          <w:rFonts w:hint="eastAsia" w:ascii="Times New Roman" w:hAnsi="Times New Roman"/>
          <w:b w:val="0"/>
          <w:bCs w:val="0"/>
          <w:color w:val="auto"/>
          <w:highlight w:val="none"/>
          <w:u w:val="none"/>
          <w:lang w:val="en-US" w:eastAsia="zh-CN"/>
        </w:rPr>
        <w:t>亿元，其中教育事业费支出</w:t>
      </w:r>
      <w:r>
        <w:rPr>
          <w:rFonts w:hint="eastAsia"/>
          <w:b w:val="0"/>
          <w:bCs w:val="0"/>
          <w:color w:val="auto"/>
          <w:highlight w:val="none"/>
          <w:u w:val="none"/>
          <w:lang w:val="en-US" w:eastAsia="zh-CN"/>
        </w:rPr>
        <w:t>11.02</w:t>
      </w:r>
      <w:r>
        <w:rPr>
          <w:rFonts w:hint="eastAsia" w:ascii="Times New Roman" w:hAnsi="Times New Roman"/>
          <w:b w:val="0"/>
          <w:bCs w:val="0"/>
          <w:color w:val="auto"/>
          <w:highlight w:val="none"/>
          <w:u w:val="none"/>
          <w:lang w:val="en-US" w:eastAsia="zh-CN"/>
        </w:rPr>
        <w:t>亿元，坚持教育优先发展，促进学前教育普惠公平、义务教育优质均衡、高中教育质量提升、职业教育产教融合等；教育基建支出</w:t>
      </w:r>
      <w:r>
        <w:rPr>
          <w:rFonts w:hint="eastAsia"/>
          <w:b w:val="0"/>
          <w:bCs w:val="0"/>
          <w:color w:val="auto"/>
          <w:highlight w:val="none"/>
          <w:u w:val="none"/>
          <w:lang w:val="en-US" w:eastAsia="zh-CN"/>
        </w:rPr>
        <w:t>1.28</w:t>
      </w:r>
      <w:r>
        <w:rPr>
          <w:rFonts w:hint="eastAsia" w:ascii="Times New Roman" w:hAnsi="Times New Roman"/>
          <w:b w:val="0"/>
          <w:bCs w:val="0"/>
          <w:color w:val="auto"/>
          <w:highlight w:val="none"/>
          <w:u w:val="none"/>
          <w:lang w:val="en-US" w:eastAsia="zh-CN"/>
        </w:rPr>
        <w:t>亿元，加快完善教育基础设施建设，不断改善办学条件。安排卫生健康支出</w:t>
      </w:r>
      <w:r>
        <w:rPr>
          <w:rFonts w:hint="eastAsia"/>
          <w:b w:val="0"/>
          <w:bCs w:val="0"/>
          <w:color w:val="auto"/>
          <w:highlight w:val="none"/>
          <w:u w:val="none"/>
          <w:lang w:val="en-US" w:eastAsia="zh-CN"/>
        </w:rPr>
        <w:t>2.39</w:t>
      </w:r>
      <w:r>
        <w:rPr>
          <w:rFonts w:hint="eastAsia" w:ascii="Times New Roman" w:hAnsi="Times New Roman"/>
          <w:b w:val="0"/>
          <w:bCs w:val="0"/>
          <w:color w:val="auto"/>
          <w:highlight w:val="none"/>
          <w:u w:val="none"/>
          <w:lang w:val="en-US" w:eastAsia="zh-CN"/>
        </w:rPr>
        <w:t>亿元，用于深化医药卫生体制改革，推动公立医院高质量发展，实施卫健领域惠民生补短板项目，支持落实城乡居民医疗保障待遇，支持中医药传承创新发展，扩大优质医疗资源供给。进一步落实积极生育支持措施，支持开展生育关怀及家庭健康促进行动。安排社会保障和就业支出</w:t>
      </w:r>
      <w:r>
        <w:rPr>
          <w:rFonts w:hint="eastAsia"/>
          <w:b w:val="0"/>
          <w:bCs w:val="0"/>
          <w:color w:val="auto"/>
          <w:highlight w:val="none"/>
          <w:u w:val="none"/>
          <w:lang w:val="en-US" w:eastAsia="zh-CN"/>
        </w:rPr>
        <w:t>3.34</w:t>
      </w:r>
      <w:r>
        <w:rPr>
          <w:rFonts w:hint="eastAsia" w:ascii="Times New Roman" w:hAnsi="Times New Roman"/>
          <w:b w:val="0"/>
          <w:bCs w:val="0"/>
          <w:color w:val="auto"/>
          <w:highlight w:val="none"/>
          <w:u w:val="none"/>
          <w:lang w:val="en-US" w:eastAsia="zh-CN"/>
        </w:rPr>
        <w:t>亿元，支持落实各类就业创业政策，促进高校毕业生、进城务工人员等重点群体就业创业，多渠道增加城乡居民收入。支持完善和落实城乡居民基本养老保险等社会保障制度，落实基本养老保险提标政策，强化社会保障兜底。安排节能环保支出</w:t>
      </w:r>
      <w:r>
        <w:rPr>
          <w:rFonts w:hint="eastAsia"/>
          <w:b w:val="0"/>
          <w:bCs w:val="0"/>
          <w:color w:val="auto"/>
          <w:highlight w:val="none"/>
          <w:u w:val="none"/>
          <w:lang w:val="en-US" w:eastAsia="zh-CN"/>
        </w:rPr>
        <w:t>0.6</w:t>
      </w:r>
      <w:r>
        <w:rPr>
          <w:rFonts w:hint="eastAsia" w:ascii="Times New Roman" w:hAnsi="Times New Roman"/>
          <w:b w:val="0"/>
          <w:bCs w:val="0"/>
          <w:color w:val="auto"/>
          <w:highlight w:val="none"/>
          <w:u w:val="none"/>
          <w:lang w:val="en-US" w:eastAsia="zh-CN"/>
        </w:rPr>
        <w:t>亿元，主要用于加强生态环境综合治理，支持生态环境保护和污染防治，持续打好蓝天、碧水、净土保卫战，解决好生态环境领域突出问题。安排灾害防治及应急管理支出</w:t>
      </w:r>
      <w:r>
        <w:rPr>
          <w:rFonts w:hint="eastAsia"/>
          <w:b w:val="0"/>
          <w:bCs w:val="0"/>
          <w:color w:val="auto"/>
          <w:highlight w:val="none"/>
          <w:u w:val="none"/>
          <w:lang w:val="en-US" w:eastAsia="zh-CN"/>
        </w:rPr>
        <w:t>0.31</w:t>
      </w:r>
      <w:r>
        <w:rPr>
          <w:rFonts w:hint="eastAsia" w:ascii="Times New Roman" w:hAnsi="Times New Roman"/>
          <w:b w:val="0"/>
          <w:bCs w:val="0"/>
          <w:color w:val="auto"/>
          <w:highlight w:val="none"/>
          <w:u w:val="none"/>
          <w:lang w:val="en-US" w:eastAsia="zh-CN"/>
        </w:rPr>
        <w:t>亿元，主要用于完善应急管理体系和应急能力提升建设，补齐防灾减灾救灾短板，提升防御自然灾害能力。</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default" w:ascii="Times New Roman" w:hAnsi="Times New Roman"/>
          <w:b/>
          <w:bCs/>
          <w:color w:val="auto"/>
          <w:highlight w:val="none"/>
          <w:u w:val="none"/>
          <w:lang w:val="en-US" w:eastAsia="zh-CN"/>
        </w:rPr>
      </w:pPr>
      <w:r>
        <w:rPr>
          <w:rFonts w:hint="default" w:ascii="Times New Roman" w:hAnsi="Times New Roman"/>
          <w:b/>
          <w:bCs/>
          <w:color w:val="auto"/>
          <w:highlight w:val="none"/>
          <w:u w:val="none"/>
          <w:lang w:val="en-US" w:eastAsia="zh-CN"/>
        </w:rPr>
        <w:t>4.</w:t>
      </w:r>
      <w:r>
        <w:rPr>
          <w:rFonts w:hint="eastAsia" w:ascii="Times New Roman" w:hAnsi="Times New Roman"/>
          <w:b/>
          <w:bCs/>
          <w:color w:val="auto"/>
          <w:highlight w:val="none"/>
          <w:u w:val="none"/>
          <w:lang w:val="en-US" w:eastAsia="zh-CN"/>
        </w:rPr>
        <w:t>注重</w:t>
      </w:r>
      <w:r>
        <w:rPr>
          <w:rFonts w:hint="default" w:ascii="Times New Roman" w:hAnsi="Times New Roman"/>
          <w:b/>
          <w:bCs/>
          <w:color w:val="auto"/>
          <w:highlight w:val="none"/>
          <w:u w:val="none"/>
          <w:lang w:val="en-US" w:eastAsia="zh-CN"/>
        </w:rPr>
        <w:t>建章立制夯基础，</w:t>
      </w:r>
      <w:r>
        <w:rPr>
          <w:rFonts w:hint="eastAsia" w:ascii="Times New Roman" w:hAnsi="Times New Roman"/>
          <w:b/>
          <w:bCs/>
          <w:color w:val="auto"/>
          <w:highlight w:val="none"/>
          <w:u w:val="none"/>
          <w:lang w:val="en-US" w:eastAsia="zh-CN"/>
        </w:rPr>
        <w:t>推动</w:t>
      </w:r>
      <w:r>
        <w:rPr>
          <w:rFonts w:hint="default" w:ascii="Times New Roman" w:hAnsi="Times New Roman"/>
          <w:b/>
          <w:bCs/>
          <w:color w:val="auto"/>
          <w:highlight w:val="none"/>
          <w:u w:val="none"/>
          <w:lang w:val="en-US" w:eastAsia="zh-CN"/>
        </w:rPr>
        <w:t>预算管理提质增效。一是零基预算改革持续深化。</w:t>
      </w:r>
      <w:r>
        <w:rPr>
          <w:rFonts w:hint="default" w:ascii="Times New Roman" w:hAnsi="Times New Roman"/>
          <w:b w:val="0"/>
          <w:bCs w:val="0"/>
          <w:color w:val="auto"/>
          <w:highlight w:val="none"/>
          <w:u w:val="none"/>
          <w:lang w:val="en-US" w:eastAsia="zh-CN"/>
        </w:rPr>
        <w:t>认真贯彻落实党政机关过紧日子要求，牢固树立勤俭节约、厉行节约理念，将过紧日子要求贯穿预算编制、执行、监督全过程，强化源头控制，硬化执行约束</w:t>
      </w:r>
      <w:r>
        <w:rPr>
          <w:rFonts w:hint="eastAsia" w:ascii="Times New Roman" w:hAnsi="Times New Roman"/>
          <w:b w:val="0"/>
          <w:bCs w:val="0"/>
          <w:color w:val="auto"/>
          <w:highlight w:val="none"/>
          <w:u w:val="none"/>
          <w:lang w:val="en-US" w:eastAsia="zh-CN"/>
        </w:rPr>
        <w:t>。</w:t>
      </w:r>
      <w:r>
        <w:rPr>
          <w:rFonts w:hint="default" w:ascii="Times New Roman" w:hAnsi="Times New Roman"/>
          <w:b w:val="0"/>
          <w:bCs w:val="0"/>
          <w:color w:val="auto"/>
          <w:highlight w:val="none"/>
          <w:u w:val="none"/>
          <w:lang w:val="en-US" w:eastAsia="zh-CN"/>
        </w:rPr>
        <w:t>以项目为先，破除基数依赖</w:t>
      </w:r>
      <w:r>
        <w:rPr>
          <w:rFonts w:hint="eastAsia" w:ascii="Times New Roman" w:hAnsi="Times New Roman"/>
          <w:b w:val="0"/>
          <w:bCs w:val="0"/>
          <w:color w:val="auto"/>
          <w:highlight w:val="none"/>
          <w:u w:val="none"/>
          <w:lang w:val="en-US" w:eastAsia="zh-CN"/>
        </w:rPr>
        <w:t>，积极运用零基预算理念，</w:t>
      </w:r>
      <w:r>
        <w:rPr>
          <w:rFonts w:hint="default" w:ascii="Times New Roman" w:hAnsi="Times New Roman"/>
          <w:b w:val="0"/>
          <w:bCs w:val="0"/>
          <w:color w:val="auto"/>
          <w:highlight w:val="none"/>
          <w:u w:val="none"/>
          <w:lang w:val="en-US" w:eastAsia="zh-CN"/>
        </w:rPr>
        <w:t>全面梳理现有财政支出事项，实行清单式动态管理，明确支出安排序列，以零为基点编制预算。</w:t>
      </w:r>
      <w:r>
        <w:rPr>
          <w:rFonts w:hint="eastAsia" w:ascii="Times New Roman" w:hAnsi="Times New Roman"/>
          <w:b w:val="0"/>
          <w:bCs w:val="0"/>
          <w:color w:val="auto"/>
          <w:highlight w:val="none"/>
          <w:u w:val="none"/>
          <w:lang w:val="en-US" w:eastAsia="zh-CN"/>
        </w:rPr>
        <w:t>以绩效为纲，守住效益底线，着力推进绩效管理关口前移，将绩效管理深度融入预算编制、执行、监督全过程，依托预算一体化系统实行动态跟踪管理。</w:t>
      </w:r>
      <w:r>
        <w:rPr>
          <w:rFonts w:hint="default" w:ascii="Times New Roman" w:hAnsi="Times New Roman"/>
          <w:b/>
          <w:bCs/>
          <w:color w:val="auto"/>
          <w:highlight w:val="none"/>
          <w:u w:val="none"/>
          <w:lang w:val="en-US" w:eastAsia="zh-CN"/>
        </w:rPr>
        <w:t>二</w:t>
      </w:r>
      <w:r>
        <w:rPr>
          <w:rFonts w:hint="eastAsia" w:ascii="Times New Roman" w:hAnsi="Times New Roman"/>
          <w:b/>
          <w:bCs/>
          <w:color w:val="auto"/>
          <w:highlight w:val="none"/>
          <w:u w:val="none"/>
          <w:lang w:val="en-US" w:eastAsia="zh-CN"/>
        </w:rPr>
        <w:t>是牢牢守住运行风险</w:t>
      </w:r>
      <w:r>
        <w:rPr>
          <w:rFonts w:hint="eastAsia"/>
          <w:b/>
          <w:bCs/>
          <w:color w:val="auto"/>
          <w:highlight w:val="none"/>
          <w:u w:val="none"/>
          <w:lang w:val="en-US" w:eastAsia="zh-CN"/>
        </w:rPr>
        <w:t>底</w:t>
      </w:r>
      <w:r>
        <w:rPr>
          <w:rFonts w:hint="eastAsia" w:ascii="Times New Roman" w:hAnsi="Times New Roman"/>
          <w:b/>
          <w:bCs/>
          <w:color w:val="auto"/>
          <w:highlight w:val="none"/>
          <w:u w:val="none"/>
          <w:lang w:val="en-US" w:eastAsia="zh-CN"/>
        </w:rPr>
        <w:t>线。</w:t>
      </w:r>
      <w:r>
        <w:rPr>
          <w:rFonts w:hint="eastAsia" w:ascii="Times New Roman" w:hAnsi="Times New Roman"/>
          <w:b w:val="0"/>
          <w:bCs w:val="0"/>
          <w:color w:val="auto"/>
          <w:highlight w:val="none"/>
          <w:u w:val="none"/>
          <w:lang w:val="en-US" w:eastAsia="zh-CN"/>
        </w:rPr>
        <w:t>认真履行地方“三保”主体责任，全年安排“三保”支出</w:t>
      </w:r>
      <w:r>
        <w:rPr>
          <w:rFonts w:hint="eastAsia"/>
          <w:b w:val="0"/>
          <w:bCs w:val="0"/>
          <w:color w:val="auto"/>
          <w:highlight w:val="none"/>
          <w:u w:val="none"/>
          <w:lang w:val="en-US" w:eastAsia="zh-CN"/>
        </w:rPr>
        <w:t>15.08</w:t>
      </w:r>
      <w:r>
        <w:rPr>
          <w:rFonts w:hint="eastAsia" w:ascii="Times New Roman" w:hAnsi="Times New Roman"/>
          <w:b w:val="0"/>
          <w:bCs w:val="0"/>
          <w:color w:val="auto"/>
          <w:highlight w:val="none"/>
          <w:u w:val="none"/>
          <w:lang w:val="en-US" w:eastAsia="zh-CN"/>
        </w:rPr>
        <w:t>亿元，其中：保基本民生</w:t>
      </w:r>
      <w:r>
        <w:rPr>
          <w:rFonts w:hint="eastAsia"/>
          <w:b w:val="0"/>
          <w:bCs w:val="0"/>
          <w:color w:val="auto"/>
          <w:highlight w:val="none"/>
          <w:u w:val="none"/>
          <w:lang w:val="en-US" w:eastAsia="zh-CN"/>
        </w:rPr>
        <w:t>4.52</w:t>
      </w:r>
      <w:r>
        <w:rPr>
          <w:rFonts w:hint="eastAsia" w:ascii="Times New Roman" w:hAnsi="Times New Roman"/>
          <w:b w:val="0"/>
          <w:bCs w:val="0"/>
          <w:color w:val="auto"/>
          <w:highlight w:val="none"/>
          <w:u w:val="none"/>
          <w:lang w:val="en-US" w:eastAsia="zh-CN"/>
        </w:rPr>
        <w:t>亿元，保工资</w:t>
      </w:r>
      <w:r>
        <w:rPr>
          <w:rFonts w:hint="eastAsia"/>
          <w:b w:val="0"/>
          <w:bCs w:val="0"/>
          <w:color w:val="auto"/>
          <w:highlight w:val="none"/>
          <w:u w:val="none"/>
          <w:lang w:val="en-US" w:eastAsia="zh-CN"/>
        </w:rPr>
        <w:t>10.05</w:t>
      </w:r>
      <w:r>
        <w:rPr>
          <w:rFonts w:hint="eastAsia" w:ascii="Times New Roman" w:hAnsi="Times New Roman"/>
          <w:b w:val="0"/>
          <w:bCs w:val="0"/>
          <w:color w:val="auto"/>
          <w:highlight w:val="none"/>
          <w:u w:val="none"/>
          <w:lang w:val="en-US" w:eastAsia="zh-CN"/>
        </w:rPr>
        <w:t>亿元，保运转</w:t>
      </w:r>
      <w:r>
        <w:rPr>
          <w:rFonts w:hint="eastAsia"/>
          <w:b w:val="0"/>
          <w:bCs w:val="0"/>
          <w:color w:val="auto"/>
          <w:highlight w:val="none"/>
          <w:u w:val="none"/>
          <w:lang w:val="en-US" w:eastAsia="zh-CN"/>
        </w:rPr>
        <w:t>0.51</w:t>
      </w:r>
      <w:r>
        <w:rPr>
          <w:rFonts w:hint="eastAsia" w:ascii="Times New Roman" w:hAnsi="Times New Roman"/>
          <w:b w:val="0"/>
          <w:bCs w:val="0"/>
          <w:color w:val="auto"/>
          <w:highlight w:val="none"/>
          <w:u w:val="none"/>
          <w:lang w:val="en-US" w:eastAsia="zh-CN"/>
        </w:rPr>
        <w:t>亿元。加强源头管控，严格执行债务限额与预算约束，建立新增债券项目全流程审核机制，落实举债融资负面清单制度，遏制无序举债行为。聚力</w:t>
      </w:r>
      <w:r>
        <w:rPr>
          <w:rFonts w:hint="default" w:ascii="Times New Roman" w:hAnsi="Times New Roman"/>
          <w:b w:val="0"/>
          <w:bCs w:val="0"/>
          <w:color w:val="auto"/>
          <w:highlight w:val="none"/>
          <w:u w:val="none"/>
          <w:lang w:val="en-US" w:eastAsia="zh-CN"/>
        </w:rPr>
        <w:t>化债攻坚</w:t>
      </w:r>
      <w:r>
        <w:rPr>
          <w:rFonts w:hint="eastAsia" w:ascii="Times New Roman" w:hAnsi="Times New Roman"/>
          <w:b w:val="0"/>
          <w:bCs w:val="0"/>
          <w:color w:val="auto"/>
          <w:highlight w:val="none"/>
          <w:u w:val="none"/>
          <w:lang w:val="en-US" w:eastAsia="zh-CN"/>
        </w:rPr>
        <w:t>，积极争取再融资债券、补充财力债券夯实偿债支撑，通过压减一般性支出、盘活存量资产破解偿债压力。实行穿透监管，实时跟踪债券资金流向，确保资金全部用于基础设施、民生保障等重点项目，做到专款专用。</w:t>
      </w:r>
      <w:r>
        <w:rPr>
          <w:rFonts w:hint="default" w:ascii="Times New Roman" w:hAnsi="Times New Roman"/>
          <w:b/>
          <w:bCs/>
          <w:color w:val="auto"/>
          <w:highlight w:val="none"/>
          <w:u w:val="none"/>
          <w:lang w:val="en-US" w:eastAsia="zh-CN"/>
        </w:rPr>
        <w:t>三</w:t>
      </w:r>
      <w:r>
        <w:rPr>
          <w:rFonts w:hint="eastAsia" w:ascii="Times New Roman" w:hAnsi="Times New Roman"/>
          <w:b/>
          <w:bCs/>
          <w:color w:val="auto"/>
          <w:highlight w:val="none"/>
          <w:u w:val="none"/>
          <w:lang w:val="en-US" w:eastAsia="zh-CN"/>
        </w:rPr>
        <w:t>是以严肃财经纪律为准则。</w:t>
      </w:r>
      <w:r>
        <w:rPr>
          <w:rFonts w:hint="eastAsia"/>
          <w:b w:val="0"/>
          <w:bCs w:val="0"/>
          <w:color w:val="auto"/>
          <w:highlight w:val="none"/>
          <w:u w:val="none"/>
          <w:lang w:val="en-US" w:eastAsia="zh-CN"/>
        </w:rPr>
        <w:t>充分发挥</w:t>
      </w:r>
      <w:r>
        <w:rPr>
          <w:rFonts w:hint="eastAsia" w:ascii="Times New Roman" w:hAnsi="Times New Roman"/>
          <w:b w:val="0"/>
          <w:bCs w:val="0"/>
          <w:color w:val="auto"/>
          <w:highlight w:val="none"/>
          <w:u w:val="none"/>
          <w:lang w:val="en-US" w:eastAsia="zh-CN"/>
        </w:rPr>
        <w:t>财政监管职能作用，建立健全以政府财会监督为主导的体系框架，强化对专项资金使用管理、“三公”经费、资产管理、政府采购、财务管理的监督，硬化财经纪律刚性约束，实现从“资金下达”到“落地使用”的闭环监管。</w:t>
      </w:r>
      <w:r>
        <w:rPr>
          <w:rFonts w:hint="default" w:ascii="Times New Roman" w:hAnsi="Times New Roman"/>
          <w:b/>
          <w:bCs/>
          <w:color w:val="auto"/>
          <w:highlight w:val="none"/>
          <w:u w:val="none"/>
          <w:lang w:val="en-US" w:eastAsia="zh-CN"/>
        </w:rPr>
        <w:t>四</w:t>
      </w:r>
      <w:r>
        <w:rPr>
          <w:rFonts w:hint="eastAsia" w:ascii="Times New Roman" w:hAnsi="Times New Roman"/>
          <w:b/>
          <w:bCs/>
          <w:color w:val="auto"/>
          <w:highlight w:val="none"/>
          <w:u w:val="none"/>
          <w:lang w:val="en-US" w:eastAsia="zh-CN"/>
        </w:rPr>
        <w:t>是纵深推进国资国企改革。</w:t>
      </w:r>
      <w:r>
        <w:rPr>
          <w:rFonts w:hint="eastAsia" w:ascii="Times New Roman" w:hAnsi="Times New Roman"/>
          <w:b w:val="0"/>
          <w:bCs w:val="0"/>
          <w:color w:val="auto"/>
          <w:highlight w:val="none"/>
          <w:u w:val="none"/>
          <w:lang w:val="en-US" w:eastAsia="zh-CN"/>
        </w:rPr>
        <w:t>进一步完善国资国企监管系统平台建设，整合数据资源，实现对国企财务状况、重大事项、风险隐患的实时动态监测和预警。推动</w:t>
      </w:r>
      <w:r>
        <w:rPr>
          <w:rFonts w:hint="eastAsia"/>
          <w:b w:val="0"/>
          <w:bCs w:val="0"/>
          <w:color w:val="auto"/>
          <w:highlight w:val="none"/>
          <w:u w:val="none"/>
          <w:lang w:val="en-US" w:eastAsia="zh-CN"/>
        </w:rPr>
        <w:t>国有</w:t>
      </w:r>
      <w:r>
        <w:rPr>
          <w:rFonts w:hint="eastAsia" w:ascii="Times New Roman" w:hAnsi="Times New Roman"/>
          <w:b w:val="0"/>
          <w:bCs w:val="0"/>
          <w:color w:val="auto"/>
          <w:highlight w:val="none"/>
          <w:u w:val="none"/>
          <w:lang w:val="en-US" w:eastAsia="zh-CN"/>
        </w:rPr>
        <w:t>企业完善内部监督体系，形成决策科学、执行坚决、监督有力的治理闭环，全面提升规范化治理水平。同步健全经营层市场化选聘、契约化管理、差异化薪酬和市场化退出机制，激发</w:t>
      </w:r>
      <w:r>
        <w:rPr>
          <w:rFonts w:hint="eastAsia"/>
          <w:b w:val="0"/>
          <w:bCs w:val="0"/>
          <w:color w:val="auto"/>
          <w:highlight w:val="none"/>
          <w:u w:val="none"/>
          <w:lang w:val="en-US" w:eastAsia="zh-CN"/>
        </w:rPr>
        <w:t>国有</w:t>
      </w:r>
      <w:r>
        <w:rPr>
          <w:rFonts w:hint="eastAsia" w:ascii="Times New Roman" w:hAnsi="Times New Roman"/>
          <w:b w:val="0"/>
          <w:bCs w:val="0"/>
          <w:color w:val="auto"/>
          <w:highlight w:val="none"/>
          <w:u w:val="none"/>
          <w:lang w:val="en-US" w:eastAsia="zh-CN"/>
        </w:rPr>
        <w:t>企业经营活力。将深化国有“三资”管理改革作为持续推进大财政体系建设的主体支撑，拓宽“三变”路径、激活金融要素，强化财政、国资、金融联动，全力推进我县国有资源资产化、国有资产证券化、国有资金杠杆化。</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Times New Roman" w:hAnsi="Times New Roman" w:eastAsia="仿宋_GB2312" w:cs="仿宋_GB2312"/>
          <w:color w:val="auto"/>
          <w:highlight w:val="none"/>
          <w:u w:val="none"/>
        </w:rPr>
      </w:pPr>
      <w:r>
        <w:rPr>
          <w:rFonts w:hint="eastAsia" w:ascii="Times New Roman" w:hAnsi="Times New Roman" w:eastAsia="仿宋_GB2312" w:cs="仿宋_GB2312"/>
          <w:color w:val="auto"/>
          <w:highlight w:val="none"/>
          <w:u w:val="none"/>
        </w:rPr>
        <w:t>各位代表，新的一年我们将在县委的坚强领导下，自觉接受县人大的法律监督，虚心听取县政协的意见建议，提振信心</w:t>
      </w:r>
      <w:r>
        <w:rPr>
          <w:rFonts w:hint="eastAsia" w:ascii="Times New Roman" w:hAnsi="Times New Roman" w:cs="仿宋_GB2312"/>
          <w:color w:val="auto"/>
          <w:highlight w:val="none"/>
          <w:u w:val="none"/>
          <w:lang w:eastAsia="zh-CN"/>
        </w:rPr>
        <w:t>、</w:t>
      </w:r>
      <w:r>
        <w:rPr>
          <w:rFonts w:hint="eastAsia" w:ascii="Times New Roman" w:hAnsi="Times New Roman" w:cs="仿宋_GB2312"/>
          <w:color w:val="auto"/>
          <w:highlight w:val="none"/>
          <w:u w:val="none"/>
          <w:lang w:val="en-US" w:eastAsia="zh-CN"/>
        </w:rPr>
        <w:t>守正创新、锐意进取、</w:t>
      </w:r>
      <w:r>
        <w:rPr>
          <w:rFonts w:hint="eastAsia" w:cs="仿宋_GB2312"/>
          <w:color w:val="auto"/>
          <w:highlight w:val="none"/>
          <w:u w:val="none"/>
          <w:lang w:val="en-US" w:eastAsia="zh-CN"/>
        </w:rPr>
        <w:t>担当作为</w:t>
      </w:r>
      <w:r>
        <w:rPr>
          <w:rFonts w:hint="eastAsia" w:ascii="Times New Roman" w:hAnsi="Times New Roman" w:cs="仿宋_GB2312"/>
          <w:color w:val="auto"/>
          <w:highlight w:val="none"/>
          <w:u w:val="none"/>
          <w:lang w:val="en-US" w:eastAsia="zh-CN"/>
        </w:rPr>
        <w:t>，</w:t>
      </w:r>
      <w:r>
        <w:rPr>
          <w:rFonts w:hint="eastAsia" w:cs="仿宋_GB2312"/>
          <w:color w:val="auto"/>
          <w:highlight w:val="none"/>
          <w:u w:val="none"/>
          <w:lang w:val="en-US" w:eastAsia="zh-CN"/>
        </w:rPr>
        <w:t>为走出山区特色的共同富裕之路，加快建成具有国际影响力的现代化世界陶瓷之都贡献财政力量</w:t>
      </w:r>
      <w:r>
        <w:rPr>
          <w:rFonts w:hint="eastAsia" w:ascii="Times New Roman" w:hAnsi="Times New Roman" w:eastAsia="仿宋_GB2312" w:cs="仿宋_GB2312"/>
          <w:color w:val="auto"/>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Times New Roman" w:hAnsi="Times New Roman" w:eastAsia="仿宋_GB2312" w:cs="仿宋_GB2312"/>
          <w:color w:val="auto"/>
          <w:highlight w:val="none"/>
          <w:u w:val="none"/>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Times New Roman" w:hAnsi="Times New Roman" w:eastAsia="仿宋_GB2312" w:cs="仿宋_GB2312"/>
          <w:color w:val="auto"/>
          <w:highlight w:val="none"/>
          <w:u w:val="none"/>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Times New Roman" w:hAnsi="Times New Roman" w:eastAsia="仿宋_GB2312" w:cs="仿宋_GB2312"/>
          <w:color w:val="auto"/>
          <w:highlight w:val="none"/>
          <w:u w:val="none"/>
        </w:rPr>
      </w:pPr>
    </w:p>
    <w:p>
      <w:pPr>
        <w:pStyle w:val="2"/>
        <w:rPr>
          <w:rFonts w:hint="eastAsia" w:ascii="Times New Roman" w:hAnsi="Times New Roman" w:eastAsia="仿宋_GB2312" w:cs="仿宋_GB2312"/>
          <w:color w:val="auto"/>
          <w:highlight w:val="none"/>
          <w:u w:val="none"/>
        </w:rPr>
      </w:pPr>
    </w:p>
    <w:p>
      <w:pPr>
        <w:pStyle w:val="2"/>
        <w:rPr>
          <w:rFonts w:hint="eastAsia" w:ascii="Times New Roman" w:hAnsi="Times New Roman" w:eastAsia="仿宋_GB2312" w:cs="仿宋_GB2312"/>
          <w:color w:val="auto"/>
          <w:highlight w:val="none"/>
          <w:u w:val="none"/>
        </w:rPr>
      </w:pPr>
    </w:p>
    <w:p>
      <w:pPr>
        <w:pStyle w:val="2"/>
        <w:rPr>
          <w:rFonts w:hint="eastAsia" w:ascii="Times New Roman" w:hAnsi="Times New Roman" w:eastAsia="仿宋_GB2312" w:cs="仿宋_GB2312"/>
          <w:color w:val="auto"/>
          <w:highlight w:val="none"/>
          <w:u w:val="none"/>
        </w:rPr>
      </w:pPr>
    </w:p>
    <w:p>
      <w:pPr>
        <w:pStyle w:val="2"/>
        <w:rPr>
          <w:rFonts w:hint="eastAsia" w:ascii="Times New Roman" w:hAnsi="Times New Roman" w:eastAsia="仿宋_GB2312" w:cs="仿宋_GB2312"/>
          <w:color w:val="auto"/>
          <w:highlight w:val="none"/>
          <w:u w:val="none"/>
        </w:rPr>
      </w:pPr>
    </w:p>
    <w:p>
      <w:pPr>
        <w:pStyle w:val="2"/>
        <w:rPr>
          <w:rFonts w:hint="eastAsia" w:ascii="Times New Roman" w:hAnsi="Times New Roman" w:eastAsia="仿宋_GB2312" w:cs="仿宋_GB2312"/>
          <w:color w:val="auto"/>
          <w:highlight w:val="none"/>
          <w:u w:val="none"/>
        </w:rPr>
      </w:pPr>
    </w:p>
    <w:p>
      <w:pPr>
        <w:pStyle w:val="2"/>
        <w:rPr>
          <w:rFonts w:hint="eastAsia" w:ascii="Times New Roman" w:hAnsi="Times New Roman" w:eastAsia="仿宋_GB2312" w:cs="仿宋_GB2312"/>
          <w:color w:val="auto"/>
          <w:highlight w:val="none"/>
          <w:u w:val="none"/>
        </w:rPr>
      </w:pPr>
    </w:p>
    <w:p>
      <w:pPr>
        <w:pStyle w:val="2"/>
        <w:rPr>
          <w:rFonts w:hint="eastAsia" w:ascii="Times New Roman" w:hAnsi="Times New Roman" w:eastAsia="仿宋_GB2312" w:cs="仿宋_GB2312"/>
          <w:color w:val="auto"/>
          <w:highlight w:val="none"/>
          <w:u w:val="none"/>
        </w:rPr>
      </w:pPr>
    </w:p>
    <w:p>
      <w:pPr>
        <w:pStyle w:val="2"/>
        <w:rPr>
          <w:rFonts w:hint="eastAsia" w:ascii="Times New Roman" w:hAnsi="Times New Roman" w:eastAsia="仿宋_GB2312" w:cs="仿宋_GB2312"/>
          <w:color w:val="auto"/>
          <w:highlight w:val="none"/>
          <w:u w:val="none"/>
        </w:rPr>
      </w:pPr>
    </w:p>
    <w:p>
      <w:pPr>
        <w:pStyle w:val="2"/>
        <w:rPr>
          <w:rFonts w:hint="eastAsia" w:ascii="Times New Roman" w:hAnsi="Times New Roman" w:eastAsia="仿宋_GB2312" w:cs="仿宋_GB2312"/>
          <w:color w:val="auto"/>
          <w:highlight w:val="none"/>
          <w:u w:val="none"/>
        </w:rPr>
      </w:pPr>
    </w:p>
    <w:p>
      <w:pPr>
        <w:pStyle w:val="2"/>
        <w:rPr>
          <w:rFonts w:hint="eastAsia" w:ascii="Times New Roman" w:hAnsi="Times New Roman" w:eastAsia="仿宋_GB2312" w:cs="仿宋_GB2312"/>
          <w:color w:val="auto"/>
          <w:highlight w:val="none"/>
          <w:u w:val="none"/>
        </w:rPr>
      </w:pPr>
    </w:p>
    <w:p>
      <w:pPr>
        <w:pStyle w:val="2"/>
        <w:rPr>
          <w:rFonts w:hint="eastAsia" w:ascii="Times New Roman" w:hAnsi="Times New Roman" w:eastAsia="仿宋_GB2312" w:cs="仿宋_GB2312"/>
          <w:color w:val="auto"/>
          <w:highlight w:val="none"/>
          <w:u w:val="none"/>
        </w:rPr>
      </w:pPr>
    </w:p>
    <w:p>
      <w:pPr>
        <w:pStyle w:val="2"/>
        <w:rPr>
          <w:rFonts w:hint="eastAsia" w:ascii="Times New Roman" w:hAnsi="Times New Roman" w:eastAsia="仿宋_GB2312" w:cs="仿宋_GB2312"/>
          <w:color w:val="auto"/>
          <w:highlight w:val="none"/>
          <w:u w:val="none"/>
        </w:rPr>
      </w:pPr>
    </w:p>
    <w:p>
      <w:pPr>
        <w:pStyle w:val="2"/>
        <w:rPr>
          <w:rFonts w:hint="eastAsia" w:ascii="Times New Roman" w:hAnsi="Times New Roman" w:eastAsia="仿宋_GB2312" w:cs="仿宋_GB2312"/>
          <w:color w:val="auto"/>
          <w:highlight w:val="none"/>
          <w:u w:val="none"/>
        </w:rPr>
      </w:pPr>
    </w:p>
    <w:p>
      <w:pPr>
        <w:pStyle w:val="2"/>
        <w:rPr>
          <w:rFonts w:hint="eastAsia" w:ascii="Times New Roman" w:hAnsi="Times New Roman" w:eastAsia="仿宋_GB2312" w:cs="仿宋_GB2312"/>
          <w:color w:val="auto"/>
          <w:highlight w:val="none"/>
          <w:u w:val="none"/>
        </w:rPr>
      </w:pPr>
    </w:p>
    <w:p>
      <w:pPr>
        <w:pStyle w:val="2"/>
        <w:rPr>
          <w:rFonts w:hint="eastAsia" w:ascii="Times New Roman" w:hAnsi="Times New Roman" w:eastAsia="仿宋_GB2312" w:cs="仿宋_GB2312"/>
          <w:color w:val="auto"/>
          <w:highlight w:val="none"/>
          <w:u w:val="none"/>
        </w:rPr>
      </w:pPr>
    </w:p>
    <w:p>
      <w:pPr>
        <w:pStyle w:val="2"/>
        <w:rPr>
          <w:rFonts w:hint="eastAsia" w:ascii="Times New Roman" w:hAnsi="Times New Roman" w:eastAsia="仿宋_GB2312" w:cs="仿宋_GB2312"/>
          <w:color w:val="auto"/>
          <w:highlight w:val="none"/>
          <w:u w:val="none"/>
        </w:rPr>
      </w:pPr>
    </w:p>
    <w:p>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表一</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2025年德化县一般公共预算收入情况表</w:t>
      </w:r>
    </w:p>
    <w:p>
      <w:pPr>
        <w:pStyle w:val="2"/>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989"/>
        <w:gridCol w:w="1038"/>
        <w:gridCol w:w="1388"/>
        <w:gridCol w:w="1113"/>
        <w:gridCol w:w="1113"/>
        <w:gridCol w:w="9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038"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2024</w:t>
            </w:r>
            <w:r>
              <w:rPr>
                <w:rFonts w:hint="eastAsia" w:ascii="Times New Roman" w:hAnsi="Times New Roman" w:eastAsia="仿宋_GB2312" w:cs="Times New Roman"/>
                <w:i w:val="0"/>
                <w:iCs w:val="0"/>
                <w:color w:val="000000"/>
                <w:kern w:val="0"/>
                <w:sz w:val="24"/>
                <w:szCs w:val="24"/>
                <w:u w:val="none"/>
                <w:lang w:val="en-US" w:eastAsia="zh-CN" w:bidi="ar"/>
              </w:rPr>
              <w:t>年收入数</w:t>
            </w:r>
          </w:p>
        </w:tc>
        <w:tc>
          <w:tcPr>
            <w:tcW w:w="1388"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Times New Roman"/>
                <w:i w:val="0"/>
                <w:iCs w:val="0"/>
                <w:color w:val="000000"/>
                <w:kern w:val="0"/>
                <w:sz w:val="24"/>
                <w:szCs w:val="24"/>
                <w:u w:val="none"/>
                <w:lang w:val="en-US" w:eastAsia="zh-CN" w:bidi="ar"/>
              </w:rPr>
              <w:t>年</w:t>
            </w:r>
          </w:p>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spacing w:val="-6"/>
                <w:kern w:val="0"/>
                <w:sz w:val="24"/>
                <w:szCs w:val="24"/>
                <w:u w:val="none"/>
                <w:lang w:val="en-US" w:eastAsia="zh-CN" w:bidi="ar"/>
              </w:rPr>
              <w:t>调整预算数</w:t>
            </w:r>
          </w:p>
        </w:tc>
        <w:tc>
          <w:tcPr>
            <w:tcW w:w="3223" w:type="dxa"/>
            <w:gridSpan w:val="3"/>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Times New Roman"/>
                <w:i w:val="0"/>
                <w:iCs w:val="0"/>
                <w:color w:val="000000"/>
                <w:kern w:val="0"/>
                <w:sz w:val="24"/>
                <w:szCs w:val="24"/>
                <w:u w:val="none"/>
                <w:lang w:val="en-US" w:eastAsia="zh-CN" w:bidi="ar"/>
              </w:rPr>
              <w:t>年收入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3989" w:type="dxa"/>
            <w:vMerge w:val="continue"/>
            <w:tcBorders>
              <w:tl2br w:val="nil"/>
              <w:tr2bl w:val="nil"/>
            </w:tcBorders>
            <w:shd w:val="clear" w:color="auto" w:fill="auto"/>
            <w:vAlign w:val="center"/>
          </w:tcPr>
          <w:p>
            <w:pPr>
              <w:spacing w:line="240" w:lineRule="auto"/>
              <w:jc w:val="center"/>
              <w:rPr>
                <w:rFonts w:hint="eastAsia" w:ascii="Times New Roman" w:hAnsi="Times New Roman" w:eastAsia="仿宋_GB2312" w:cs="Times New Roman"/>
                <w:i w:val="0"/>
                <w:iCs w:val="0"/>
                <w:color w:val="000000"/>
                <w:sz w:val="24"/>
                <w:szCs w:val="24"/>
                <w:u w:val="none"/>
              </w:rPr>
            </w:pPr>
          </w:p>
        </w:tc>
        <w:tc>
          <w:tcPr>
            <w:tcW w:w="1038"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i w:val="0"/>
                <w:iCs w:val="0"/>
                <w:color w:val="000000"/>
                <w:sz w:val="24"/>
                <w:szCs w:val="24"/>
                <w:u w:val="none"/>
              </w:rPr>
            </w:pPr>
          </w:p>
        </w:tc>
        <w:tc>
          <w:tcPr>
            <w:tcW w:w="1388"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i w:val="0"/>
                <w:iCs w:val="0"/>
                <w:color w:val="000000"/>
                <w:sz w:val="24"/>
                <w:szCs w:val="24"/>
                <w:u w:val="none"/>
              </w:rPr>
            </w:pP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预计数</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占调整预算</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增长</w:t>
            </w: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一、一般公共预算收入</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191,195</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196,900</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196,943</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（一）税收收入</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113,048</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109,367</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108,134</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98.9</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增值税</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48,059</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51,396</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49,675</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96.7</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企业所得税</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14,929</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13,259</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13,659</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103.0</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个人所得税</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3,474</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3,889</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3,940</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101.3</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资源税</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1,950</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2,153</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1,970</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91.5</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kern w:val="0"/>
                <w:sz w:val="24"/>
                <w:szCs w:val="24"/>
                <w:u w:val="none"/>
                <w:lang w:val="en-US" w:eastAsia="zh-CN" w:bidi="ar"/>
              </w:rPr>
              <w:t>城市维护建设税</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3,560</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3,436</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3,707</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107.9</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Times New Roman" w:hAnsi="Times New Roman" w:eastAsia="仿宋_GB2312" w:cs="Times New Roman"/>
                <w:i w:val="0"/>
                <w:iCs w:val="0"/>
                <w:color w:val="000000"/>
                <w:kern w:val="0"/>
                <w:sz w:val="24"/>
                <w:szCs w:val="24"/>
                <w:u w:val="none"/>
                <w:lang w:val="en-US" w:eastAsia="zh-CN" w:bidi="ar"/>
              </w:rPr>
              <w:t>房产税</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6,431</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7,500</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7,580</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101.1</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Times New Roman" w:hAnsi="Times New Roman" w:eastAsia="仿宋_GB2312" w:cs="Times New Roman"/>
                <w:i w:val="0"/>
                <w:iCs w:val="0"/>
                <w:color w:val="000000"/>
                <w:kern w:val="0"/>
                <w:sz w:val="24"/>
                <w:szCs w:val="24"/>
                <w:u w:val="none"/>
                <w:lang w:val="en-US" w:eastAsia="zh-CN" w:bidi="ar"/>
              </w:rPr>
              <w:t>印花税</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1,141</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1,635</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1,635</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r>
              <w:rPr>
                <w:rFonts w:hint="eastAsia" w:ascii="Times New Roman" w:hAnsi="Times New Roman" w:eastAsia="仿宋_GB2312" w:cs="Times New Roman"/>
                <w:i w:val="0"/>
                <w:iCs w:val="0"/>
                <w:color w:val="000000"/>
                <w:kern w:val="0"/>
                <w:sz w:val="24"/>
                <w:szCs w:val="24"/>
                <w:u w:val="none"/>
                <w:lang w:val="en-US" w:eastAsia="zh-CN" w:bidi="ar"/>
              </w:rPr>
              <w:t>城镇土地使用税</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2,551</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2,680</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2,620</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97.8</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r>
              <w:rPr>
                <w:rFonts w:hint="eastAsia" w:ascii="Times New Roman" w:hAnsi="Times New Roman" w:eastAsia="仿宋_GB2312" w:cs="Times New Roman"/>
                <w:i w:val="0"/>
                <w:iCs w:val="0"/>
                <w:color w:val="000000"/>
                <w:kern w:val="0"/>
                <w:sz w:val="24"/>
                <w:szCs w:val="24"/>
                <w:u w:val="none"/>
                <w:lang w:val="en-US" w:eastAsia="zh-CN" w:bidi="ar"/>
              </w:rPr>
              <w:t>土地增值税</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17,248</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8,100</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7,800</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96.3</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r>
              <w:rPr>
                <w:rFonts w:hint="eastAsia" w:ascii="Times New Roman" w:hAnsi="Times New Roman" w:eastAsia="仿宋_GB2312" w:cs="Times New Roman"/>
                <w:i w:val="0"/>
                <w:iCs w:val="0"/>
                <w:color w:val="000000"/>
                <w:kern w:val="0"/>
                <w:sz w:val="24"/>
                <w:szCs w:val="24"/>
                <w:u w:val="none"/>
                <w:lang w:val="en-US" w:eastAsia="zh-CN" w:bidi="ar"/>
              </w:rPr>
              <w:t>车船税</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1,886</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1,895</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1,903</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100.4</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r>
              <w:rPr>
                <w:rFonts w:hint="eastAsia" w:ascii="Times New Roman" w:hAnsi="Times New Roman" w:eastAsia="仿宋_GB2312" w:cs="Times New Roman"/>
                <w:i w:val="0"/>
                <w:iCs w:val="0"/>
                <w:color w:val="000000"/>
                <w:kern w:val="0"/>
                <w:sz w:val="24"/>
                <w:szCs w:val="24"/>
                <w:u w:val="none"/>
                <w:lang w:val="en-US" w:eastAsia="zh-CN" w:bidi="ar"/>
              </w:rPr>
              <w:t>耕地占用税</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1,547</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5,690</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5,660</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99.5</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r>
              <w:rPr>
                <w:rFonts w:hint="eastAsia" w:ascii="Times New Roman" w:hAnsi="Times New Roman" w:eastAsia="仿宋_GB2312" w:cs="Times New Roman"/>
                <w:i w:val="0"/>
                <w:iCs w:val="0"/>
                <w:color w:val="000000"/>
                <w:kern w:val="0"/>
                <w:sz w:val="24"/>
                <w:szCs w:val="24"/>
                <w:u w:val="none"/>
                <w:lang w:val="en-US" w:eastAsia="zh-CN" w:bidi="ar"/>
              </w:rPr>
              <w:t>契税</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10,164</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7,600</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7,851</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103.3</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r>
              <w:rPr>
                <w:rFonts w:hint="eastAsia" w:ascii="Times New Roman" w:hAnsi="Times New Roman" w:eastAsia="仿宋_GB2312" w:cs="Times New Roman"/>
                <w:i w:val="0"/>
                <w:iCs w:val="0"/>
                <w:color w:val="000000"/>
                <w:kern w:val="0"/>
                <w:sz w:val="24"/>
                <w:szCs w:val="24"/>
                <w:u w:val="none"/>
                <w:lang w:val="en-US" w:eastAsia="zh-CN" w:bidi="ar"/>
              </w:rPr>
              <w:t>环境保护税</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108</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133</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133</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r>
              <w:rPr>
                <w:rFonts w:hint="eastAsia" w:ascii="Times New Roman" w:hAnsi="Times New Roman" w:eastAsia="仿宋_GB2312" w:cs="Times New Roman"/>
                <w:i w:val="0"/>
                <w:iCs w:val="0"/>
                <w:color w:val="000000"/>
                <w:kern w:val="0"/>
                <w:sz w:val="24"/>
                <w:szCs w:val="24"/>
                <w:u w:val="none"/>
                <w:lang w:val="en-US" w:eastAsia="zh-CN" w:bidi="ar"/>
              </w:rPr>
              <w:t>其他税收收入</w:t>
            </w:r>
          </w:p>
        </w:tc>
        <w:tc>
          <w:tcPr>
            <w:tcW w:w="1038" w:type="dxa"/>
            <w:tcBorders>
              <w:tl2br w:val="nil"/>
              <w:tr2bl w:val="nil"/>
            </w:tcBorders>
            <w:shd w:val="clear" w:color="auto" w:fill="auto"/>
            <w:vAlign w:val="center"/>
          </w:tcPr>
          <w:p>
            <w:pPr>
              <w:spacing w:line="240" w:lineRule="auto"/>
              <w:jc w:val="center"/>
              <w:rPr>
                <w:rFonts w:hint="default" w:ascii="Times New Roman" w:hAnsi="Times New Roman" w:cs="Times New Roman"/>
                <w:i w:val="0"/>
                <w:iCs w:val="0"/>
                <w:color w:val="000000"/>
                <w:sz w:val="24"/>
                <w:szCs w:val="24"/>
                <w:u w:val="none"/>
              </w:rPr>
            </w:pP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997" w:type="dxa"/>
            <w:tcBorders>
              <w:tl2br w:val="nil"/>
              <w:tr2bl w:val="nil"/>
            </w:tcBorders>
            <w:shd w:val="clear" w:color="auto" w:fill="auto"/>
            <w:vAlign w:val="center"/>
          </w:tcPr>
          <w:p>
            <w:pPr>
              <w:spacing w:line="240" w:lineRule="auto"/>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（二）非税收入</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78,147</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87,533</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88,809</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101.5</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专项收入</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7,553</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8,913</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9,186</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103.1</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行政事业性收费收入</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4,248</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4,146</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4,146</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罚没收入</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11,062</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19,553</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19,553</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国有资本经营收入</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92</w:t>
            </w:r>
          </w:p>
        </w:tc>
        <w:tc>
          <w:tcPr>
            <w:tcW w:w="1388" w:type="dxa"/>
            <w:tcBorders>
              <w:tl2br w:val="nil"/>
              <w:tr2bl w:val="nil"/>
            </w:tcBorders>
            <w:shd w:val="clear" w:color="auto" w:fill="auto"/>
            <w:vAlign w:val="center"/>
          </w:tcPr>
          <w:p>
            <w:pPr>
              <w:spacing w:line="240" w:lineRule="auto"/>
              <w:jc w:val="center"/>
              <w:rPr>
                <w:rFonts w:hint="default" w:ascii="Times New Roman" w:hAnsi="Times New Roman" w:cs="Times New Roman"/>
                <w:i w:val="0"/>
                <w:iCs w:val="0"/>
                <w:color w:val="000000"/>
                <w:sz w:val="24"/>
                <w:szCs w:val="24"/>
                <w:u w:val="none"/>
              </w:rPr>
            </w:pPr>
          </w:p>
        </w:tc>
        <w:tc>
          <w:tcPr>
            <w:tcW w:w="1113" w:type="dxa"/>
            <w:tcBorders>
              <w:tl2br w:val="nil"/>
              <w:tr2bl w:val="nil"/>
            </w:tcBorders>
            <w:shd w:val="clear" w:color="auto" w:fill="auto"/>
            <w:vAlign w:val="center"/>
          </w:tcPr>
          <w:p>
            <w:pPr>
              <w:spacing w:line="240" w:lineRule="auto"/>
              <w:jc w:val="center"/>
              <w:rPr>
                <w:rFonts w:hint="default" w:ascii="Times New Roman" w:hAnsi="Times New Roman" w:cs="Times New Roman"/>
                <w:i w:val="0"/>
                <w:iCs w:val="0"/>
                <w:color w:val="000000"/>
                <w:sz w:val="24"/>
                <w:szCs w:val="24"/>
                <w:u w:val="none"/>
              </w:rPr>
            </w:pPr>
          </w:p>
        </w:tc>
        <w:tc>
          <w:tcPr>
            <w:tcW w:w="1113" w:type="dxa"/>
            <w:tcBorders>
              <w:tl2br w:val="nil"/>
              <w:tr2bl w:val="nil"/>
            </w:tcBorders>
            <w:shd w:val="clear" w:color="auto" w:fill="auto"/>
            <w:vAlign w:val="center"/>
          </w:tcPr>
          <w:p>
            <w:pPr>
              <w:spacing w:line="240" w:lineRule="auto"/>
              <w:jc w:val="center"/>
              <w:rPr>
                <w:rFonts w:hint="default" w:ascii="Times New Roman" w:hAnsi="Times New Roman" w:cs="Times New Roman"/>
                <w:i w:val="0"/>
                <w:iCs w:val="0"/>
                <w:color w:val="000000"/>
                <w:sz w:val="24"/>
                <w:szCs w:val="24"/>
                <w:u w:val="none"/>
              </w:rPr>
            </w:pP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noWrap/>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spacing w:val="-17"/>
                <w:kern w:val="0"/>
                <w:sz w:val="24"/>
                <w:szCs w:val="24"/>
                <w:u w:val="none"/>
                <w:lang w:val="en-US" w:eastAsia="zh-CN" w:bidi="ar"/>
              </w:rPr>
              <w:t>国有资源（资产）有偿使用收入</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50,692</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54,781</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55,781</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101.8</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Times New Roman" w:hAnsi="Times New Roman" w:eastAsia="仿宋_GB2312" w:cs="Times New Roman"/>
                <w:i w:val="0"/>
                <w:iCs w:val="0"/>
                <w:color w:val="000000"/>
                <w:kern w:val="0"/>
                <w:sz w:val="24"/>
                <w:szCs w:val="24"/>
                <w:u w:val="none"/>
                <w:lang w:val="en-US" w:eastAsia="zh-CN" w:bidi="ar"/>
              </w:rPr>
              <w:t>政府住房基金收入</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88</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103</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106</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102.9</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Times New Roman" w:hAnsi="Times New Roman" w:eastAsia="仿宋_GB2312" w:cs="Times New Roman"/>
                <w:i w:val="0"/>
                <w:iCs w:val="0"/>
                <w:color w:val="000000"/>
                <w:kern w:val="0"/>
                <w:sz w:val="24"/>
                <w:szCs w:val="24"/>
                <w:u w:val="none"/>
                <w:lang w:val="en-US" w:eastAsia="zh-CN" w:bidi="ar"/>
              </w:rPr>
              <w:t>其他收入</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4,412</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noWrap/>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二、上划中央收入</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78,772</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79,200</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78,489</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99.1</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noWrap/>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增值税</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48,059</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51,396</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49,675</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96.7</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noWrap/>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消费税</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60</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126</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135</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107.1</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noWrap/>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车辆购置税</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3,049</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1,956</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2,280</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116.6</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noWrap/>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企业所得税</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22,394</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19,889</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20,489</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103.0</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noWrap/>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kern w:val="0"/>
                <w:sz w:val="24"/>
                <w:szCs w:val="24"/>
                <w:u w:val="none"/>
                <w:lang w:val="en-US" w:eastAsia="zh-CN" w:bidi="ar"/>
              </w:rPr>
              <w:t>个人所得税</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5,210</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5,834</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5,910</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101.3</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3989" w:type="dxa"/>
            <w:tcBorders>
              <w:tl2br w:val="nil"/>
              <w:tr2bl w:val="nil"/>
            </w:tcBorders>
            <w:shd w:val="clear" w:color="auto" w:fill="auto"/>
            <w:noWrap/>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三、一般公共预算总收入</w:t>
            </w:r>
          </w:p>
        </w:tc>
        <w:tc>
          <w:tcPr>
            <w:tcW w:w="103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269,967 </w:t>
            </w:r>
          </w:p>
        </w:tc>
        <w:tc>
          <w:tcPr>
            <w:tcW w:w="138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276,100 </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275,432 </w:t>
            </w:r>
          </w:p>
        </w:tc>
        <w:tc>
          <w:tcPr>
            <w:tcW w:w="111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99.8 </w:t>
            </w:r>
          </w:p>
        </w:tc>
        <w:tc>
          <w:tcPr>
            <w:tcW w:w="99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2.0 </w:t>
            </w:r>
          </w:p>
        </w:tc>
      </w:tr>
    </w:tbl>
    <w:p>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二</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2025年德化县一般公共预算支出情况表</w:t>
      </w:r>
    </w:p>
    <w:p>
      <w:pPr>
        <w:pStyle w:val="2"/>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107"/>
        <w:gridCol w:w="1385"/>
        <w:gridCol w:w="1546"/>
        <w:gridCol w:w="1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5107" w:type="dxa"/>
            <w:vMerge w:val="restart"/>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385" w:type="dxa"/>
            <w:vMerge w:val="restart"/>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2024</w:t>
            </w:r>
            <w:r>
              <w:rPr>
                <w:rFonts w:hint="eastAsia" w:ascii="Times New Roman" w:hAnsi="Times New Roman" w:eastAsia="仿宋_GB2312" w:cs="Times New Roman"/>
                <w:i w:val="0"/>
                <w:iCs w:val="0"/>
                <w:color w:val="000000"/>
                <w:kern w:val="0"/>
                <w:sz w:val="24"/>
                <w:szCs w:val="24"/>
                <w:u w:val="none"/>
                <w:lang w:val="en-US" w:eastAsia="zh-CN" w:bidi="ar"/>
              </w:rPr>
              <w:t>年</w:t>
            </w:r>
          </w:p>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支出数</w:t>
            </w:r>
          </w:p>
        </w:tc>
        <w:tc>
          <w:tcPr>
            <w:tcW w:w="3146" w:type="dxa"/>
            <w:gridSpan w:val="2"/>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Times New Roman"/>
                <w:i w:val="0"/>
                <w:iCs w:val="0"/>
                <w:color w:val="000000"/>
                <w:kern w:val="0"/>
                <w:sz w:val="24"/>
                <w:szCs w:val="24"/>
                <w:u w:val="none"/>
                <w:lang w:val="en-US" w:eastAsia="zh-CN" w:bidi="ar"/>
              </w:rPr>
              <w:t>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5107" w:type="dxa"/>
            <w:vMerge w:val="continue"/>
            <w:tcBorders>
              <w:tl2br w:val="nil"/>
              <w:tr2bl w:val="nil"/>
            </w:tcBorders>
            <w:shd w:val="clear" w:color="auto" w:fill="auto"/>
            <w:vAlign w:val="center"/>
          </w:tcPr>
          <w:p>
            <w:pPr>
              <w:jc w:val="center"/>
              <w:rPr>
                <w:rFonts w:hint="eastAsia" w:ascii="Times New Roman" w:hAnsi="Times New Roman" w:eastAsia="仿宋_GB2312" w:cs="Times New Roman"/>
                <w:i w:val="0"/>
                <w:iCs w:val="0"/>
                <w:color w:val="000000"/>
                <w:sz w:val="24"/>
                <w:szCs w:val="24"/>
                <w:u w:val="none"/>
              </w:rPr>
            </w:pPr>
          </w:p>
        </w:tc>
        <w:tc>
          <w:tcPr>
            <w:tcW w:w="1385" w:type="dxa"/>
            <w:vMerge w:val="continue"/>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预计数</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增长</w:t>
            </w: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一、一般公共服务支出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31,461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32,706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二、国防支出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149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159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三、公共安全支出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19,703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20,806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四、教育支出</w:t>
            </w:r>
          </w:p>
        </w:tc>
        <w:tc>
          <w:tcPr>
            <w:tcW w:w="1385" w:type="dxa"/>
            <w:tcBorders>
              <w:tl2br w:val="nil"/>
              <w:tr2bl w:val="nil"/>
            </w:tcBorders>
            <w:shd w:val="clear" w:color="auto" w:fill="FFFFFF"/>
            <w:noWrap/>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104,151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108,580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五、科学技术支出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7,051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7,272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六、文化旅游体育与传媒支出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8,359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10,466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七、社会保障和就业支出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41,075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44,087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7.3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八、卫生健康支出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19,285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19,987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九、节能环保支出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7,972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13,539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69.8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十、城乡社区支出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17,407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35,318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102.9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十一、农林水支出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63,826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66,676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十二、交通运输支出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25,676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14,350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-44.1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十三、资源勘探工业信息等支出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11,690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25,298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116.4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十四、商业服务业等支出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1,298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1,461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十五、金融支出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213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347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62.9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十六、援助其他地区支出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135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1,274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843.7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十七、自然资源海洋气象等支出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4,221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4,350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十八、住房保障支出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11,925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4,500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-62.3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十九、粮油物资储备支出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813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827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二十、灾害防治及应急管理支出</w:t>
            </w:r>
          </w:p>
        </w:tc>
        <w:tc>
          <w:tcPr>
            <w:tcW w:w="1385" w:type="dxa"/>
            <w:tcBorders>
              <w:tl2br w:val="nil"/>
              <w:tr2bl w:val="nil"/>
            </w:tcBorders>
            <w:shd w:val="clear" w:color="auto" w:fill="FFFFFF"/>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10,291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5,800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二十一、其他支出</w:t>
            </w:r>
          </w:p>
        </w:tc>
        <w:tc>
          <w:tcPr>
            <w:tcW w:w="1385"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87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35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-59.8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二十二、债务还本支出</w:t>
            </w:r>
          </w:p>
        </w:tc>
        <w:tc>
          <w:tcPr>
            <w:tcW w:w="1385"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546"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600"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二十三、债务付息支出</w:t>
            </w:r>
          </w:p>
        </w:tc>
        <w:tc>
          <w:tcPr>
            <w:tcW w:w="1385"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11,223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11,439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二十四、债务发行费用支出</w:t>
            </w:r>
          </w:p>
        </w:tc>
        <w:tc>
          <w:tcPr>
            <w:tcW w:w="1385"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39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40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97" w:hRule="exact"/>
          <w:jc w:val="center"/>
        </w:trPr>
        <w:tc>
          <w:tcPr>
            <w:tcW w:w="510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385"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398,050 </w:t>
            </w:r>
          </w:p>
        </w:tc>
        <w:tc>
          <w:tcPr>
            <w:tcW w:w="1546"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429,317 </w:t>
            </w:r>
          </w:p>
        </w:tc>
        <w:tc>
          <w:tcPr>
            <w:tcW w:w="1600"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7.9 </w:t>
            </w:r>
          </w:p>
        </w:tc>
      </w:tr>
    </w:tbl>
    <w:p>
      <w:pPr>
        <w:pStyle w:val="2"/>
        <w:spacing w:line="40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注：一般公共预算支出预计数包括本级一般公共预算收入、上年结转、一般债券、调入资金、动用预算稳定调节基金、省市转移支付补助资金等。</w:t>
      </w:r>
    </w:p>
    <w:p>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三</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pPr>
        <w:pStyle w:val="2"/>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2025年德化县政府性基金预算收入情况表</w:t>
      </w:r>
    </w:p>
    <w:p>
      <w:pPr>
        <w:pStyle w:val="2"/>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184"/>
        <w:gridCol w:w="1200"/>
        <w:gridCol w:w="1159"/>
        <w:gridCol w:w="1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54" w:hRule="exact"/>
          <w:jc w:val="center"/>
        </w:trPr>
        <w:tc>
          <w:tcPr>
            <w:tcW w:w="6184"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200"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2024</w:t>
            </w:r>
            <w:r>
              <w:rPr>
                <w:rFonts w:hint="eastAsia" w:ascii="Times New Roman" w:hAnsi="Times New Roman" w:eastAsia="仿宋_GB2312" w:cs="Times New Roman"/>
                <w:i w:val="0"/>
                <w:iCs w:val="0"/>
                <w:color w:val="000000"/>
                <w:kern w:val="0"/>
                <w:sz w:val="24"/>
                <w:szCs w:val="24"/>
                <w:u w:val="none"/>
                <w:lang w:val="en-US" w:eastAsia="zh-CN" w:bidi="ar"/>
              </w:rPr>
              <w:t>年</w:t>
            </w:r>
          </w:p>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收入数</w:t>
            </w:r>
          </w:p>
        </w:tc>
        <w:tc>
          <w:tcPr>
            <w:tcW w:w="2254" w:type="dxa"/>
            <w:gridSpan w:val="2"/>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Times New Roman"/>
                <w:i w:val="0"/>
                <w:iCs w:val="0"/>
                <w:color w:val="000000"/>
                <w:kern w:val="0"/>
                <w:sz w:val="24"/>
                <w:szCs w:val="24"/>
                <w:u w:val="none"/>
                <w:lang w:val="en-US" w:eastAsia="zh-CN" w:bidi="ar"/>
              </w:rPr>
              <w:t>年收入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6184" w:type="dxa"/>
            <w:vMerge w:val="continue"/>
            <w:tcBorders>
              <w:tl2br w:val="nil"/>
              <w:tr2bl w:val="nil"/>
            </w:tcBorders>
            <w:shd w:val="clear" w:color="auto" w:fill="auto"/>
            <w:vAlign w:val="center"/>
          </w:tcPr>
          <w:p>
            <w:pPr>
              <w:jc w:val="center"/>
              <w:rPr>
                <w:rFonts w:hint="eastAsia" w:ascii="Times New Roman" w:hAnsi="Times New Roman" w:eastAsia="仿宋_GB2312" w:cs="Times New Roman"/>
                <w:i w:val="0"/>
                <w:iCs w:val="0"/>
                <w:color w:val="000000"/>
                <w:sz w:val="24"/>
                <w:szCs w:val="24"/>
                <w:u w:val="none"/>
              </w:rPr>
            </w:pPr>
          </w:p>
        </w:tc>
        <w:tc>
          <w:tcPr>
            <w:tcW w:w="1200" w:type="dxa"/>
            <w:vMerge w:val="continue"/>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15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预计数</w:t>
            </w:r>
          </w:p>
        </w:tc>
        <w:tc>
          <w:tcPr>
            <w:tcW w:w="109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增长</w:t>
            </w: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一、国有土地收益基金收入</w:t>
            </w:r>
          </w:p>
        </w:tc>
        <w:tc>
          <w:tcPr>
            <w:tcW w:w="1200"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159"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095"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二、农业土地开发资金收入</w:t>
            </w:r>
          </w:p>
        </w:tc>
        <w:tc>
          <w:tcPr>
            <w:tcW w:w="1200"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159"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095"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三、国有土地使用权出让收入</w:t>
            </w:r>
          </w:p>
        </w:tc>
        <w:tc>
          <w:tcPr>
            <w:tcW w:w="120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88,050</w:t>
            </w:r>
          </w:p>
        </w:tc>
        <w:tc>
          <w:tcPr>
            <w:tcW w:w="115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56,428</w:t>
            </w:r>
          </w:p>
        </w:tc>
        <w:tc>
          <w:tcPr>
            <w:tcW w:w="109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土地出让价款收入</w:t>
            </w:r>
          </w:p>
        </w:tc>
        <w:tc>
          <w:tcPr>
            <w:tcW w:w="120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72,779</w:t>
            </w:r>
          </w:p>
        </w:tc>
        <w:tc>
          <w:tcPr>
            <w:tcW w:w="115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38,138</w:t>
            </w:r>
          </w:p>
        </w:tc>
        <w:tc>
          <w:tcPr>
            <w:tcW w:w="109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其他土地出让收入</w:t>
            </w:r>
          </w:p>
        </w:tc>
        <w:tc>
          <w:tcPr>
            <w:tcW w:w="120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15,271</w:t>
            </w:r>
          </w:p>
        </w:tc>
        <w:tc>
          <w:tcPr>
            <w:tcW w:w="115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18,290</w:t>
            </w:r>
          </w:p>
        </w:tc>
        <w:tc>
          <w:tcPr>
            <w:tcW w:w="109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四、彩票公益金收入</w:t>
            </w:r>
          </w:p>
        </w:tc>
        <w:tc>
          <w:tcPr>
            <w:tcW w:w="120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636</w:t>
            </w:r>
          </w:p>
        </w:tc>
        <w:tc>
          <w:tcPr>
            <w:tcW w:w="115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674</w:t>
            </w:r>
          </w:p>
        </w:tc>
        <w:tc>
          <w:tcPr>
            <w:tcW w:w="109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福利彩票公益金收入</w:t>
            </w:r>
          </w:p>
        </w:tc>
        <w:tc>
          <w:tcPr>
            <w:tcW w:w="120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171</w:t>
            </w:r>
          </w:p>
        </w:tc>
        <w:tc>
          <w:tcPr>
            <w:tcW w:w="115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243</w:t>
            </w:r>
          </w:p>
        </w:tc>
        <w:tc>
          <w:tcPr>
            <w:tcW w:w="109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体育彩票公益金收入</w:t>
            </w:r>
          </w:p>
        </w:tc>
        <w:tc>
          <w:tcPr>
            <w:tcW w:w="120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465</w:t>
            </w:r>
          </w:p>
        </w:tc>
        <w:tc>
          <w:tcPr>
            <w:tcW w:w="115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431</w:t>
            </w:r>
          </w:p>
        </w:tc>
        <w:tc>
          <w:tcPr>
            <w:tcW w:w="109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五、城市基础设施配套费收入</w:t>
            </w:r>
          </w:p>
        </w:tc>
        <w:tc>
          <w:tcPr>
            <w:tcW w:w="120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5,035</w:t>
            </w:r>
          </w:p>
        </w:tc>
        <w:tc>
          <w:tcPr>
            <w:tcW w:w="115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5,000</w:t>
            </w:r>
          </w:p>
        </w:tc>
        <w:tc>
          <w:tcPr>
            <w:tcW w:w="109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六、污水处理费收入</w:t>
            </w:r>
          </w:p>
        </w:tc>
        <w:tc>
          <w:tcPr>
            <w:tcW w:w="120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1,863</w:t>
            </w:r>
          </w:p>
        </w:tc>
        <w:tc>
          <w:tcPr>
            <w:tcW w:w="115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1,600</w:t>
            </w:r>
          </w:p>
        </w:tc>
        <w:tc>
          <w:tcPr>
            <w:tcW w:w="109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七、其他政府性基金收入</w:t>
            </w:r>
          </w:p>
        </w:tc>
        <w:tc>
          <w:tcPr>
            <w:tcW w:w="1200"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159"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095"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八、专项债券对应项目专项收入</w:t>
            </w:r>
          </w:p>
        </w:tc>
        <w:tc>
          <w:tcPr>
            <w:tcW w:w="120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13,204</w:t>
            </w:r>
          </w:p>
        </w:tc>
        <w:tc>
          <w:tcPr>
            <w:tcW w:w="115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34,298</w:t>
            </w:r>
          </w:p>
        </w:tc>
        <w:tc>
          <w:tcPr>
            <w:tcW w:w="109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1.国有土地使用权出让金专项债务对应项目专项收入</w:t>
            </w:r>
          </w:p>
        </w:tc>
        <w:tc>
          <w:tcPr>
            <w:tcW w:w="120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8,198</w:t>
            </w:r>
          </w:p>
        </w:tc>
        <w:tc>
          <w:tcPr>
            <w:tcW w:w="115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5,761</w:t>
            </w:r>
          </w:p>
        </w:tc>
        <w:tc>
          <w:tcPr>
            <w:tcW w:w="109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2.其他政府性基金专项债务对应项目专项收入</w:t>
            </w:r>
          </w:p>
        </w:tc>
        <w:tc>
          <w:tcPr>
            <w:tcW w:w="120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5,006</w:t>
            </w:r>
          </w:p>
        </w:tc>
        <w:tc>
          <w:tcPr>
            <w:tcW w:w="115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28,537</w:t>
            </w:r>
          </w:p>
        </w:tc>
        <w:tc>
          <w:tcPr>
            <w:tcW w:w="109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470.1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18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20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108,788</w:t>
            </w:r>
          </w:p>
        </w:tc>
        <w:tc>
          <w:tcPr>
            <w:tcW w:w="115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98,000</w:t>
            </w:r>
          </w:p>
        </w:tc>
        <w:tc>
          <w:tcPr>
            <w:tcW w:w="109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-9.9</w:t>
            </w:r>
          </w:p>
        </w:tc>
      </w:tr>
    </w:tbl>
    <w:p>
      <w:pPr>
        <w:pStyle w:val="2"/>
        <w:jc w:val="right"/>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rPr>
          <w:rFonts w:hint="eastAsia" w:ascii="仿宋_GB2312" w:hAnsi="仿宋_GB2312" w:eastAsia="仿宋_GB2312" w:cs="仿宋_GB2312"/>
          <w:color w:val="000000"/>
          <w:sz w:val="24"/>
          <w:szCs w:val="24"/>
          <w:lang w:val="en-US" w:eastAsia="zh-CN"/>
        </w:rPr>
      </w:pPr>
    </w:p>
    <w:p>
      <w:pPr>
        <w:pStyle w:val="2"/>
        <w:rPr>
          <w:rFonts w:hint="eastAsia" w:ascii="仿宋_GB2312" w:hAnsi="仿宋_GB2312" w:eastAsia="仿宋_GB2312" w:cs="仿宋_GB2312"/>
          <w:color w:val="000000"/>
          <w:sz w:val="24"/>
          <w:szCs w:val="24"/>
          <w:lang w:val="en-US" w:eastAsia="zh-CN"/>
        </w:rPr>
      </w:pPr>
    </w:p>
    <w:p>
      <w:pPr>
        <w:pStyle w:val="2"/>
        <w:rPr>
          <w:rFonts w:hint="eastAsia" w:ascii="仿宋_GB2312" w:hAnsi="仿宋_GB2312" w:eastAsia="仿宋_GB2312" w:cs="仿宋_GB2312"/>
          <w:color w:val="000000"/>
          <w:sz w:val="24"/>
          <w:szCs w:val="24"/>
          <w:lang w:val="en-US" w:eastAsia="zh-CN"/>
        </w:rPr>
      </w:pPr>
    </w:p>
    <w:p>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四</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pPr>
        <w:pStyle w:val="2"/>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2025年德化县政府性基金预算支出情况表</w:t>
      </w:r>
    </w:p>
    <w:p>
      <w:pPr>
        <w:pStyle w:val="2"/>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121"/>
        <w:gridCol w:w="1254"/>
        <w:gridCol w:w="1221"/>
        <w:gridCol w:w="10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54" w:hRule="exact"/>
          <w:jc w:val="center"/>
        </w:trPr>
        <w:tc>
          <w:tcPr>
            <w:tcW w:w="6121" w:type="dxa"/>
            <w:vMerge w:val="restart"/>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254" w:type="dxa"/>
            <w:vMerge w:val="restart"/>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2024</w:t>
            </w:r>
            <w:r>
              <w:rPr>
                <w:rFonts w:hint="eastAsia" w:ascii="Times New Roman" w:hAnsi="Times New Roman" w:eastAsia="仿宋_GB2312" w:cs="Times New Roman"/>
                <w:i w:val="0"/>
                <w:iCs w:val="0"/>
                <w:color w:val="000000"/>
                <w:kern w:val="0"/>
                <w:sz w:val="24"/>
                <w:szCs w:val="24"/>
                <w:u w:val="none"/>
                <w:lang w:val="en-US" w:eastAsia="zh-CN" w:bidi="ar"/>
              </w:rPr>
              <w:t>年</w:t>
            </w:r>
          </w:p>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支出数</w:t>
            </w:r>
          </w:p>
        </w:tc>
        <w:tc>
          <w:tcPr>
            <w:tcW w:w="2263" w:type="dxa"/>
            <w:gridSpan w:val="2"/>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Times New Roman"/>
                <w:i w:val="0"/>
                <w:iCs w:val="0"/>
                <w:color w:val="000000"/>
                <w:kern w:val="0"/>
                <w:sz w:val="24"/>
                <w:szCs w:val="24"/>
                <w:u w:val="none"/>
                <w:lang w:val="en-US" w:eastAsia="zh-CN" w:bidi="ar"/>
              </w:rPr>
              <w:t>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6121" w:type="dxa"/>
            <w:vMerge w:val="continue"/>
            <w:tcBorders>
              <w:tl2br w:val="nil"/>
              <w:tr2bl w:val="nil"/>
            </w:tcBorders>
            <w:shd w:val="clear" w:color="auto" w:fill="auto"/>
            <w:vAlign w:val="center"/>
          </w:tcPr>
          <w:p>
            <w:pPr>
              <w:jc w:val="center"/>
              <w:rPr>
                <w:rFonts w:hint="eastAsia" w:ascii="Times New Roman" w:hAnsi="Times New Roman" w:eastAsia="仿宋_GB2312" w:cs="Times New Roman"/>
                <w:i w:val="0"/>
                <w:iCs w:val="0"/>
                <w:color w:val="000000"/>
                <w:sz w:val="24"/>
                <w:szCs w:val="24"/>
                <w:u w:val="none"/>
              </w:rPr>
            </w:pPr>
          </w:p>
        </w:tc>
        <w:tc>
          <w:tcPr>
            <w:tcW w:w="1254" w:type="dxa"/>
            <w:vMerge w:val="continue"/>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预计数</w:t>
            </w:r>
          </w:p>
        </w:tc>
        <w:tc>
          <w:tcPr>
            <w:tcW w:w="1042"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增长</w:t>
            </w: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一、文化旅游体育与传媒支出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042"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i w:val="0"/>
                <w:iCs w:val="0"/>
                <w:color w:val="000000"/>
                <w:kern w:val="0"/>
                <w:sz w:val="24"/>
                <w:szCs w:val="24"/>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1.国家电影事业发展专项资金安排的支出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042"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i w:val="0"/>
                <w:iCs w:val="0"/>
                <w:color w:val="000000"/>
                <w:kern w:val="0"/>
                <w:sz w:val="24"/>
                <w:szCs w:val="24"/>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2.旅游发展基金支出</w:t>
            </w:r>
          </w:p>
        </w:tc>
        <w:tc>
          <w:tcPr>
            <w:tcW w:w="1254"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221"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042"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i w:val="0"/>
                <w:iCs w:val="0"/>
                <w:color w:val="000000"/>
                <w:kern w:val="0"/>
                <w:sz w:val="24"/>
                <w:szCs w:val="24"/>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二、社会保障和就业支出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1,932</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1,761</w:t>
            </w:r>
          </w:p>
        </w:tc>
        <w:tc>
          <w:tcPr>
            <w:tcW w:w="1042"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1.大中型水库移民后期扶持基金支出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1,830</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1,502</w:t>
            </w:r>
          </w:p>
        </w:tc>
        <w:tc>
          <w:tcPr>
            <w:tcW w:w="1042"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-17.9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2.小型水库移民扶助基金及对应专项债务收入安排的支出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102</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259</w:t>
            </w:r>
          </w:p>
        </w:tc>
        <w:tc>
          <w:tcPr>
            <w:tcW w:w="1042"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cs="Times New Roman"/>
                <w:i w:val="0"/>
                <w:iCs w:val="0"/>
                <w:color w:val="000000"/>
                <w:kern w:val="0"/>
                <w:sz w:val="24"/>
                <w:szCs w:val="24"/>
                <w:u w:val="none"/>
                <w:lang w:val="en-US" w:eastAsia="zh-CN" w:bidi="ar"/>
              </w:rPr>
              <w:t>154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三、城乡社区支出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139,036</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91,001</w:t>
            </w:r>
          </w:p>
        </w:tc>
        <w:tc>
          <w:tcPr>
            <w:tcW w:w="1042"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-34.5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1.国有土地使用权出让收入安排的支出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134,655</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89,841</w:t>
            </w:r>
          </w:p>
        </w:tc>
        <w:tc>
          <w:tcPr>
            <w:tcW w:w="1042"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2.城市基础设施配套费安排的支出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4,381</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1,160</w:t>
            </w:r>
          </w:p>
        </w:tc>
        <w:tc>
          <w:tcPr>
            <w:tcW w:w="1042"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3.污水处理费安排的支出</w:t>
            </w:r>
          </w:p>
        </w:tc>
        <w:tc>
          <w:tcPr>
            <w:tcW w:w="1254"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221"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042"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i w:val="0"/>
                <w:iCs w:val="0"/>
                <w:color w:val="000000"/>
                <w:kern w:val="0"/>
                <w:sz w:val="24"/>
                <w:szCs w:val="24"/>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四、农林水支出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168</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w:t>
            </w:r>
          </w:p>
        </w:tc>
        <w:tc>
          <w:tcPr>
            <w:tcW w:w="1042"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-17.3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1.大中型水库库区基金安排的支出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79</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-210</w:t>
            </w:r>
          </w:p>
        </w:tc>
        <w:tc>
          <w:tcPr>
            <w:tcW w:w="1042"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-365.8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2.国家重大水利工程建设基金安排的支出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89</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349</w:t>
            </w:r>
          </w:p>
        </w:tc>
        <w:tc>
          <w:tcPr>
            <w:tcW w:w="1042"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292.1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3.小型水库移民扶持基金安排的支出</w:t>
            </w:r>
          </w:p>
        </w:tc>
        <w:tc>
          <w:tcPr>
            <w:tcW w:w="1254"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221"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042"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i w:val="0"/>
                <w:iCs w:val="0"/>
                <w:color w:val="000000"/>
                <w:kern w:val="0"/>
                <w:sz w:val="24"/>
                <w:szCs w:val="24"/>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五、交通运输支出</w:t>
            </w:r>
          </w:p>
        </w:tc>
        <w:tc>
          <w:tcPr>
            <w:tcW w:w="1254"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221"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042"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i w:val="0"/>
                <w:iCs w:val="0"/>
                <w:color w:val="000000"/>
                <w:kern w:val="0"/>
                <w:sz w:val="24"/>
                <w:szCs w:val="24"/>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1.政府收费公路专项债券收入安排的支出</w:t>
            </w:r>
          </w:p>
        </w:tc>
        <w:tc>
          <w:tcPr>
            <w:tcW w:w="1254"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221"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042"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i w:val="0"/>
                <w:iCs w:val="0"/>
                <w:color w:val="000000"/>
                <w:kern w:val="0"/>
                <w:sz w:val="24"/>
                <w:szCs w:val="24"/>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六、资源勘探工业信息等支出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535</w:t>
            </w:r>
          </w:p>
        </w:tc>
        <w:tc>
          <w:tcPr>
            <w:tcW w:w="1042"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i w:val="0"/>
                <w:iCs w:val="0"/>
                <w:color w:val="000000"/>
                <w:kern w:val="0"/>
                <w:sz w:val="24"/>
                <w:szCs w:val="24"/>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1.超长期特别国债安排的支出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535</w:t>
            </w:r>
          </w:p>
        </w:tc>
        <w:tc>
          <w:tcPr>
            <w:tcW w:w="1042"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i w:val="0"/>
                <w:iCs w:val="0"/>
                <w:color w:val="000000"/>
                <w:kern w:val="0"/>
                <w:sz w:val="24"/>
                <w:szCs w:val="24"/>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七、其他支出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111,900</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104,480</w:t>
            </w:r>
          </w:p>
        </w:tc>
        <w:tc>
          <w:tcPr>
            <w:tcW w:w="1042"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1.其他政府性基金及对应专项债务收入安排的支出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109,757</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100,675</w:t>
            </w:r>
          </w:p>
        </w:tc>
        <w:tc>
          <w:tcPr>
            <w:tcW w:w="1042"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2.彩票发行销售机构业务费安排的支出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1042"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i w:val="0"/>
                <w:iCs w:val="0"/>
                <w:color w:val="000000"/>
                <w:kern w:val="0"/>
                <w:sz w:val="24"/>
                <w:szCs w:val="24"/>
                <w:u w:val="none"/>
                <w:lang w:bidi="ar"/>
              </w:rPr>
            </w:pPr>
            <w:r>
              <w:rPr>
                <w:rFonts w:hint="eastAsia" w:cs="Times New Roman"/>
                <w:i w:val="0"/>
                <w:iCs w:val="0"/>
                <w:color w:val="000000"/>
                <w:kern w:val="0"/>
                <w:sz w:val="24"/>
                <w:szCs w:val="24"/>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3.彩票公益金安排的支出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2,118</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1,765</w:t>
            </w:r>
          </w:p>
        </w:tc>
        <w:tc>
          <w:tcPr>
            <w:tcW w:w="1042"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4.超长期特别国债安排的支出</w:t>
            </w:r>
          </w:p>
        </w:tc>
        <w:tc>
          <w:tcPr>
            <w:tcW w:w="1254"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2,020</w:t>
            </w:r>
          </w:p>
        </w:tc>
        <w:tc>
          <w:tcPr>
            <w:tcW w:w="1042"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i w:val="0"/>
                <w:iCs w:val="0"/>
                <w:color w:val="000000"/>
                <w:kern w:val="0"/>
                <w:sz w:val="24"/>
                <w:szCs w:val="24"/>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八、债务还本付息支出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30,845</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23,959</w:t>
            </w:r>
          </w:p>
        </w:tc>
        <w:tc>
          <w:tcPr>
            <w:tcW w:w="1042"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1.地方政府专项债务付息支出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21,209</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23,307</w:t>
            </w:r>
          </w:p>
        </w:tc>
        <w:tc>
          <w:tcPr>
            <w:tcW w:w="1042"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2.地方政府专项债务还本支出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9,636</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652</w:t>
            </w:r>
          </w:p>
        </w:tc>
        <w:tc>
          <w:tcPr>
            <w:tcW w:w="1042"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-93.2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cs="Times New Roman"/>
                <w:i w:val="0"/>
                <w:iCs w:val="0"/>
                <w:color w:val="000000"/>
                <w:kern w:val="0"/>
                <w:sz w:val="24"/>
                <w:szCs w:val="24"/>
                <w:u w:val="none"/>
                <w:lang w:val="en-US" w:eastAsia="zh-CN" w:bidi="ar"/>
              </w:rPr>
              <w:t>九</w:t>
            </w:r>
            <w:r>
              <w:rPr>
                <w:rFonts w:hint="eastAsia" w:ascii="Times New Roman" w:hAnsi="Times New Roman" w:eastAsia="仿宋_GB2312" w:cs="Times New Roman"/>
                <w:i w:val="0"/>
                <w:iCs w:val="0"/>
                <w:color w:val="000000"/>
                <w:kern w:val="0"/>
                <w:sz w:val="24"/>
                <w:szCs w:val="24"/>
                <w:u w:val="none"/>
                <w:lang w:val="en-US" w:eastAsia="zh-CN" w:bidi="ar"/>
              </w:rPr>
              <w:t>、债务发行费用支出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126</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122</w:t>
            </w:r>
          </w:p>
        </w:tc>
        <w:tc>
          <w:tcPr>
            <w:tcW w:w="1042"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1.地方政府专项债务发行费用支出</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126</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122</w:t>
            </w:r>
          </w:p>
        </w:tc>
        <w:tc>
          <w:tcPr>
            <w:tcW w:w="1042"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1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254"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284,018 </w:t>
            </w:r>
          </w:p>
        </w:tc>
        <w:tc>
          <w:tcPr>
            <w:tcW w:w="1221"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222,000 </w:t>
            </w:r>
          </w:p>
        </w:tc>
        <w:tc>
          <w:tcPr>
            <w:tcW w:w="1042"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 xml:space="preserve">-21.8 </w:t>
            </w:r>
          </w:p>
        </w:tc>
      </w:tr>
    </w:tbl>
    <w:p>
      <w:pPr>
        <w:pStyle w:val="2"/>
        <w:spacing w:line="400" w:lineRule="exact"/>
        <w:ind w:firstLine="480" w:firstLineChars="200"/>
        <w:jc w:val="left"/>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注：2025年支出预计数包括本级政府性基金收入、上年结转、专项债券、省市转移支付补助资金等。</w:t>
      </w:r>
    </w:p>
    <w:p>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五</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pPr>
        <w:pStyle w:val="2"/>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2025年德化县国有资本经营预算收支情况表</w:t>
      </w:r>
    </w:p>
    <w:p>
      <w:pPr>
        <w:pStyle w:val="2"/>
        <w:spacing w:line="560" w:lineRule="exact"/>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287"/>
        <w:gridCol w:w="1532"/>
        <w:gridCol w:w="3287"/>
        <w:gridCol w:w="1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exac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Times New Roman"/>
                <w:i w:val="0"/>
                <w:iCs w:val="0"/>
                <w:color w:val="000000"/>
                <w:kern w:val="0"/>
                <w:sz w:val="24"/>
                <w:szCs w:val="24"/>
                <w:u w:val="none"/>
                <w:lang w:val="en-US" w:eastAsia="zh-CN" w:bidi="ar"/>
              </w:rPr>
              <w:t>年</w:t>
            </w:r>
          </w:p>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收入预计数</w:t>
            </w:r>
          </w:p>
        </w:tc>
        <w:tc>
          <w:tcPr>
            <w:tcW w:w="328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Times New Roman"/>
                <w:i w:val="0"/>
                <w:iCs w:val="0"/>
                <w:color w:val="000000"/>
                <w:kern w:val="0"/>
                <w:sz w:val="24"/>
                <w:szCs w:val="24"/>
                <w:u w:val="none"/>
                <w:lang w:val="en-US" w:eastAsia="zh-CN" w:bidi="ar"/>
              </w:rPr>
              <w:t>年</w:t>
            </w:r>
          </w:p>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支出预计数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一、国有资本经营预算收入</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574</w:t>
            </w:r>
          </w:p>
        </w:tc>
        <w:tc>
          <w:tcPr>
            <w:tcW w:w="3287"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一、国有资本经营预算支出</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运输企业利润收入</w:t>
            </w: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解决历史遗留问题及改革成本支出</w:t>
            </w: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建筑施工企业利润收入</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114</w:t>
            </w:r>
          </w:p>
        </w:tc>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国有企业资本金注入</w:t>
            </w: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贸易企业利润收入</w:t>
            </w: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其他国有资本经营预算支出（项级）</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房地产企业利润收入</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170</w:t>
            </w:r>
          </w:p>
        </w:tc>
        <w:tc>
          <w:tcPr>
            <w:tcW w:w="3287"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二、转移性支出</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kern w:val="0"/>
                <w:sz w:val="24"/>
                <w:szCs w:val="24"/>
                <w:u w:val="none"/>
                <w:lang w:val="en-US" w:eastAsia="zh-CN" w:bidi="ar"/>
              </w:rPr>
              <w:t>投资服务企业利润收入</w:t>
            </w: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国有资本经营预算调出资金</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Times New Roman" w:hAnsi="Times New Roman" w:eastAsia="仿宋_GB2312" w:cs="Times New Roman"/>
                <w:i w:val="0"/>
                <w:iCs w:val="0"/>
                <w:color w:val="000000"/>
                <w:kern w:val="0"/>
                <w:sz w:val="24"/>
                <w:szCs w:val="24"/>
                <w:u w:val="none"/>
                <w:lang w:val="en-US" w:eastAsia="zh-CN" w:bidi="ar"/>
              </w:rPr>
              <w:t>其他国有资本经营预算企业利润收入</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290</w:t>
            </w:r>
          </w:p>
        </w:tc>
        <w:tc>
          <w:tcPr>
            <w:tcW w:w="3287" w:type="dxa"/>
            <w:tcBorders>
              <w:tl2br w:val="nil"/>
              <w:tr2bl w:val="nil"/>
            </w:tcBorders>
            <w:shd w:val="clear" w:color="auto" w:fill="auto"/>
            <w:vAlign w:val="bottom"/>
          </w:tcPr>
          <w:p>
            <w:pPr>
              <w:jc w:val="left"/>
              <w:rPr>
                <w:rFonts w:hint="default" w:ascii="Times New Roman" w:hAnsi="Times New Roman" w:cs="Times New Roman"/>
                <w:i w:val="0"/>
                <w:iCs w:val="0"/>
                <w:color w:val="000000"/>
                <w:sz w:val="24"/>
                <w:szCs w:val="24"/>
                <w:u w:val="none"/>
              </w:rPr>
            </w:pPr>
          </w:p>
        </w:tc>
        <w:tc>
          <w:tcPr>
            <w:tcW w:w="1532" w:type="dxa"/>
            <w:tcBorders>
              <w:tl2br w:val="nil"/>
              <w:tr2bl w:val="nil"/>
            </w:tcBorders>
            <w:shd w:val="clear" w:color="auto" w:fill="auto"/>
            <w:vAlign w:val="bottom"/>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Times New Roman" w:hAnsi="Times New Roman" w:eastAsia="仿宋_GB2312" w:cs="Times New Roman"/>
                <w:i w:val="0"/>
                <w:iCs w:val="0"/>
                <w:color w:val="000000"/>
                <w:kern w:val="0"/>
                <w:sz w:val="24"/>
                <w:szCs w:val="24"/>
                <w:u w:val="none"/>
                <w:lang w:val="en-US" w:eastAsia="zh-CN" w:bidi="ar"/>
              </w:rPr>
              <w:t>股利、利息收入</w:t>
            </w: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3287" w:type="dxa"/>
            <w:tcBorders>
              <w:tl2br w:val="nil"/>
              <w:tr2bl w:val="nil"/>
            </w:tcBorders>
            <w:shd w:val="clear" w:color="auto" w:fill="auto"/>
            <w:vAlign w:val="bottom"/>
          </w:tcPr>
          <w:p>
            <w:pPr>
              <w:jc w:val="left"/>
              <w:rPr>
                <w:rFonts w:hint="default" w:ascii="Times New Roman" w:hAnsi="Times New Roman" w:cs="Times New Roman"/>
                <w:i w:val="0"/>
                <w:iCs w:val="0"/>
                <w:color w:val="000000"/>
                <w:sz w:val="24"/>
                <w:szCs w:val="24"/>
                <w:u w:val="none"/>
              </w:rPr>
            </w:pPr>
          </w:p>
        </w:tc>
        <w:tc>
          <w:tcPr>
            <w:tcW w:w="1532" w:type="dxa"/>
            <w:tcBorders>
              <w:tl2br w:val="nil"/>
              <w:tr2bl w:val="nil"/>
            </w:tcBorders>
            <w:shd w:val="clear" w:color="auto" w:fill="auto"/>
            <w:vAlign w:val="bottom"/>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r>
              <w:rPr>
                <w:rFonts w:hint="eastAsia" w:ascii="Times New Roman" w:hAnsi="Times New Roman" w:eastAsia="仿宋_GB2312" w:cs="Times New Roman"/>
                <w:i w:val="0"/>
                <w:iCs w:val="0"/>
                <w:color w:val="000000"/>
                <w:kern w:val="0"/>
                <w:sz w:val="24"/>
                <w:szCs w:val="24"/>
                <w:u w:val="none"/>
                <w:lang w:val="en-US" w:eastAsia="zh-CN" w:bidi="ar"/>
              </w:rPr>
              <w:t>转移支付收入</w:t>
            </w: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3287" w:type="dxa"/>
            <w:tcBorders>
              <w:tl2br w:val="nil"/>
              <w:tr2bl w:val="nil"/>
            </w:tcBorders>
            <w:shd w:val="clear" w:color="auto" w:fill="auto"/>
            <w:vAlign w:val="bottom"/>
          </w:tcPr>
          <w:p>
            <w:pPr>
              <w:jc w:val="center"/>
              <w:rPr>
                <w:rFonts w:hint="default" w:ascii="Times New Roman" w:hAnsi="Times New Roman" w:cs="Times New Roman"/>
                <w:i w:val="0"/>
                <w:iCs w:val="0"/>
                <w:color w:val="000000"/>
                <w:sz w:val="24"/>
                <w:szCs w:val="24"/>
                <w:u w:val="none"/>
              </w:rPr>
            </w:pPr>
          </w:p>
        </w:tc>
        <w:tc>
          <w:tcPr>
            <w:tcW w:w="1532" w:type="dxa"/>
            <w:tcBorders>
              <w:tl2br w:val="nil"/>
              <w:tr2bl w:val="nil"/>
            </w:tcBorders>
            <w:shd w:val="clear" w:color="auto" w:fill="auto"/>
            <w:vAlign w:val="bottom"/>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二、上年结余</w:t>
            </w: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3287"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574</w:t>
            </w:r>
          </w:p>
        </w:tc>
        <w:tc>
          <w:tcPr>
            <w:tcW w:w="328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574</w:t>
            </w:r>
          </w:p>
        </w:tc>
      </w:tr>
    </w:tbl>
    <w:p>
      <w:pPr>
        <w:pStyle w:val="2"/>
        <w:spacing w:line="560" w:lineRule="exact"/>
        <w:jc w:val="right"/>
        <w:rPr>
          <w:rFonts w:hint="eastAsia" w:ascii="仿宋_GB2312" w:hAnsi="仿宋_GB2312" w:eastAsia="仿宋_GB2312" w:cs="仿宋_GB2312"/>
          <w:color w:val="000000"/>
          <w:sz w:val="24"/>
          <w:szCs w:val="24"/>
        </w:rPr>
      </w:pPr>
    </w:p>
    <w:p>
      <w:pPr>
        <w:pStyle w:val="2"/>
        <w:spacing w:line="560" w:lineRule="exact"/>
        <w:jc w:val="right"/>
        <w:rPr>
          <w:rFonts w:hint="eastAsia" w:ascii="仿宋_GB2312" w:hAnsi="仿宋_GB2312" w:eastAsia="仿宋_GB2312" w:cs="仿宋_GB2312"/>
          <w:color w:val="000000"/>
          <w:sz w:val="24"/>
          <w:szCs w:val="24"/>
        </w:rPr>
      </w:pPr>
    </w:p>
    <w:p>
      <w:pPr>
        <w:pStyle w:val="2"/>
        <w:spacing w:line="560" w:lineRule="exact"/>
        <w:jc w:val="right"/>
        <w:rPr>
          <w:rFonts w:hint="eastAsia" w:ascii="仿宋_GB2312" w:hAnsi="仿宋_GB2312" w:eastAsia="仿宋_GB2312" w:cs="仿宋_GB2312"/>
          <w:color w:val="000000"/>
          <w:sz w:val="24"/>
          <w:szCs w:val="24"/>
        </w:rPr>
      </w:pPr>
    </w:p>
    <w:p>
      <w:pPr>
        <w:pStyle w:val="2"/>
        <w:spacing w:line="560" w:lineRule="exact"/>
        <w:jc w:val="right"/>
        <w:rPr>
          <w:rFonts w:hint="eastAsia" w:ascii="仿宋_GB2312" w:hAnsi="仿宋_GB2312" w:eastAsia="仿宋_GB2312" w:cs="仿宋_GB2312"/>
          <w:color w:val="000000"/>
          <w:sz w:val="24"/>
          <w:szCs w:val="24"/>
        </w:rPr>
      </w:pPr>
    </w:p>
    <w:p>
      <w:pPr>
        <w:pStyle w:val="2"/>
        <w:spacing w:line="560" w:lineRule="exact"/>
        <w:jc w:val="right"/>
        <w:rPr>
          <w:rFonts w:hint="eastAsia" w:ascii="仿宋_GB2312" w:hAnsi="仿宋_GB2312" w:eastAsia="仿宋_GB2312" w:cs="仿宋_GB2312"/>
          <w:color w:val="000000"/>
          <w:sz w:val="24"/>
          <w:szCs w:val="24"/>
        </w:rPr>
      </w:pPr>
    </w:p>
    <w:p>
      <w:pPr>
        <w:pStyle w:val="2"/>
        <w:spacing w:line="560" w:lineRule="exact"/>
        <w:jc w:val="right"/>
        <w:rPr>
          <w:rFonts w:hint="eastAsia" w:ascii="仿宋_GB2312" w:hAnsi="仿宋_GB2312" w:eastAsia="仿宋_GB2312" w:cs="仿宋_GB2312"/>
          <w:color w:val="000000"/>
          <w:sz w:val="24"/>
          <w:szCs w:val="24"/>
        </w:rPr>
      </w:pPr>
    </w:p>
    <w:p>
      <w:pPr>
        <w:pStyle w:val="2"/>
        <w:spacing w:line="560" w:lineRule="exact"/>
        <w:jc w:val="right"/>
        <w:rPr>
          <w:rFonts w:hint="eastAsia" w:ascii="仿宋_GB2312" w:hAnsi="仿宋_GB2312" w:eastAsia="仿宋_GB2312" w:cs="仿宋_GB2312"/>
          <w:color w:val="000000"/>
          <w:sz w:val="24"/>
          <w:szCs w:val="24"/>
        </w:rPr>
      </w:pPr>
    </w:p>
    <w:p>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六</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pPr>
        <w:pStyle w:val="2"/>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2025年德化县社会保险基金预算收支情况表</w:t>
      </w:r>
    </w:p>
    <w:p>
      <w:pPr>
        <w:pStyle w:val="2"/>
        <w:spacing w:line="560" w:lineRule="exact"/>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264"/>
        <w:gridCol w:w="1555"/>
        <w:gridCol w:w="3264"/>
        <w:gridCol w:w="1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907" w:hRule="exact"/>
        </w:trPr>
        <w:tc>
          <w:tcPr>
            <w:tcW w:w="326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仿宋_GB2312"/>
                <w:i w:val="0"/>
                <w:iCs w:val="0"/>
                <w:color w:val="000000"/>
                <w:kern w:val="0"/>
                <w:sz w:val="24"/>
                <w:szCs w:val="24"/>
                <w:u w:val="none"/>
                <w:lang w:val="en-US" w:eastAsia="zh-CN" w:bidi="ar"/>
              </w:rPr>
              <w:t>目</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仿宋_GB2312"/>
                <w:i w:val="0"/>
                <w:iCs w:val="0"/>
                <w:color w:val="000000"/>
                <w:kern w:val="0"/>
                <w:sz w:val="24"/>
                <w:szCs w:val="24"/>
                <w:u w:val="none"/>
                <w:lang w:val="en-US" w:eastAsia="zh-CN" w:bidi="ar"/>
              </w:rPr>
              <w:t>年</w:t>
            </w:r>
          </w:p>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收入预计数</w:t>
            </w:r>
          </w:p>
        </w:tc>
        <w:tc>
          <w:tcPr>
            <w:tcW w:w="326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仿宋_GB2312"/>
                <w:i w:val="0"/>
                <w:iCs w:val="0"/>
                <w:color w:val="000000"/>
                <w:kern w:val="0"/>
                <w:sz w:val="24"/>
                <w:szCs w:val="24"/>
                <w:u w:val="none"/>
                <w:lang w:val="en-US" w:eastAsia="zh-CN" w:bidi="ar"/>
              </w:rPr>
              <w:t>目</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仿宋_GB2312"/>
                <w:i w:val="0"/>
                <w:iCs w:val="0"/>
                <w:color w:val="000000"/>
                <w:kern w:val="0"/>
                <w:sz w:val="24"/>
                <w:szCs w:val="24"/>
                <w:u w:val="none"/>
                <w:lang w:val="en-US" w:eastAsia="zh-CN" w:bidi="ar"/>
              </w:rPr>
              <w:t>年</w:t>
            </w:r>
          </w:p>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支出预计数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5" w:hRule="atLeast"/>
        </w:trPr>
        <w:tc>
          <w:tcPr>
            <w:tcW w:w="3264"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一、城乡居民基本养老保险基金收入</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14,735</w:t>
            </w:r>
          </w:p>
        </w:tc>
        <w:tc>
          <w:tcPr>
            <w:tcW w:w="3264"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一、城乡居民基本养老保险基金支出</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11,954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1.城乡居民基本养老保险基金缴费收入</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1,840</w:t>
            </w:r>
          </w:p>
        </w:tc>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1.基础养老金支出</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80" w:hRule="atLeast"/>
        </w:trPr>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2.城乡居民基本养老保险基金财政补贴收入</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11,662</w:t>
            </w:r>
          </w:p>
        </w:tc>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2.个人账户养老金支出</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3.城乡居民基本养老保险基金利息收入</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725</w:t>
            </w:r>
          </w:p>
        </w:tc>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3.丧葬抚恤补助支出</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4.其他城乡居民基本养老保险基金收入</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4.其他城乡居民基本养老保险基金支出</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5.委托投资收益</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492</w:t>
            </w:r>
          </w:p>
        </w:tc>
        <w:tc>
          <w:tcPr>
            <w:tcW w:w="3264" w:type="dxa"/>
            <w:tcBorders>
              <w:tl2br w:val="nil"/>
              <w:tr2bl w:val="nil"/>
            </w:tcBorders>
            <w:shd w:val="clear" w:color="auto" w:fill="auto"/>
            <w:vAlign w:val="center"/>
          </w:tcPr>
          <w:p>
            <w:pPr>
              <w:jc w:val="left"/>
              <w:rPr>
                <w:rFonts w:hint="eastAsia" w:ascii="Times New Roman" w:hAnsi="Times New Roman" w:eastAsia="仿宋_GB2312" w:cs="仿宋_GB2312"/>
                <w:i w:val="0"/>
                <w:iCs w:val="0"/>
                <w:color w:val="000000"/>
                <w:sz w:val="24"/>
                <w:szCs w:val="24"/>
                <w:u w:val="none"/>
              </w:rPr>
            </w:pPr>
          </w:p>
        </w:tc>
        <w:tc>
          <w:tcPr>
            <w:tcW w:w="1555"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3264"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二、机关事业单位基本养老保险基金收入</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26,073</w:t>
            </w:r>
          </w:p>
        </w:tc>
        <w:tc>
          <w:tcPr>
            <w:tcW w:w="3264"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二、机关事业单位基本养老保险基金支出</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1.机关事业单位基本养老保险费收入</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20,554</w:t>
            </w:r>
          </w:p>
        </w:tc>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1.基本养老金支出</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2.机关事业单位基本养老保险基金财政补助收入</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5,500</w:t>
            </w:r>
          </w:p>
        </w:tc>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2.其他机关事业单位基本养老保险基金支出</w:t>
            </w:r>
          </w:p>
        </w:tc>
        <w:tc>
          <w:tcPr>
            <w:tcW w:w="1555"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3.机关事业单位基本养老保险基金利息收入</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3264"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仿宋_GB2312"/>
                <w:i w:val="0"/>
                <w:iCs w:val="0"/>
                <w:color w:val="000000"/>
                <w:sz w:val="24"/>
                <w:szCs w:val="24"/>
                <w:u w:val="none"/>
              </w:rPr>
            </w:pPr>
          </w:p>
        </w:tc>
        <w:tc>
          <w:tcPr>
            <w:tcW w:w="1555"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4.其他机关事业单位基本养老保险基金收入</w:t>
            </w:r>
          </w:p>
        </w:tc>
        <w:tc>
          <w:tcPr>
            <w:tcW w:w="1555"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3264" w:type="dxa"/>
            <w:tcBorders>
              <w:tl2br w:val="nil"/>
              <w:tr2bl w:val="nil"/>
            </w:tcBorders>
            <w:shd w:val="clear" w:color="auto" w:fill="auto"/>
            <w:vAlign w:val="center"/>
          </w:tcPr>
          <w:p>
            <w:pPr>
              <w:rPr>
                <w:rFonts w:hint="eastAsia" w:ascii="Times New Roman" w:hAnsi="Times New Roman" w:eastAsia="仿宋_GB2312" w:cs="仿宋_GB2312"/>
                <w:i w:val="0"/>
                <w:iCs w:val="0"/>
                <w:color w:val="000000"/>
                <w:sz w:val="24"/>
                <w:szCs w:val="24"/>
                <w:u w:val="none"/>
              </w:rPr>
            </w:pPr>
          </w:p>
        </w:tc>
        <w:tc>
          <w:tcPr>
            <w:tcW w:w="1555"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326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合计</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40,808</w:t>
            </w:r>
          </w:p>
        </w:tc>
        <w:tc>
          <w:tcPr>
            <w:tcW w:w="326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合计</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36,461</w:t>
            </w:r>
          </w:p>
        </w:tc>
      </w:tr>
    </w:tbl>
    <w:p>
      <w:pPr>
        <w:pStyle w:val="2"/>
        <w:spacing w:line="560" w:lineRule="exact"/>
        <w:jc w:val="right"/>
        <w:rPr>
          <w:rFonts w:hint="eastAsia" w:ascii="仿宋_GB2312" w:hAnsi="仿宋_GB2312" w:eastAsia="仿宋_GB2312" w:cs="仿宋_GB2312"/>
          <w:color w:val="000000"/>
          <w:sz w:val="24"/>
          <w:szCs w:val="24"/>
        </w:rPr>
      </w:pPr>
    </w:p>
    <w:p>
      <w:pPr>
        <w:adjustRightInd/>
        <w:snapToGrid/>
        <w:spacing w:line="560" w:lineRule="exact"/>
        <w:ind w:firstLine="0" w:firstLineChars="0"/>
        <w:jc w:val="left"/>
        <w:rPr>
          <w:rFonts w:hint="eastAsia" w:ascii="仿宋_GB2312" w:hAnsi="仿宋_GB2312" w:eastAsia="仿宋_GB2312" w:cs="仿宋_GB2312"/>
          <w:color w:val="000000"/>
          <w:sz w:val="24"/>
          <w:szCs w:val="24"/>
        </w:rPr>
      </w:pPr>
    </w:p>
    <w:p>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七</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pPr>
        <w:pStyle w:val="2"/>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2026年德化县一般公共预算收入计划表</w:t>
      </w:r>
    </w:p>
    <w:p>
      <w:pPr>
        <w:pStyle w:val="2"/>
        <w:spacing w:line="560" w:lineRule="exact"/>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141"/>
        <w:gridCol w:w="1783"/>
        <w:gridCol w:w="1357"/>
        <w:gridCol w:w="13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54" w:hRule="exact"/>
          <w:jc w:val="center"/>
        </w:trPr>
        <w:tc>
          <w:tcPr>
            <w:tcW w:w="5141" w:type="dxa"/>
            <w:vMerge w:val="restart"/>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783" w:type="dxa"/>
            <w:vMerge w:val="restart"/>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Times New Roman"/>
                <w:i w:val="0"/>
                <w:iCs w:val="0"/>
                <w:color w:val="000000"/>
                <w:kern w:val="0"/>
                <w:sz w:val="24"/>
                <w:szCs w:val="24"/>
                <w:u w:val="none"/>
                <w:lang w:val="en-US" w:eastAsia="zh-CN" w:bidi="ar"/>
              </w:rPr>
              <w:t>年</w:t>
            </w:r>
          </w:p>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收入预计数</w:t>
            </w:r>
          </w:p>
        </w:tc>
        <w:tc>
          <w:tcPr>
            <w:tcW w:w="2714" w:type="dxa"/>
            <w:gridSpan w:val="2"/>
            <w:tcBorders>
              <w:tl2br w:val="nil"/>
              <w:tr2bl w:val="nil"/>
            </w:tcBorders>
            <w:shd w:val="clear" w:color="auto" w:fill="auto"/>
            <w:noWrap/>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2026</w:t>
            </w:r>
            <w:r>
              <w:rPr>
                <w:rFonts w:hint="eastAsia" w:ascii="Times New Roman" w:hAnsi="Times New Roman" w:eastAsia="仿宋_GB2312" w:cs="Times New Roman"/>
                <w:i w:val="0"/>
                <w:iCs w:val="0"/>
                <w:color w:val="000000"/>
                <w:kern w:val="0"/>
                <w:sz w:val="24"/>
                <w:szCs w:val="24"/>
                <w:u w:val="none"/>
                <w:lang w:val="en-US" w:eastAsia="zh-CN" w:bidi="ar"/>
              </w:rPr>
              <w:t>年收入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5141" w:type="dxa"/>
            <w:vMerge w:val="continue"/>
            <w:tcBorders>
              <w:tl2br w:val="nil"/>
              <w:tr2bl w:val="nil"/>
            </w:tcBorders>
            <w:shd w:val="clear" w:color="auto" w:fill="auto"/>
            <w:vAlign w:val="center"/>
          </w:tcPr>
          <w:p>
            <w:pPr>
              <w:jc w:val="center"/>
              <w:rPr>
                <w:rFonts w:hint="eastAsia" w:ascii="Times New Roman" w:hAnsi="Times New Roman" w:eastAsia="仿宋_GB2312" w:cs="Times New Roman"/>
                <w:i w:val="0"/>
                <w:iCs w:val="0"/>
                <w:color w:val="000000"/>
                <w:sz w:val="24"/>
                <w:szCs w:val="24"/>
                <w:u w:val="none"/>
              </w:rPr>
            </w:pPr>
          </w:p>
        </w:tc>
        <w:tc>
          <w:tcPr>
            <w:tcW w:w="1783" w:type="dxa"/>
            <w:vMerge w:val="continue"/>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预算数</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增长</w:t>
            </w: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noWrap/>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一、一般公共预算收入</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196,943</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201,800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（一）税收收入</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108,134</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113,600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增值税</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49,675</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51,900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企业所得税</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13,659</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13,800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个人所得税</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3,940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3,970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资源税</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1,970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2,250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kern w:val="0"/>
                <w:sz w:val="24"/>
                <w:szCs w:val="24"/>
                <w:u w:val="none"/>
                <w:lang w:val="en-US" w:eastAsia="zh-CN" w:bidi="ar"/>
              </w:rPr>
              <w:t>城市维护建设税</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3,707</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4,000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Times New Roman" w:hAnsi="Times New Roman" w:eastAsia="仿宋_GB2312" w:cs="Times New Roman"/>
                <w:i w:val="0"/>
                <w:iCs w:val="0"/>
                <w:color w:val="000000"/>
                <w:kern w:val="0"/>
                <w:sz w:val="24"/>
                <w:szCs w:val="24"/>
                <w:u w:val="none"/>
                <w:lang w:val="en-US" w:eastAsia="zh-CN" w:bidi="ar"/>
              </w:rPr>
              <w:t>房产税</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7,580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8,000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Times New Roman" w:hAnsi="Times New Roman" w:eastAsia="仿宋_GB2312" w:cs="Times New Roman"/>
                <w:i w:val="0"/>
                <w:iCs w:val="0"/>
                <w:color w:val="000000"/>
                <w:kern w:val="0"/>
                <w:sz w:val="24"/>
                <w:szCs w:val="24"/>
                <w:u w:val="none"/>
                <w:lang w:val="en-US" w:eastAsia="zh-CN" w:bidi="ar"/>
              </w:rPr>
              <w:t>印花税</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1,635</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1,850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r>
              <w:rPr>
                <w:rFonts w:hint="eastAsia" w:ascii="Times New Roman" w:hAnsi="Times New Roman" w:eastAsia="仿宋_GB2312" w:cs="Times New Roman"/>
                <w:i w:val="0"/>
                <w:iCs w:val="0"/>
                <w:color w:val="000000"/>
                <w:kern w:val="0"/>
                <w:sz w:val="24"/>
                <w:szCs w:val="24"/>
                <w:u w:val="none"/>
                <w:lang w:val="en-US" w:eastAsia="zh-CN" w:bidi="ar"/>
              </w:rPr>
              <w:t>城镇土地使用税</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2,620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2,750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r>
              <w:rPr>
                <w:rFonts w:hint="eastAsia" w:ascii="Times New Roman" w:hAnsi="Times New Roman" w:eastAsia="仿宋_GB2312" w:cs="Times New Roman"/>
                <w:i w:val="0"/>
                <w:iCs w:val="0"/>
                <w:color w:val="000000"/>
                <w:kern w:val="0"/>
                <w:sz w:val="24"/>
                <w:szCs w:val="24"/>
                <w:u w:val="none"/>
                <w:lang w:val="en-US" w:eastAsia="zh-CN" w:bidi="ar"/>
              </w:rPr>
              <w:t>土地增值税</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7,800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8,500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r>
              <w:rPr>
                <w:rFonts w:hint="eastAsia" w:ascii="Times New Roman" w:hAnsi="Times New Roman" w:eastAsia="仿宋_GB2312" w:cs="Times New Roman"/>
                <w:i w:val="0"/>
                <w:iCs w:val="0"/>
                <w:color w:val="000000"/>
                <w:kern w:val="0"/>
                <w:sz w:val="24"/>
                <w:szCs w:val="24"/>
                <w:u w:val="none"/>
                <w:lang w:val="en-US" w:eastAsia="zh-CN" w:bidi="ar"/>
              </w:rPr>
              <w:t>车船税</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1,903</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2,100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r>
              <w:rPr>
                <w:rFonts w:hint="eastAsia" w:ascii="Times New Roman" w:hAnsi="Times New Roman" w:eastAsia="仿宋_GB2312" w:cs="Times New Roman"/>
                <w:i w:val="0"/>
                <w:iCs w:val="0"/>
                <w:color w:val="000000"/>
                <w:kern w:val="0"/>
                <w:sz w:val="24"/>
                <w:szCs w:val="24"/>
                <w:u w:val="none"/>
                <w:lang w:val="en-US" w:eastAsia="zh-CN" w:bidi="ar"/>
              </w:rPr>
              <w:t>耕地占用税</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5,660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5,819</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r>
              <w:rPr>
                <w:rFonts w:hint="eastAsia" w:ascii="Times New Roman" w:hAnsi="Times New Roman" w:eastAsia="仿宋_GB2312" w:cs="Times New Roman"/>
                <w:i w:val="0"/>
                <w:iCs w:val="0"/>
                <w:color w:val="000000"/>
                <w:kern w:val="0"/>
                <w:sz w:val="24"/>
                <w:szCs w:val="24"/>
                <w:u w:val="none"/>
                <w:lang w:val="en-US" w:eastAsia="zh-CN" w:bidi="ar"/>
              </w:rPr>
              <w:t>契税</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7,851</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8,500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r>
              <w:rPr>
                <w:rFonts w:hint="eastAsia" w:ascii="Times New Roman" w:hAnsi="Times New Roman" w:eastAsia="仿宋_GB2312" w:cs="Times New Roman"/>
                <w:i w:val="0"/>
                <w:iCs w:val="0"/>
                <w:color w:val="000000"/>
                <w:kern w:val="0"/>
                <w:sz w:val="24"/>
                <w:szCs w:val="24"/>
                <w:u w:val="none"/>
                <w:lang w:val="en-US" w:eastAsia="zh-CN" w:bidi="ar"/>
              </w:rPr>
              <w:t>环境保护税</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133</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r>
              <w:rPr>
                <w:rFonts w:hint="eastAsia" w:ascii="Times New Roman" w:hAnsi="Times New Roman" w:eastAsia="仿宋_GB2312" w:cs="Times New Roman"/>
                <w:i w:val="0"/>
                <w:iCs w:val="0"/>
                <w:color w:val="000000"/>
                <w:kern w:val="0"/>
                <w:sz w:val="24"/>
                <w:szCs w:val="24"/>
                <w:u w:val="none"/>
                <w:lang w:val="en-US" w:eastAsia="zh-CN" w:bidi="ar"/>
              </w:rPr>
              <w:t>其他税收收入</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（二）非税收入</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88,809</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88,200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专项收入</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9,186</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9,100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行政事业性收费收入</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4,146</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4,400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罚没收入</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19,553</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17,500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国有资本经营收入</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noWrap/>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kern w:val="0"/>
                <w:sz w:val="24"/>
                <w:szCs w:val="24"/>
                <w:u w:val="none"/>
                <w:lang w:val="en-US" w:eastAsia="zh-CN" w:bidi="ar"/>
              </w:rPr>
              <w:t>国有资源（资产）有偿使用收入</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55,781</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57,000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Times New Roman" w:hAnsi="Times New Roman" w:eastAsia="仿宋_GB2312" w:cs="Times New Roman"/>
                <w:i w:val="0"/>
                <w:iCs w:val="0"/>
                <w:color w:val="000000"/>
                <w:kern w:val="0"/>
                <w:sz w:val="24"/>
                <w:szCs w:val="24"/>
                <w:u w:val="none"/>
                <w:lang w:val="en-US" w:eastAsia="zh-CN" w:bidi="ar"/>
              </w:rPr>
              <w:t>政府住房基金收入</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106</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Times New Roman" w:hAnsi="Times New Roman" w:eastAsia="仿宋_GB2312" w:cs="Times New Roman"/>
                <w:i w:val="0"/>
                <w:iCs w:val="0"/>
                <w:color w:val="000000"/>
                <w:kern w:val="0"/>
                <w:sz w:val="24"/>
                <w:szCs w:val="24"/>
                <w:u w:val="none"/>
                <w:lang w:val="en-US" w:eastAsia="zh-CN" w:bidi="ar"/>
              </w:rPr>
              <w:t>其他收入</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noWrap/>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二、上划中央收入</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78,489</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80,505</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noWrap/>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增值税</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49,675</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51,900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noWrap/>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消费税</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135</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noWrap/>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车辆购置税</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2,280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1,900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noWrap/>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企业所得税</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20,489</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20,700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noWrap/>
            <w:vAlign w:val="center"/>
          </w:tcPr>
          <w:p>
            <w:pPr>
              <w:keepNext w:val="0"/>
              <w:keepLines w:val="0"/>
              <w:widowControl w:val="0"/>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kern w:val="0"/>
                <w:sz w:val="24"/>
                <w:szCs w:val="24"/>
                <w:u w:val="none"/>
                <w:lang w:val="en-US" w:eastAsia="zh-CN" w:bidi="ar"/>
              </w:rPr>
              <w:t>个人所得税</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5,910</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5,955</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40" w:hRule="exact"/>
          <w:jc w:val="center"/>
        </w:trPr>
        <w:tc>
          <w:tcPr>
            <w:tcW w:w="5141" w:type="dxa"/>
            <w:tcBorders>
              <w:tl2br w:val="nil"/>
              <w:tr2bl w:val="nil"/>
            </w:tcBorders>
            <w:shd w:val="clear" w:color="auto" w:fill="auto"/>
            <w:noWrap/>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三、一般公共预算总收入</w:t>
            </w:r>
          </w:p>
        </w:tc>
        <w:tc>
          <w:tcPr>
            <w:tcW w:w="178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275,432</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282,305</w:t>
            </w:r>
          </w:p>
        </w:tc>
        <w:tc>
          <w:tcPr>
            <w:tcW w:w="135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r>
    </w:tbl>
    <w:p>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八</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pPr>
        <w:pStyle w:val="2"/>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2026年德化县一般公共预算支出计划表</w:t>
      </w:r>
    </w:p>
    <w:p>
      <w:pPr>
        <w:pStyle w:val="2"/>
        <w:spacing w:line="560" w:lineRule="exact"/>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069"/>
        <w:gridCol w:w="1803"/>
        <w:gridCol w:w="2154"/>
        <w:gridCol w:w="1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4069"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 科    目</w:t>
            </w:r>
          </w:p>
        </w:tc>
        <w:tc>
          <w:tcPr>
            <w:tcW w:w="1803"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2025</w:t>
            </w: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年</w:t>
            </w:r>
          </w:p>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预算基数</w:t>
            </w:r>
          </w:p>
        </w:tc>
        <w:tc>
          <w:tcPr>
            <w:tcW w:w="3766" w:type="dxa"/>
            <w:gridSpan w:val="2"/>
            <w:tcBorders>
              <w:tl2br w:val="nil"/>
              <w:tr2bl w:val="nil"/>
            </w:tcBorders>
            <w:shd w:val="clear" w:color="auto" w:fill="auto"/>
            <w:noWrap/>
            <w:vAlign w:val="center"/>
          </w:tcPr>
          <w:p>
            <w:pPr>
              <w:keepNext w:val="0"/>
              <w:keepLines w:val="0"/>
              <w:widowControl/>
              <w:suppressLineNumbers w:val="0"/>
              <w:spacing w:line="240" w:lineRule="auto"/>
              <w:jc w:val="center"/>
              <w:textAlignment w:val="center"/>
              <w:rPr>
                <w:rFonts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2026年支出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4069" w:type="dxa"/>
            <w:vMerge w:val="continue"/>
            <w:tcBorders>
              <w:tl2br w:val="nil"/>
              <w:tr2bl w:val="nil"/>
            </w:tcBorders>
            <w:shd w:val="clear" w:color="auto" w:fill="auto"/>
            <w:vAlign w:val="center"/>
          </w:tcPr>
          <w:p>
            <w:pPr>
              <w:jc w:val="center"/>
              <w:rPr>
                <w:rFonts w:hint="default" w:ascii="Times New Roman" w:hAnsi="Times New Roman" w:cs="Times New Roman"/>
                <w:i w:val="0"/>
                <w:iCs w:val="0"/>
                <w:color w:val="000000" w:themeColor="text1"/>
                <w:sz w:val="24"/>
                <w:szCs w:val="24"/>
                <w:u w:val="none"/>
                <w14:textFill>
                  <w14:solidFill>
                    <w14:schemeClr w14:val="tx1"/>
                  </w14:solidFill>
                </w14:textFill>
              </w:rPr>
            </w:pPr>
          </w:p>
        </w:tc>
        <w:tc>
          <w:tcPr>
            <w:tcW w:w="1803" w:type="dxa"/>
            <w:vMerge w:val="continue"/>
            <w:tcBorders>
              <w:tl2br w:val="nil"/>
              <w:tr2bl w:val="nil"/>
            </w:tcBorders>
            <w:shd w:val="clear" w:color="auto" w:fill="auto"/>
            <w:vAlign w:val="center"/>
          </w:tcPr>
          <w:p>
            <w:pPr>
              <w:jc w:val="center"/>
              <w:rPr>
                <w:rFonts w:hint="default" w:ascii="Times New Roman" w:hAnsi="Times New Roman" w:cs="Times New Roman"/>
                <w:i w:val="0"/>
                <w:iCs w:val="0"/>
                <w:color w:val="000000" w:themeColor="text1"/>
                <w:sz w:val="24"/>
                <w:szCs w:val="24"/>
                <w:u w:val="none"/>
                <w14:textFill>
                  <w14:solidFill>
                    <w14:schemeClr w14:val="tx1"/>
                  </w14:solidFill>
                </w14:textFill>
              </w:rPr>
            </w:pP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预算数</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增长</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一、一般公共服务支出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37,770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37,351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二、公共安全支出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22,560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20,117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三、教育支出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106,850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110,218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四、科学技术支出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5,454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5,836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五、文化旅游体育与传媒支出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18,589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17,862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六、社会保障和就业支出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30,210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33,359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七、卫生健康支出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20,689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23,877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15.4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八、节能环保支出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5,588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6,000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7.4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九、城乡社区支出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9,556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10,683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11.8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十、农林水支出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26,670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28,548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十一、交通运输支出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3,529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4,415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25.1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十二、资源勘探工业信息等支出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11,814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15,028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十三、商业服务业等支出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440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448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FFFFFF"/>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十四、援助其他地区支出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593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593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十五、自然资源海洋气象等支出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3,287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3,067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-6.7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十六、粮油物资储备支出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1,547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888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-42.6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十七、灾害防治及应急管理支出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2,779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3,106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11.8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十八、预备费</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3,500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4,000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十九、其他支出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13,000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13,500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二十、债务还本支出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8,817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7,500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-14.9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二十一、债务付息支出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11,300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10,823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二十二、债务发行费用支出</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190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220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15.8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14" w:hRule="exact"/>
          <w:jc w:val="center"/>
        </w:trPr>
        <w:tc>
          <w:tcPr>
            <w:tcW w:w="406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合计</w:t>
            </w:r>
          </w:p>
        </w:tc>
        <w:tc>
          <w:tcPr>
            <w:tcW w:w="1803"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344,732 </w:t>
            </w:r>
          </w:p>
        </w:tc>
        <w:tc>
          <w:tcPr>
            <w:tcW w:w="215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357,439 </w:t>
            </w:r>
          </w:p>
        </w:tc>
        <w:tc>
          <w:tcPr>
            <w:tcW w:w="161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3.7 </w:t>
            </w:r>
          </w:p>
        </w:tc>
      </w:tr>
    </w:tbl>
    <w:p>
      <w:pPr>
        <w:pStyle w:val="2"/>
        <w:spacing w:line="400" w:lineRule="exact"/>
        <w:ind w:firstLine="480" w:firstLineChars="200"/>
        <w:jc w:val="left"/>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注：2025年预算基数扣除农林水预留；2026 年支出预算数包括本级一般公共预算收入、动用预算稳定调节基金、调入资金、上级提前下达一般性转移支付和专项补助资金等。</w:t>
      </w:r>
    </w:p>
    <w:p>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九</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pPr>
        <w:pStyle w:val="2"/>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2026年德化县政府性基金预算收入计划表</w:t>
      </w:r>
    </w:p>
    <w:p>
      <w:pPr>
        <w:pStyle w:val="2"/>
        <w:spacing w:line="560" w:lineRule="exact"/>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563"/>
        <w:gridCol w:w="1459"/>
        <w:gridCol w:w="1449"/>
        <w:gridCol w:w="1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907" w:hRule="exact"/>
        </w:trPr>
        <w:tc>
          <w:tcPr>
            <w:tcW w:w="556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45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Times New Roman" w:hAnsi="Times New Roman" w:eastAsia="仿宋_GB2312" w:cs="Times New Roman"/>
                <w:i w:val="0"/>
                <w:iCs w:val="0"/>
                <w:color w:val="000000"/>
                <w:kern w:val="0"/>
                <w:sz w:val="24"/>
                <w:szCs w:val="24"/>
                <w:u w:val="none"/>
                <w:lang w:val="en-US" w:eastAsia="zh-CN" w:bidi="ar"/>
              </w:rPr>
              <w:t>年</w:t>
            </w:r>
          </w:p>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收入预计数</w:t>
            </w:r>
          </w:p>
        </w:tc>
        <w:tc>
          <w:tcPr>
            <w:tcW w:w="144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r>
              <w:rPr>
                <w:rFonts w:hint="eastAsia" w:ascii="Times New Roman" w:hAnsi="Times New Roman" w:eastAsia="仿宋_GB2312" w:cs="Times New Roman"/>
                <w:i w:val="0"/>
                <w:iCs w:val="0"/>
                <w:color w:val="000000"/>
                <w:kern w:val="0"/>
                <w:sz w:val="24"/>
                <w:szCs w:val="24"/>
                <w:u w:val="none"/>
                <w:lang w:val="en-US" w:eastAsia="zh-CN" w:bidi="ar"/>
              </w:rPr>
              <w:t>年</w:t>
            </w:r>
          </w:p>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收入预算数</w:t>
            </w:r>
          </w:p>
        </w:tc>
        <w:tc>
          <w:tcPr>
            <w:tcW w:w="116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增长</w:t>
            </w: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一、国有土地收益基金收入</w:t>
            </w:r>
          </w:p>
        </w:tc>
        <w:tc>
          <w:tcPr>
            <w:tcW w:w="1459" w:type="dxa"/>
            <w:tcBorders>
              <w:tl2br w:val="nil"/>
              <w:tr2bl w:val="nil"/>
            </w:tcBorders>
            <w:shd w:val="clear" w:color="auto" w:fill="auto"/>
            <w:noWrap/>
            <w:vAlign w:val="center"/>
          </w:tcPr>
          <w:p>
            <w:pPr>
              <w:jc w:val="left"/>
              <w:rPr>
                <w:rFonts w:hint="eastAsia" w:ascii="Times New Roman" w:hAnsi="Times New Roman" w:eastAsia="仿宋_GB2312" w:cs="Times New Roman"/>
                <w:i w:val="0"/>
                <w:iCs w:val="0"/>
                <w:color w:val="000000"/>
                <w:sz w:val="24"/>
                <w:szCs w:val="24"/>
                <w:u w:val="none"/>
              </w:rPr>
            </w:pPr>
          </w:p>
        </w:tc>
        <w:tc>
          <w:tcPr>
            <w:tcW w:w="1449"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167" w:type="dxa"/>
            <w:tcBorders>
              <w:tl2br w:val="nil"/>
              <w:tr2bl w:val="nil"/>
            </w:tcBorders>
            <w:shd w:val="clear" w:color="auto" w:fill="auto"/>
            <w:noWrap/>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二、农业土地开发资金收入</w:t>
            </w:r>
          </w:p>
        </w:tc>
        <w:tc>
          <w:tcPr>
            <w:tcW w:w="1459" w:type="dxa"/>
            <w:tcBorders>
              <w:tl2br w:val="nil"/>
              <w:tr2bl w:val="nil"/>
            </w:tcBorders>
            <w:shd w:val="clear" w:color="auto" w:fill="auto"/>
            <w:noWrap/>
            <w:vAlign w:val="center"/>
          </w:tcPr>
          <w:p>
            <w:pPr>
              <w:jc w:val="left"/>
              <w:rPr>
                <w:rFonts w:hint="eastAsia" w:ascii="Times New Roman" w:hAnsi="Times New Roman" w:eastAsia="仿宋_GB2312" w:cs="Times New Roman"/>
                <w:i w:val="0"/>
                <w:iCs w:val="0"/>
                <w:color w:val="000000"/>
                <w:sz w:val="24"/>
                <w:szCs w:val="24"/>
                <w:u w:val="none"/>
              </w:rPr>
            </w:pPr>
          </w:p>
        </w:tc>
        <w:tc>
          <w:tcPr>
            <w:tcW w:w="1449"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167" w:type="dxa"/>
            <w:tcBorders>
              <w:tl2br w:val="nil"/>
              <w:tr2bl w:val="nil"/>
            </w:tcBorders>
            <w:shd w:val="clear" w:color="auto" w:fill="auto"/>
            <w:noWrap/>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三、国有土地使用权出让收入</w:t>
            </w:r>
          </w:p>
        </w:tc>
        <w:tc>
          <w:tcPr>
            <w:tcW w:w="145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56,428</w:t>
            </w:r>
          </w:p>
        </w:tc>
        <w:tc>
          <w:tcPr>
            <w:tcW w:w="144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93,000</w:t>
            </w:r>
          </w:p>
        </w:tc>
        <w:tc>
          <w:tcPr>
            <w:tcW w:w="116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pPr>
              <w:keepNext w:val="0"/>
              <w:keepLines w:val="0"/>
              <w:widowControl w:val="0"/>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土地出让价款收入</w:t>
            </w:r>
          </w:p>
        </w:tc>
        <w:tc>
          <w:tcPr>
            <w:tcW w:w="145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38,138</w:t>
            </w:r>
          </w:p>
        </w:tc>
        <w:tc>
          <w:tcPr>
            <w:tcW w:w="144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90,000</w:t>
            </w:r>
          </w:p>
        </w:tc>
        <w:tc>
          <w:tcPr>
            <w:tcW w:w="116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pPr>
              <w:keepNext w:val="0"/>
              <w:keepLines w:val="0"/>
              <w:widowControl w:val="0"/>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其他土地出让收入</w:t>
            </w:r>
          </w:p>
        </w:tc>
        <w:tc>
          <w:tcPr>
            <w:tcW w:w="145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18,290</w:t>
            </w:r>
          </w:p>
        </w:tc>
        <w:tc>
          <w:tcPr>
            <w:tcW w:w="144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3,000</w:t>
            </w:r>
          </w:p>
        </w:tc>
        <w:tc>
          <w:tcPr>
            <w:tcW w:w="116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四、彩票公益金收入</w:t>
            </w:r>
          </w:p>
        </w:tc>
        <w:tc>
          <w:tcPr>
            <w:tcW w:w="145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674</w:t>
            </w:r>
          </w:p>
        </w:tc>
        <w:tc>
          <w:tcPr>
            <w:tcW w:w="144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680</w:t>
            </w:r>
          </w:p>
        </w:tc>
        <w:tc>
          <w:tcPr>
            <w:tcW w:w="116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pPr>
              <w:keepNext w:val="0"/>
              <w:keepLines w:val="0"/>
              <w:widowControl w:val="0"/>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福利彩票公益金收入</w:t>
            </w:r>
          </w:p>
        </w:tc>
        <w:tc>
          <w:tcPr>
            <w:tcW w:w="145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243</w:t>
            </w:r>
          </w:p>
        </w:tc>
        <w:tc>
          <w:tcPr>
            <w:tcW w:w="144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190</w:t>
            </w:r>
          </w:p>
        </w:tc>
        <w:tc>
          <w:tcPr>
            <w:tcW w:w="116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pPr>
              <w:keepNext w:val="0"/>
              <w:keepLines w:val="0"/>
              <w:widowControl w:val="0"/>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体育彩票公益金收入</w:t>
            </w:r>
          </w:p>
        </w:tc>
        <w:tc>
          <w:tcPr>
            <w:tcW w:w="145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431</w:t>
            </w:r>
          </w:p>
        </w:tc>
        <w:tc>
          <w:tcPr>
            <w:tcW w:w="144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490</w:t>
            </w:r>
          </w:p>
        </w:tc>
        <w:tc>
          <w:tcPr>
            <w:tcW w:w="116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五、城市基础设施配套费收入</w:t>
            </w:r>
          </w:p>
        </w:tc>
        <w:tc>
          <w:tcPr>
            <w:tcW w:w="145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5,000</w:t>
            </w:r>
          </w:p>
        </w:tc>
        <w:tc>
          <w:tcPr>
            <w:tcW w:w="144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5,000</w:t>
            </w:r>
          </w:p>
        </w:tc>
        <w:tc>
          <w:tcPr>
            <w:tcW w:w="1167"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六、污水处理费收入</w:t>
            </w:r>
          </w:p>
        </w:tc>
        <w:tc>
          <w:tcPr>
            <w:tcW w:w="145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1,600</w:t>
            </w:r>
          </w:p>
        </w:tc>
        <w:tc>
          <w:tcPr>
            <w:tcW w:w="144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1,800</w:t>
            </w:r>
          </w:p>
        </w:tc>
        <w:tc>
          <w:tcPr>
            <w:tcW w:w="116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七、其他政府性基金收入</w:t>
            </w:r>
          </w:p>
        </w:tc>
        <w:tc>
          <w:tcPr>
            <w:tcW w:w="1459"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449"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167"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noWrap/>
            <w:vAlign w:val="center"/>
          </w:tcPr>
          <w:p>
            <w:pPr>
              <w:keepNext w:val="0"/>
              <w:keepLines w:val="0"/>
              <w:widowControl w:val="0"/>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八、专项债券对应专项收入</w:t>
            </w:r>
          </w:p>
        </w:tc>
        <w:tc>
          <w:tcPr>
            <w:tcW w:w="145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34,298</w:t>
            </w:r>
          </w:p>
        </w:tc>
        <w:tc>
          <w:tcPr>
            <w:tcW w:w="144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25,000</w:t>
            </w:r>
          </w:p>
        </w:tc>
        <w:tc>
          <w:tcPr>
            <w:tcW w:w="116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1.国有土地使用权出让金专项债务对应项目专项收入</w:t>
            </w:r>
          </w:p>
        </w:tc>
        <w:tc>
          <w:tcPr>
            <w:tcW w:w="145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5,761</w:t>
            </w:r>
          </w:p>
        </w:tc>
        <w:tc>
          <w:tcPr>
            <w:tcW w:w="144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10,000</w:t>
            </w:r>
          </w:p>
        </w:tc>
        <w:tc>
          <w:tcPr>
            <w:tcW w:w="116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vAlign w:val="center"/>
          </w:tcPr>
          <w:p>
            <w:pPr>
              <w:keepNext w:val="0"/>
              <w:keepLines w:val="0"/>
              <w:widowControl w:val="0"/>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2.其他政府性基金专项债务对应项目专项收入</w:t>
            </w:r>
          </w:p>
        </w:tc>
        <w:tc>
          <w:tcPr>
            <w:tcW w:w="145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28,537 </w:t>
            </w:r>
          </w:p>
        </w:tc>
        <w:tc>
          <w:tcPr>
            <w:tcW w:w="144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15,000 </w:t>
            </w:r>
          </w:p>
        </w:tc>
        <w:tc>
          <w:tcPr>
            <w:tcW w:w="116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5563"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45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98,000 </w:t>
            </w:r>
          </w:p>
        </w:tc>
        <w:tc>
          <w:tcPr>
            <w:tcW w:w="1449"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125,480 </w:t>
            </w:r>
          </w:p>
        </w:tc>
        <w:tc>
          <w:tcPr>
            <w:tcW w:w="1167" w:type="dxa"/>
            <w:tcBorders>
              <w:tl2br w:val="nil"/>
              <w:tr2bl w:val="nil"/>
            </w:tcBorders>
            <w:shd w:val="clear" w:color="auto" w:fill="auto"/>
            <w:vAlign w:val="center"/>
          </w:tcPr>
          <w:p>
            <w:pPr>
              <w:keepNext w:val="0"/>
              <w:keepLines w:val="0"/>
              <w:widowControl w:val="0"/>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28 </w:t>
            </w:r>
          </w:p>
        </w:tc>
      </w:tr>
    </w:tbl>
    <w:p>
      <w:pPr>
        <w:pStyle w:val="2"/>
        <w:spacing w:line="560" w:lineRule="exact"/>
        <w:jc w:val="right"/>
        <w:rPr>
          <w:rFonts w:hint="eastAsia" w:ascii="仿宋_GB2312" w:hAnsi="仿宋_GB2312" w:eastAsia="仿宋_GB2312" w:cs="仿宋_GB2312"/>
          <w:color w:val="000000"/>
          <w:sz w:val="24"/>
          <w:szCs w:val="24"/>
        </w:rPr>
      </w:pPr>
    </w:p>
    <w:p>
      <w:pPr>
        <w:pStyle w:val="2"/>
        <w:spacing w:line="560" w:lineRule="exact"/>
        <w:jc w:val="right"/>
        <w:rPr>
          <w:rFonts w:hint="eastAsia" w:ascii="仿宋_GB2312" w:hAnsi="仿宋_GB2312" w:eastAsia="仿宋_GB2312" w:cs="仿宋_GB2312"/>
          <w:color w:val="000000"/>
          <w:sz w:val="24"/>
          <w:szCs w:val="24"/>
        </w:rPr>
      </w:pPr>
    </w:p>
    <w:p>
      <w:pPr>
        <w:pStyle w:val="2"/>
        <w:spacing w:line="560" w:lineRule="exact"/>
        <w:jc w:val="right"/>
        <w:rPr>
          <w:rFonts w:hint="eastAsia" w:ascii="仿宋_GB2312" w:hAnsi="仿宋_GB2312" w:eastAsia="仿宋_GB2312" w:cs="仿宋_GB2312"/>
          <w:color w:val="000000"/>
          <w:sz w:val="24"/>
          <w:szCs w:val="24"/>
        </w:rPr>
      </w:pPr>
    </w:p>
    <w:p>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十</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pPr>
        <w:pStyle w:val="2"/>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2026年德化县政府性基金预算支出计划表</w:t>
      </w:r>
    </w:p>
    <w:p>
      <w:pPr>
        <w:pStyle w:val="2"/>
        <w:spacing w:line="560" w:lineRule="exact"/>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221"/>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exact"/>
          <w:jc w:val="center"/>
        </w:trPr>
        <w:tc>
          <w:tcPr>
            <w:tcW w:w="82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eastAsia" w:ascii="Times New Roman" w:hAnsi="Times New Roman"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41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r>
              <w:rPr>
                <w:rFonts w:hint="eastAsia" w:ascii="Times New Roman" w:hAnsi="Times New Roman" w:eastAsia="仿宋_GB2312" w:cs="Times New Roman"/>
                <w:i w:val="0"/>
                <w:iCs w:val="0"/>
                <w:color w:val="000000"/>
                <w:kern w:val="0"/>
                <w:sz w:val="24"/>
                <w:szCs w:val="24"/>
                <w:u w:val="none"/>
                <w:lang w:val="en-US" w:eastAsia="zh-CN" w:bidi="ar"/>
              </w:rPr>
              <w:t>年</w:t>
            </w:r>
          </w:p>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支出预算数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一、城乡社区支出</w:t>
            </w:r>
          </w:p>
        </w:tc>
        <w:tc>
          <w:tcPr>
            <w:tcW w:w="141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33,543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国有土地使用权出让收入安排的支出</w:t>
            </w:r>
          </w:p>
        </w:tc>
        <w:tc>
          <w:tcPr>
            <w:tcW w:w="141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26,743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征地和拆迁补偿支出</w:t>
            </w:r>
          </w:p>
        </w:tc>
        <w:tc>
          <w:tcPr>
            <w:tcW w:w="141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土地开发支出</w:t>
            </w:r>
          </w:p>
        </w:tc>
        <w:tc>
          <w:tcPr>
            <w:tcW w:w="141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9,563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补助被征地农民支出</w:t>
            </w:r>
          </w:p>
        </w:tc>
        <w:tc>
          <w:tcPr>
            <w:tcW w:w="1417"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土地出让业务支出</w:t>
            </w:r>
          </w:p>
        </w:tc>
        <w:tc>
          <w:tcPr>
            <w:tcW w:w="141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棚户区改造支出</w:t>
            </w:r>
          </w:p>
        </w:tc>
        <w:tc>
          <w:tcPr>
            <w:tcW w:w="141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污水处理费安排的支出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污水处理设施建设和运营</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3.城市基础配套费安排的支出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城市公共设施</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二、其他支出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彩票公益金安排的支出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用于社会福利的彩票公益金支出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vAlign w:val="center"/>
          </w:tcPr>
          <w:p>
            <w:pPr>
              <w:keepNext w:val="0"/>
              <w:keepLines w:val="0"/>
              <w:widowControl/>
              <w:suppressLineNumbers w:val="0"/>
              <w:spacing w:line="240" w:lineRule="auto"/>
              <w:ind w:firstLine="720" w:firstLineChars="300"/>
              <w:jc w:val="left"/>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用于体育事业的彩票公益金支出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noWrap/>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三、债务还本支出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noWrap/>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地方政府专项债务还本支出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noWrap/>
            <w:vAlign w:val="center"/>
          </w:tcPr>
          <w:p>
            <w:pPr>
              <w:keepNext w:val="0"/>
              <w:keepLines w:val="0"/>
              <w:widowControl/>
              <w:suppressLineNumbers w:val="0"/>
              <w:spacing w:line="240" w:lineRule="auto"/>
              <w:ind w:firstLine="720" w:firstLineChars="3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棚户区改造专项债券还本支出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noWrap/>
            <w:vAlign w:val="center"/>
          </w:tcPr>
          <w:p>
            <w:pPr>
              <w:keepNext w:val="0"/>
              <w:keepLines w:val="0"/>
              <w:widowControl/>
              <w:suppressLineNumbers w:val="0"/>
              <w:spacing w:line="240" w:lineRule="auto"/>
              <w:ind w:firstLine="720" w:firstLineChars="3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抗疫特别国债还本支出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noWrap/>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四、债务付息支出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24,436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noWrap/>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地方政府专项债务付息支出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24,436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noWrap/>
            <w:vAlign w:val="center"/>
          </w:tcPr>
          <w:p>
            <w:pPr>
              <w:keepNext w:val="0"/>
              <w:keepLines w:val="0"/>
              <w:widowControl/>
              <w:suppressLineNumbers w:val="0"/>
              <w:spacing w:line="240" w:lineRule="auto"/>
              <w:ind w:firstLine="720" w:firstLineChars="3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国有土地使用权出让金债务付息支出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noWrap/>
            <w:vAlign w:val="center"/>
          </w:tcPr>
          <w:p>
            <w:pPr>
              <w:keepNext w:val="0"/>
              <w:keepLines w:val="0"/>
              <w:widowControl/>
              <w:suppressLineNumbers w:val="0"/>
              <w:spacing w:line="240" w:lineRule="auto"/>
              <w:ind w:firstLine="720" w:firstLineChars="3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土地储备专项债券付息支出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noWrap/>
            <w:vAlign w:val="center"/>
          </w:tcPr>
          <w:p>
            <w:pPr>
              <w:keepNext w:val="0"/>
              <w:keepLines w:val="0"/>
              <w:widowControl/>
              <w:suppressLineNumbers w:val="0"/>
              <w:spacing w:line="240" w:lineRule="auto"/>
              <w:ind w:firstLine="720" w:firstLineChars="3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其他地方自行试点项目收益专项债券付息支出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18,090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noWrap/>
            <w:vAlign w:val="center"/>
          </w:tcPr>
          <w:p>
            <w:pPr>
              <w:keepNext w:val="0"/>
              <w:keepLines w:val="0"/>
              <w:widowControl/>
              <w:suppressLineNumbers w:val="0"/>
              <w:spacing w:line="240" w:lineRule="auto"/>
              <w:ind w:firstLine="720" w:firstLineChars="3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政府收费公路专项债券付息支出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noWrap/>
            <w:vAlign w:val="center"/>
          </w:tcPr>
          <w:p>
            <w:pPr>
              <w:keepNext w:val="0"/>
              <w:keepLines w:val="0"/>
              <w:widowControl/>
              <w:suppressLineNumbers w:val="0"/>
              <w:spacing w:line="240" w:lineRule="auto"/>
              <w:ind w:firstLine="720" w:firstLineChars="3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棚户区改造专项债券付息支出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noWrap/>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五、债务发行费用支出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noWrap/>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地方政府专项债务发行费用支出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noWrap/>
            <w:vAlign w:val="center"/>
          </w:tcPr>
          <w:p>
            <w:pPr>
              <w:keepNext w:val="0"/>
              <w:keepLines w:val="0"/>
              <w:widowControl/>
              <w:suppressLineNumbers w:val="0"/>
              <w:spacing w:line="240" w:lineRule="auto"/>
              <w:ind w:firstLine="720" w:firstLineChars="300"/>
              <w:jc w:val="both"/>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其他地方自行试点项目收益专项债券发行费用支出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noWrap/>
            <w:vAlign w:val="center"/>
          </w:tcPr>
          <w:p>
            <w:pPr>
              <w:keepNext w:val="0"/>
              <w:keepLines w:val="0"/>
              <w:widowControl/>
              <w:suppressLineNumbers w:val="0"/>
              <w:spacing w:line="240" w:lineRule="auto"/>
              <w:jc w:val="both"/>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六、转移性支出</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61,795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noWrap/>
            <w:vAlign w:val="center"/>
          </w:tcPr>
          <w:p>
            <w:pPr>
              <w:keepNext w:val="0"/>
              <w:keepLines w:val="0"/>
              <w:widowControl/>
              <w:suppressLineNumbers w:val="0"/>
              <w:spacing w:line="240" w:lineRule="auto"/>
              <w:ind w:firstLine="720" w:firstLineChars="300"/>
              <w:jc w:val="both"/>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政府性基金调出资金</w:t>
            </w:r>
          </w:p>
        </w:tc>
        <w:tc>
          <w:tcPr>
            <w:tcW w:w="1417" w:type="dxa"/>
            <w:tcBorders>
              <w:tl2br w:val="nil"/>
              <w:tr2bl w:val="nil"/>
            </w:tcBorders>
            <w:shd w:val="clear" w:color="auto" w:fill="auto"/>
            <w:vAlign w:val="bottom"/>
          </w:tcPr>
          <w:p>
            <w:pPr>
              <w:keepNext w:val="0"/>
              <w:keepLines w:val="0"/>
              <w:widowControl/>
              <w:suppressLineNumbers w:val="0"/>
              <w:spacing w:line="24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61,795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82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41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125,480</w:t>
            </w:r>
          </w:p>
        </w:tc>
      </w:tr>
    </w:tbl>
    <w:p>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十一</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pPr>
        <w:pStyle w:val="2"/>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2026年德化县国有资本经营预算收支计划表</w:t>
      </w:r>
    </w:p>
    <w:p>
      <w:pPr>
        <w:pStyle w:val="2"/>
        <w:spacing w:line="560" w:lineRule="exact"/>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287"/>
        <w:gridCol w:w="1532"/>
        <w:gridCol w:w="3287"/>
        <w:gridCol w:w="1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907" w:hRule="exac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r>
              <w:rPr>
                <w:rFonts w:hint="eastAsia" w:ascii="Times New Roman" w:hAnsi="Times New Roman" w:eastAsia="仿宋_GB2312" w:cs="Times New Roman"/>
                <w:i w:val="0"/>
                <w:iCs w:val="0"/>
                <w:color w:val="000000"/>
                <w:kern w:val="0"/>
                <w:sz w:val="24"/>
                <w:szCs w:val="24"/>
                <w:u w:val="none"/>
                <w:lang w:val="en-US" w:eastAsia="zh-CN" w:bidi="ar"/>
              </w:rPr>
              <w:t>年</w:t>
            </w:r>
          </w:p>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收入预算数</w:t>
            </w:r>
          </w:p>
        </w:tc>
        <w:tc>
          <w:tcPr>
            <w:tcW w:w="328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r>
              <w:rPr>
                <w:rFonts w:hint="eastAsia" w:ascii="Times New Roman" w:hAnsi="Times New Roman" w:eastAsia="仿宋_GB2312" w:cs="Times New Roman"/>
                <w:i w:val="0"/>
                <w:iCs w:val="0"/>
                <w:color w:val="000000"/>
                <w:kern w:val="0"/>
                <w:sz w:val="24"/>
                <w:szCs w:val="24"/>
                <w:u w:val="none"/>
                <w:lang w:val="en-US" w:eastAsia="zh-CN" w:bidi="ar"/>
              </w:rPr>
              <w:t>年</w:t>
            </w:r>
          </w:p>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支出预算数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一、国有资本经营收入</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624</w:t>
            </w:r>
          </w:p>
        </w:tc>
        <w:tc>
          <w:tcPr>
            <w:tcW w:w="3287"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一、国有资本经营预算支出</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运输企业利润收入</w:t>
            </w: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解决历史遗留问题及改革成本支出</w:t>
            </w: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建筑施工企业利润收入</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115</w:t>
            </w:r>
          </w:p>
        </w:tc>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国有企业资本金注入</w:t>
            </w: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贸易企业利润收入</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其他国有资本经营预算支出（项级）</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房地产企业利润收入</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75</w:t>
            </w:r>
          </w:p>
        </w:tc>
        <w:tc>
          <w:tcPr>
            <w:tcW w:w="3287"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二、转移性支出</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kern w:val="0"/>
                <w:sz w:val="24"/>
                <w:szCs w:val="24"/>
                <w:u w:val="none"/>
                <w:lang w:val="en-US" w:eastAsia="zh-CN" w:bidi="ar"/>
              </w:rPr>
              <w:t>投资服务企业利润收入</w:t>
            </w: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国有资本经营预算调出资金</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Times New Roman" w:hAnsi="Times New Roman" w:eastAsia="仿宋_GB2312" w:cs="Times New Roman"/>
                <w:i w:val="0"/>
                <w:iCs w:val="0"/>
                <w:color w:val="000000"/>
                <w:kern w:val="0"/>
                <w:sz w:val="24"/>
                <w:szCs w:val="24"/>
                <w:u w:val="none"/>
                <w:lang w:val="en-US" w:eastAsia="zh-CN" w:bidi="ar"/>
              </w:rPr>
              <w:t>其他国有资本经营预算企业利润收入</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436</w:t>
            </w:r>
          </w:p>
        </w:tc>
        <w:tc>
          <w:tcPr>
            <w:tcW w:w="3287"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Times New Roman" w:hAnsi="Times New Roman" w:eastAsia="仿宋_GB2312" w:cs="Times New Roman"/>
                <w:i w:val="0"/>
                <w:iCs w:val="0"/>
                <w:color w:val="000000"/>
                <w:kern w:val="0"/>
                <w:sz w:val="24"/>
                <w:szCs w:val="24"/>
                <w:u w:val="none"/>
                <w:lang w:val="en-US" w:eastAsia="zh-CN" w:bidi="ar"/>
              </w:rPr>
              <w:t>股利、利息收入</w:t>
            </w: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3287" w:type="dxa"/>
            <w:tcBorders>
              <w:tl2br w:val="nil"/>
              <w:tr2bl w:val="nil"/>
            </w:tcBorders>
            <w:shd w:val="clear" w:color="auto" w:fill="auto"/>
            <w:vAlign w:val="center"/>
          </w:tcPr>
          <w:p>
            <w:pPr>
              <w:jc w:val="left"/>
              <w:rPr>
                <w:rFonts w:hint="eastAsia" w:ascii="Times New Roman" w:hAnsi="Times New Roman" w:eastAsia="仿宋_GB2312" w:cs="Times New Roman"/>
                <w:i w:val="0"/>
                <w:iCs w:val="0"/>
                <w:color w:val="000000"/>
                <w:sz w:val="24"/>
                <w:szCs w:val="24"/>
                <w:u w:val="none"/>
              </w:rPr>
            </w:pPr>
          </w:p>
        </w:tc>
        <w:tc>
          <w:tcPr>
            <w:tcW w:w="1532" w:type="dxa"/>
            <w:tcBorders>
              <w:tl2br w:val="nil"/>
              <w:tr2bl w:val="nil"/>
            </w:tcBorders>
            <w:shd w:val="clear" w:color="auto" w:fill="auto"/>
            <w:vAlign w:val="bottom"/>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rPr>
                <w:rFonts w:hint="default" w:ascii="Times New Roman" w:hAnsi="Times New Roman" w:cs="Times New Roman"/>
                <w:i w:val="0"/>
                <w:iCs w:val="0"/>
                <w:color w:val="000000"/>
                <w:sz w:val="24"/>
                <w:szCs w:val="24"/>
                <w:u w:val="none"/>
              </w:rPr>
            </w:pP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3287" w:type="dxa"/>
            <w:tcBorders>
              <w:tl2br w:val="nil"/>
              <w:tr2bl w:val="nil"/>
            </w:tcBorders>
            <w:shd w:val="clear" w:color="auto" w:fill="auto"/>
            <w:vAlign w:val="bottom"/>
          </w:tcPr>
          <w:p>
            <w:pPr>
              <w:jc w:val="center"/>
              <w:rPr>
                <w:rFonts w:hint="default" w:ascii="Times New Roman" w:hAnsi="Times New Roman" w:cs="Times New Roman"/>
                <w:i w:val="0"/>
                <w:iCs w:val="0"/>
                <w:color w:val="000000"/>
                <w:sz w:val="24"/>
                <w:szCs w:val="24"/>
                <w:u w:val="none"/>
              </w:rPr>
            </w:pPr>
          </w:p>
        </w:tc>
        <w:tc>
          <w:tcPr>
            <w:tcW w:w="1532" w:type="dxa"/>
            <w:tcBorders>
              <w:tl2br w:val="nil"/>
              <w:tr2bl w:val="nil"/>
            </w:tcBorders>
            <w:shd w:val="clear" w:color="auto" w:fill="auto"/>
            <w:vAlign w:val="bottom"/>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bottom"/>
          </w:tcPr>
          <w:p>
            <w:pPr>
              <w:rPr>
                <w:rFonts w:hint="default" w:ascii="Times New Roman" w:hAnsi="Times New Roman" w:cs="Times New Roman"/>
                <w:i w:val="0"/>
                <w:iCs w:val="0"/>
                <w:color w:val="000000"/>
                <w:sz w:val="24"/>
                <w:szCs w:val="24"/>
                <w:u w:val="none"/>
              </w:rPr>
            </w:pPr>
          </w:p>
        </w:tc>
        <w:tc>
          <w:tcPr>
            <w:tcW w:w="1532" w:type="dxa"/>
            <w:tcBorders>
              <w:tl2br w:val="nil"/>
              <w:tr2bl w:val="nil"/>
            </w:tcBorders>
            <w:shd w:val="clear" w:color="auto" w:fill="auto"/>
            <w:vAlign w:val="bottom"/>
          </w:tcPr>
          <w:p>
            <w:pPr>
              <w:jc w:val="center"/>
              <w:rPr>
                <w:rFonts w:hint="default" w:ascii="Times New Roman" w:hAnsi="Times New Roman" w:cs="Times New Roman"/>
                <w:i w:val="0"/>
                <w:iCs w:val="0"/>
                <w:color w:val="000000"/>
                <w:sz w:val="24"/>
                <w:szCs w:val="24"/>
                <w:u w:val="none"/>
              </w:rPr>
            </w:pPr>
          </w:p>
        </w:tc>
        <w:tc>
          <w:tcPr>
            <w:tcW w:w="3287"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rPr>
                <w:rFonts w:hint="default" w:ascii="Times New Roman" w:hAnsi="Times New Roman" w:cs="Times New Roman"/>
                <w:i w:val="0"/>
                <w:iCs w:val="0"/>
                <w:color w:val="000000"/>
                <w:sz w:val="24"/>
                <w:szCs w:val="24"/>
                <w:u w:val="none"/>
              </w:rPr>
            </w:pP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3287"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532"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328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624</w:t>
            </w:r>
          </w:p>
        </w:tc>
        <w:tc>
          <w:tcPr>
            <w:tcW w:w="328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53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624</w:t>
            </w:r>
          </w:p>
        </w:tc>
      </w:tr>
    </w:tbl>
    <w:p>
      <w:pPr>
        <w:pStyle w:val="2"/>
        <w:spacing w:line="560" w:lineRule="exact"/>
        <w:jc w:val="right"/>
        <w:rPr>
          <w:rFonts w:hint="eastAsia" w:ascii="仿宋_GB2312" w:hAnsi="仿宋_GB2312" w:eastAsia="仿宋_GB2312" w:cs="仿宋_GB2312"/>
          <w:color w:val="000000"/>
          <w:sz w:val="24"/>
          <w:szCs w:val="24"/>
        </w:rPr>
      </w:pPr>
    </w:p>
    <w:p>
      <w:pPr>
        <w:pStyle w:val="2"/>
        <w:spacing w:line="560" w:lineRule="exact"/>
        <w:jc w:val="right"/>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color w:val="000000"/>
          <w:sz w:val="36"/>
          <w:szCs w:val="36"/>
        </w:rPr>
      </w:pPr>
    </w:p>
    <w:p>
      <w:pPr>
        <w:pStyle w:val="2"/>
        <w:rPr>
          <w:rFonts w:ascii="Times New Roman" w:hAnsi="Times New Roman" w:eastAsia="方正小标宋简体" w:cs="Times New Roman"/>
          <w:color w:val="000000"/>
          <w:sz w:val="36"/>
          <w:szCs w:val="36"/>
        </w:rPr>
      </w:pPr>
    </w:p>
    <w:p>
      <w:pPr>
        <w:adjustRightInd/>
        <w:snapToGrid/>
        <w:spacing w:line="560" w:lineRule="exact"/>
        <w:ind w:firstLine="0" w:firstLineChars="0"/>
        <w:jc w:val="left"/>
        <w:rPr>
          <w:rFonts w:hint="default" w:ascii="Calibri" w:hAnsi="Calibri" w:eastAsia="宋体"/>
          <w:color w:val="000000"/>
          <w:sz w:val="21"/>
          <w:szCs w:val="24"/>
        </w:rPr>
      </w:pPr>
      <w:r>
        <w:rPr>
          <w:rFonts w:hint="eastAsia" w:ascii="仿宋_GB2312" w:hAnsi="仿宋_GB2312" w:eastAsia="仿宋_GB2312" w:cs="仿宋_GB2312"/>
          <w:color w:val="000000"/>
          <w:sz w:val="24"/>
          <w:szCs w:val="24"/>
        </w:rPr>
        <w:t>表</w:t>
      </w:r>
      <w:r>
        <w:rPr>
          <w:rFonts w:hint="eastAsia" w:ascii="仿宋_GB2312" w:hAnsi="仿宋_GB2312" w:cs="仿宋_GB2312"/>
          <w:color w:val="000000"/>
          <w:sz w:val="24"/>
          <w:szCs w:val="24"/>
          <w:lang w:eastAsia="zh-CN"/>
        </w:rPr>
        <w:t>十二</w:t>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r>
        <w:rPr>
          <w:rFonts w:hint="default" w:ascii="Calibri" w:hAnsi="Calibri" w:eastAsia="宋体"/>
          <w:color w:val="000000"/>
          <w:sz w:val="21"/>
          <w:szCs w:val="24"/>
        </w:rPr>
        <w:tab/>
      </w:r>
    </w:p>
    <w:p>
      <w:pPr>
        <w:pStyle w:val="2"/>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2026年德化县社会保险基金预算收支计划表</w:t>
      </w:r>
    </w:p>
    <w:p>
      <w:pPr>
        <w:pStyle w:val="2"/>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bl>
      <w:tblPr>
        <w:tblStyle w:val="11"/>
        <w:tblW w:w="96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264"/>
        <w:gridCol w:w="1555"/>
        <w:gridCol w:w="3264"/>
        <w:gridCol w:w="1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907" w:hRule="exact"/>
          <w:jc w:val="center"/>
        </w:trPr>
        <w:tc>
          <w:tcPr>
            <w:tcW w:w="326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eastAsia" w:ascii="Times New Roman" w:hAnsi="Times New Roman"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r>
              <w:rPr>
                <w:rFonts w:hint="eastAsia" w:ascii="Times New Roman" w:hAnsi="Times New Roman" w:eastAsia="仿宋_GB2312" w:cs="Times New Roman"/>
                <w:i w:val="0"/>
                <w:iCs w:val="0"/>
                <w:color w:val="000000"/>
                <w:kern w:val="0"/>
                <w:sz w:val="24"/>
                <w:szCs w:val="24"/>
                <w:u w:val="none"/>
                <w:lang w:val="en-US" w:eastAsia="zh-CN" w:bidi="ar"/>
              </w:rPr>
              <w:t>年</w:t>
            </w:r>
          </w:p>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收入预算数</w:t>
            </w:r>
          </w:p>
        </w:tc>
        <w:tc>
          <w:tcPr>
            <w:tcW w:w="326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科</w:t>
            </w:r>
            <w:r>
              <w:rPr>
                <w:rFonts w:hint="eastAsia" w:ascii="Times New Roman" w:hAnsi="Times New Roman"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目</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r>
              <w:rPr>
                <w:rFonts w:hint="eastAsia" w:ascii="Times New Roman" w:hAnsi="Times New Roman" w:eastAsia="仿宋_GB2312" w:cs="Times New Roman"/>
                <w:i w:val="0"/>
                <w:iCs w:val="0"/>
                <w:color w:val="000000"/>
                <w:kern w:val="0"/>
                <w:sz w:val="24"/>
                <w:szCs w:val="24"/>
                <w:u w:val="none"/>
                <w:lang w:val="en-US" w:eastAsia="zh-CN" w:bidi="ar"/>
              </w:rPr>
              <w:t>年</w:t>
            </w:r>
          </w:p>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支出预算数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3264"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一、城乡居民基本养老保险基金收入</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16,197</w:t>
            </w:r>
          </w:p>
        </w:tc>
        <w:tc>
          <w:tcPr>
            <w:tcW w:w="3264"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一、城乡居民基本养老保险基金支出</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1.城乡居民基本养老保险基金缴费收入</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1,861</w:t>
            </w:r>
          </w:p>
        </w:tc>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1.基础养老金支出</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2.城乡居民基本养老保险基金财政补贴收入</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13,113</w:t>
            </w:r>
          </w:p>
        </w:tc>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2.个人账户养老金支出</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3.城乡居民基本养老保险基金利息收入</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680</w:t>
            </w:r>
          </w:p>
        </w:tc>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3.丧葬抚恤补助支出</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4.其他城乡居民基本养老保险基金收入</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4.其他城乡居民基本养老保险基金支出</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5.委托投资收益</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526</w:t>
            </w:r>
          </w:p>
        </w:tc>
        <w:tc>
          <w:tcPr>
            <w:tcW w:w="3264" w:type="dxa"/>
            <w:tcBorders>
              <w:tl2br w:val="nil"/>
              <w:tr2bl w:val="nil"/>
            </w:tcBorders>
            <w:shd w:val="clear" w:color="auto" w:fill="auto"/>
            <w:vAlign w:val="center"/>
          </w:tcPr>
          <w:p>
            <w:pPr>
              <w:jc w:val="left"/>
              <w:rPr>
                <w:rFonts w:hint="eastAsia" w:ascii="Times New Roman" w:hAnsi="Times New Roman" w:eastAsia="仿宋_GB2312" w:cs="Times New Roman"/>
                <w:i w:val="0"/>
                <w:iCs w:val="0"/>
                <w:color w:val="000000"/>
                <w:sz w:val="24"/>
                <w:szCs w:val="24"/>
                <w:u w:val="none"/>
              </w:rPr>
            </w:pPr>
          </w:p>
        </w:tc>
        <w:tc>
          <w:tcPr>
            <w:tcW w:w="1555"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3264"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二、机关事业单位基本养老保险基金收入</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26,472</w:t>
            </w:r>
          </w:p>
        </w:tc>
        <w:tc>
          <w:tcPr>
            <w:tcW w:w="3264"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二、机关事业单位基本养老保险基金支出</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26,394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1.机关事业单位基本养老保险费收入</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20,653</w:t>
            </w:r>
          </w:p>
        </w:tc>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1.基本养老金支出</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26,394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80" w:hRule="atLeast"/>
          <w:jc w:val="center"/>
        </w:trPr>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2.机关事业单位基本养老保险基金财政补助收入</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5,800</w:t>
            </w:r>
          </w:p>
        </w:tc>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2.其他机关事业单位基本养老保险基金支出</w:t>
            </w:r>
          </w:p>
        </w:tc>
        <w:tc>
          <w:tcPr>
            <w:tcW w:w="1555"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3.机关事业单位基本养老保险基金利息收入</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3264"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Times New Roman" w:hAnsi="Times New Roman" w:eastAsia="仿宋_GB2312" w:cs="Times New Roman"/>
                <w:i w:val="0"/>
                <w:iCs w:val="0"/>
                <w:color w:val="000000"/>
                <w:sz w:val="24"/>
                <w:szCs w:val="24"/>
                <w:u w:val="none"/>
              </w:rPr>
            </w:pPr>
          </w:p>
        </w:tc>
        <w:tc>
          <w:tcPr>
            <w:tcW w:w="1555"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3264" w:type="dxa"/>
            <w:tcBorders>
              <w:tl2br w:val="nil"/>
              <w:tr2bl w:val="nil"/>
            </w:tcBorders>
            <w:shd w:val="clear" w:color="auto" w:fill="auto"/>
            <w:vAlign w:val="center"/>
          </w:tcPr>
          <w:p>
            <w:pPr>
              <w:keepNext w:val="0"/>
              <w:keepLines w:val="0"/>
              <w:widowControl/>
              <w:suppressLineNumbers w:val="0"/>
              <w:spacing w:line="240" w:lineRule="auto"/>
              <w:ind w:firstLine="480" w:firstLineChars="20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4.其他机关事业单位基本养老保险基金收入</w:t>
            </w:r>
          </w:p>
        </w:tc>
        <w:tc>
          <w:tcPr>
            <w:tcW w:w="1555"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3264" w:type="dxa"/>
            <w:tcBorders>
              <w:tl2br w:val="nil"/>
              <w:tr2bl w:val="nil"/>
            </w:tcBorders>
            <w:shd w:val="clear" w:color="auto" w:fill="auto"/>
            <w:vAlign w:val="center"/>
          </w:tcPr>
          <w:p>
            <w:pPr>
              <w:rPr>
                <w:rFonts w:hint="eastAsia" w:ascii="Times New Roman" w:hAnsi="Times New Roman" w:eastAsia="仿宋_GB2312" w:cs="Times New Roman"/>
                <w:i w:val="0"/>
                <w:iCs w:val="0"/>
                <w:color w:val="000000"/>
                <w:sz w:val="24"/>
                <w:szCs w:val="24"/>
                <w:u w:val="none"/>
              </w:rPr>
            </w:pPr>
          </w:p>
        </w:tc>
        <w:tc>
          <w:tcPr>
            <w:tcW w:w="1555" w:type="dxa"/>
            <w:tcBorders>
              <w:tl2br w:val="nil"/>
              <w:tr2bl w:val="nil"/>
            </w:tcBorders>
            <w:shd w:val="clear" w:color="auto" w:fill="auto"/>
            <w:vAlign w:val="center"/>
          </w:tcPr>
          <w:p>
            <w:pPr>
              <w:jc w:val="center"/>
              <w:rPr>
                <w:rFonts w:hint="default" w:ascii="Times New Roman" w:hAnsi="Times New Roman" w:cs="Times New Roman"/>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326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42,669</w:t>
            </w:r>
          </w:p>
        </w:tc>
        <w:tc>
          <w:tcPr>
            <w:tcW w:w="326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155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39,651</w:t>
            </w:r>
          </w:p>
        </w:tc>
      </w:tr>
    </w:tbl>
    <w:p>
      <w:pPr>
        <w:pStyle w:val="2"/>
        <w:jc w:val="right"/>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color w:val="000000"/>
          <w:sz w:val="36"/>
          <w:szCs w:val="36"/>
        </w:rPr>
      </w:pPr>
      <w:r>
        <w:rPr>
          <w:rFonts w:ascii="Times New Roman" w:hAnsi="Times New Roman" w:eastAsia="方正小标宋简体" w:cs="Times New Roman"/>
          <w:color w:val="000000"/>
          <w:sz w:val="36"/>
          <w:szCs w:val="36"/>
        </w:rPr>
        <w:t>《预算报告》附注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1.政府预算体系。</w:t>
      </w:r>
      <w:r>
        <w:rPr>
          <w:rFonts w:ascii="Times New Roman" w:hAnsi="Times New Roman" w:eastAsia="仿宋_GB2312" w:cs="Times New Roman"/>
          <w:color w:val="000000"/>
          <w:sz w:val="32"/>
          <w:szCs w:val="32"/>
        </w:rPr>
        <w:t>具体包括四大预算，即：一般公共预算、政府性基金预算、国有资本经营预算、社会保险基金预算。这四大预算组成完整的政府预算体系，全面反映政府收支总量、结构和管理活动，服务经济社会发展需要。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2.一般公共预算总收入。</w:t>
      </w:r>
      <w:r>
        <w:rPr>
          <w:rFonts w:ascii="Times New Roman" w:hAnsi="Times New Roman" w:eastAsia="仿宋_GB2312" w:cs="Times New Roman"/>
          <w:color w:val="000000"/>
          <w:sz w:val="32"/>
          <w:szCs w:val="32"/>
        </w:rPr>
        <w:t>即一般公共预算收入与上划中央、省收入之和，反映本地区当年组织的财政收入总规模。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3.一般公共预算收入。</w:t>
      </w:r>
      <w:r>
        <w:rPr>
          <w:rFonts w:ascii="Times New Roman" w:hAnsi="Times New Roman" w:eastAsia="仿宋_GB2312" w:cs="Times New Roman"/>
          <w:color w:val="000000"/>
          <w:sz w:val="32"/>
          <w:szCs w:val="32"/>
        </w:rPr>
        <w:t>按照财政部规定的统一科目和口径统计的收入，包括地方固定收入以及中央与地方共享收入中地方所得部分。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4.一般公共预算支出。</w:t>
      </w:r>
      <w:r>
        <w:rPr>
          <w:rFonts w:ascii="Times New Roman" w:hAnsi="Times New Roman" w:eastAsia="仿宋_GB2312" w:cs="Times New Roman"/>
          <w:color w:val="000000"/>
          <w:sz w:val="32"/>
          <w:szCs w:val="32"/>
        </w:rPr>
        <w:t>指政府对上级转移性收入、本级一般公共预算收入等有计划的分配和使用而形成的支出。</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Times New Roman" w:hAnsi="Times New Roman" w:eastAsia="仿宋_GB2312" w:cs="Times New Roman"/>
          <w:color w:val="000000"/>
          <w:spacing w:val="-6"/>
          <w:sz w:val="32"/>
          <w:szCs w:val="32"/>
        </w:rPr>
      </w:pPr>
      <w:r>
        <w:rPr>
          <w:rFonts w:hint="eastAsia" w:ascii="Times New Roman" w:hAnsi="Times New Roman" w:cs="Times New Roman"/>
          <w:b/>
          <w:color w:val="000000"/>
          <w:sz w:val="32"/>
          <w:szCs w:val="32"/>
          <w:lang w:val="en-US" w:eastAsia="zh-CN"/>
        </w:rPr>
        <w:t>5</w:t>
      </w:r>
      <w:r>
        <w:rPr>
          <w:rFonts w:ascii="Times New Roman" w:hAnsi="Times New Roman" w:eastAsia="仿宋_GB2312" w:cs="Times New Roman"/>
          <w:b/>
          <w:bCs/>
          <w:color w:val="000000"/>
          <w:spacing w:val="-6"/>
          <w:sz w:val="32"/>
          <w:szCs w:val="32"/>
        </w:rPr>
        <w:t>.</w:t>
      </w:r>
      <w:r>
        <w:rPr>
          <w:rFonts w:hint="eastAsia" w:ascii="Times New Roman" w:hAnsi="Times New Roman" w:cs="Times New Roman"/>
          <w:b/>
          <w:bCs/>
          <w:color w:val="000000"/>
          <w:spacing w:val="-6"/>
          <w:sz w:val="32"/>
          <w:szCs w:val="32"/>
          <w:lang w:eastAsia="zh-CN"/>
        </w:rPr>
        <w:t>预算管理一体化系统</w:t>
      </w:r>
      <w:r>
        <w:rPr>
          <w:rFonts w:ascii="Times New Roman" w:hAnsi="Times New Roman" w:eastAsia="仿宋_GB2312" w:cs="Times New Roman"/>
          <w:b/>
          <w:bCs/>
          <w:color w:val="000000"/>
          <w:spacing w:val="-6"/>
          <w:sz w:val="32"/>
          <w:szCs w:val="32"/>
        </w:rPr>
        <w:t>。</w:t>
      </w:r>
      <w:r>
        <w:rPr>
          <w:rFonts w:ascii="仿宋_GB2312" w:hAnsi="宋体" w:eastAsia="仿宋_GB2312" w:cs="仿宋_GB2312"/>
          <w:i w:val="0"/>
          <w:caps w:val="0"/>
          <w:color w:val="000000"/>
          <w:spacing w:val="0"/>
          <w:sz w:val="31"/>
          <w:szCs w:val="31"/>
          <w:shd w:val="clear" w:color="auto" w:fill="FFFFFF"/>
        </w:rPr>
        <w:t>以统一预算管理规则为核心，以预算管理一体化系统为主要载体，将统一的管理规则嵌入信息系统，提高项目储备、预算编审、预算调整和调剂、资金支付、会计核算、决算和报告等工作的标准化、自动化水平，实现对预算管理全流程的动态反映和有效控制，保证各级预算管理规范高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color w:val="000000"/>
          <w:sz w:val="32"/>
          <w:szCs w:val="32"/>
        </w:rPr>
      </w:pPr>
      <w:r>
        <w:rPr>
          <w:rFonts w:hint="eastAsia" w:cs="Times New Roman"/>
          <w:b/>
          <w:color w:val="000000"/>
          <w:sz w:val="32"/>
          <w:szCs w:val="32"/>
          <w:lang w:val="en-US" w:eastAsia="zh-CN"/>
        </w:rPr>
        <w:t>6</w:t>
      </w:r>
      <w:r>
        <w:rPr>
          <w:rFonts w:ascii="Times New Roman" w:hAnsi="Times New Roman" w:eastAsia="仿宋_GB2312" w:cs="Times New Roman"/>
          <w:b/>
          <w:color w:val="000000"/>
          <w:sz w:val="32"/>
          <w:szCs w:val="32"/>
        </w:rPr>
        <w:t>.政府债务限额管理。</w:t>
      </w:r>
      <w:r>
        <w:rPr>
          <w:rFonts w:ascii="Times New Roman" w:hAnsi="Times New Roman" w:eastAsia="仿宋_GB2312" w:cs="Times New Roman"/>
          <w:color w:val="000000"/>
          <w:sz w:val="32"/>
          <w:szCs w:val="32"/>
        </w:rPr>
        <w:t>省级财政部门依照财政部下达的限额，提出本地区政府债务安排建议，编制预算调整方案，经省级政府报本级人大常委会批准；根据债务风险、财力状况等因素并统筹本地区建设投资需求，提出省本级及所属各市县当年政府债务限额，报省级政府批准后下达各市县级政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color w:val="000000"/>
          <w:sz w:val="32"/>
          <w:szCs w:val="32"/>
        </w:rPr>
      </w:pPr>
      <w:r>
        <w:rPr>
          <w:rFonts w:hint="eastAsia" w:cs="Times New Roman"/>
          <w:b/>
          <w:color w:val="000000"/>
          <w:sz w:val="32"/>
          <w:szCs w:val="32"/>
          <w:lang w:val="en-US" w:eastAsia="zh-CN"/>
        </w:rPr>
        <w:t>7</w:t>
      </w:r>
      <w:r>
        <w:rPr>
          <w:rFonts w:ascii="Times New Roman" w:hAnsi="Times New Roman" w:eastAsia="仿宋_GB2312" w:cs="Times New Roman"/>
          <w:b/>
          <w:color w:val="000000"/>
          <w:sz w:val="32"/>
          <w:szCs w:val="32"/>
        </w:rPr>
        <w:t>.预算绩效管理。</w:t>
      </w:r>
      <w:r>
        <w:rPr>
          <w:rFonts w:ascii="Times New Roman" w:hAnsi="Times New Roman" w:eastAsia="仿宋_GB2312" w:cs="Times New Roman"/>
          <w:color w:val="000000"/>
          <w:sz w:val="32"/>
          <w:szCs w:val="32"/>
        </w:rPr>
        <w:t>指预算资金所达到的产出和效果。全面实施预算绩效管理是推进国家治理体系和治理能力现代化的内在要求，是深化财税体制改革、建立现代财政制度的重要内容。是优化财政资源配置、提升公共服务质量的关键举措。</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color w:val="000000"/>
          <w:sz w:val="32"/>
          <w:szCs w:val="32"/>
        </w:rPr>
      </w:pPr>
      <w:r>
        <w:rPr>
          <w:rFonts w:hint="eastAsia" w:cs="Times New Roman"/>
          <w:b/>
          <w:color w:val="000000"/>
          <w:sz w:val="32"/>
          <w:szCs w:val="32"/>
          <w:lang w:val="en-US" w:eastAsia="zh-CN"/>
        </w:rPr>
        <w:t>8</w:t>
      </w:r>
      <w:r>
        <w:rPr>
          <w:rFonts w:ascii="Times New Roman" w:hAnsi="Times New Roman" w:eastAsia="仿宋_GB2312" w:cs="Times New Roman"/>
          <w:b/>
          <w:color w:val="000000"/>
          <w:sz w:val="32"/>
          <w:szCs w:val="32"/>
        </w:rPr>
        <w:t>.三保支出。</w:t>
      </w:r>
      <w:r>
        <w:rPr>
          <w:rFonts w:ascii="Times New Roman" w:hAnsi="Times New Roman" w:eastAsia="仿宋_GB2312" w:cs="Times New Roman"/>
          <w:color w:val="000000"/>
          <w:sz w:val="32"/>
          <w:szCs w:val="32"/>
        </w:rPr>
        <w:t>指保基本民生、保工资、保运转支出。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color w:val="000000"/>
          <w:sz w:val="32"/>
          <w:szCs w:val="32"/>
        </w:rPr>
      </w:pPr>
      <w:r>
        <w:rPr>
          <w:rFonts w:hint="eastAsia" w:cs="Times New Roman"/>
          <w:b/>
          <w:bCs/>
          <w:color w:val="000000"/>
          <w:sz w:val="32"/>
          <w:szCs w:val="32"/>
          <w:lang w:val="en-US" w:eastAsia="zh-CN"/>
        </w:rPr>
        <w:t>9</w:t>
      </w:r>
      <w:r>
        <w:rPr>
          <w:rFonts w:ascii="Times New Roman" w:hAnsi="Times New Roman" w:eastAsia="仿宋_GB2312" w:cs="Times New Roman"/>
          <w:b/>
          <w:bCs/>
          <w:color w:val="000000"/>
          <w:sz w:val="32"/>
          <w:szCs w:val="32"/>
        </w:rPr>
        <w:t>.民生支出。</w:t>
      </w:r>
      <w:r>
        <w:rPr>
          <w:rFonts w:ascii="Times New Roman" w:hAnsi="Times New Roman" w:eastAsia="仿宋_GB2312" w:cs="Times New Roman"/>
          <w:color w:val="000000"/>
          <w:sz w:val="32"/>
          <w:szCs w:val="32"/>
        </w:rPr>
        <w:t>指一般公共预算中用于支持保障和改善民生方面的支出，包括与人民群众生活直接相关的教育、卫生健康、社会保障和就业、住房保障、文化旅游体育与传媒方面的支出，以及农林水、交通运输、科学技术、商业服务业、自然资源海洋气象、粮油物资储备、节能环保、城乡社区等与民生密切相关的支出。</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19" w:firstLineChars="200"/>
        <w:jc w:val="both"/>
        <w:textAlignment w:val="auto"/>
        <w:rPr>
          <w:rFonts w:hint="eastAsia" w:ascii="仿宋_GB2312" w:hAnsi="仿宋_GB2312" w:eastAsia="仿宋_GB2312" w:cs="仿宋_GB2312"/>
          <w:color w:val="000000"/>
          <w:spacing w:val="-6"/>
          <w:sz w:val="32"/>
          <w:szCs w:val="32"/>
          <w:lang w:val="zh-CN"/>
        </w:rPr>
      </w:pPr>
      <w:r>
        <w:rPr>
          <w:rFonts w:hint="eastAsia" w:ascii="Times New Roman" w:hAnsi="Times New Roman" w:eastAsia="仿宋_GB2312" w:cs="Times New Roman"/>
          <w:b/>
          <w:bCs/>
          <w:color w:val="000000"/>
          <w:spacing w:val="-6"/>
          <w:sz w:val="32"/>
          <w:szCs w:val="32"/>
        </w:rPr>
        <w:t>1</w:t>
      </w:r>
      <w:r>
        <w:rPr>
          <w:rFonts w:hint="eastAsia" w:cs="Times New Roman"/>
          <w:b/>
          <w:bCs/>
          <w:color w:val="000000"/>
          <w:spacing w:val="-6"/>
          <w:sz w:val="32"/>
          <w:szCs w:val="32"/>
          <w:lang w:val="en-US" w:eastAsia="zh-CN"/>
        </w:rPr>
        <w:t>0</w:t>
      </w:r>
      <w:r>
        <w:rPr>
          <w:rFonts w:hint="eastAsia" w:ascii="Times New Roman" w:hAnsi="Times New Roman" w:eastAsia="仿宋_GB2312" w:cs="Times New Roman"/>
          <w:b/>
          <w:bCs/>
          <w:color w:val="000000"/>
          <w:spacing w:val="-6"/>
          <w:sz w:val="32"/>
          <w:szCs w:val="32"/>
        </w:rPr>
        <w:t>.零基预算改革。</w:t>
      </w:r>
      <w:r>
        <w:rPr>
          <w:rFonts w:hint="eastAsia" w:ascii="仿宋_GB2312" w:hAnsi="仿宋_GB2312" w:eastAsia="仿宋_GB2312" w:cs="仿宋_GB2312"/>
          <w:color w:val="000000"/>
          <w:spacing w:val="-6"/>
          <w:sz w:val="32"/>
          <w:szCs w:val="32"/>
          <w:lang w:val="zh-CN"/>
        </w:rPr>
        <w:t>指不考虑往年的预算项目和支出水平，改变“基数加增长”的预算编制方式，每年均以零为基点，根据预算年度内各预算部门和单位承担的工作任务和支出项目的重要性、合理性、必要性，逐项审核各项费用内容和支出标准，并结合财力承受状况，在综合平衡的基础上统筹编制预算的方式。</w:t>
      </w:r>
    </w:p>
    <w:p>
      <w:pPr>
        <w:pStyle w:val="6"/>
        <w:rPr>
          <w:rFonts w:hint="eastAsia" w:ascii="仿宋_GB2312" w:hAnsi="仿宋_GB2312" w:eastAsia="仿宋_GB2312" w:cs="仿宋_GB2312"/>
          <w:color w:val="000000"/>
          <w:spacing w:val="-6"/>
          <w:sz w:val="32"/>
          <w:szCs w:val="32"/>
          <w:lang w:val="zh-CN"/>
        </w:rPr>
      </w:pPr>
    </w:p>
    <w:p>
      <w:pPr>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rPr>
          <w:rFonts w:hint="eastAsia" w:ascii="仿宋_GB2312" w:hAnsi="仿宋_GB2312" w:eastAsia="仿宋_GB2312" w:cs="仿宋_GB2312"/>
          <w:color w:val="000000"/>
          <w:spacing w:val="-6"/>
          <w:sz w:val="32"/>
          <w:szCs w:val="32"/>
          <w:lang w:val="zh-CN"/>
        </w:rPr>
      </w:pPr>
    </w:p>
    <w:p>
      <w:pPr>
        <w:pStyle w:val="2"/>
        <w:spacing w:before="657" w:beforeLines="150"/>
        <w:rPr>
          <w:rFonts w:hint="eastAsia" w:ascii="仿宋_GB2312" w:hAnsi="仿宋_GB2312" w:eastAsia="仿宋_GB2312" w:cs="仿宋_GB2312"/>
          <w:color w:val="000000"/>
          <w:spacing w:val="-6"/>
          <w:sz w:val="32"/>
          <w:szCs w:val="32"/>
          <w:lang w:val="zh-CN"/>
        </w:rPr>
      </w:pPr>
    </w:p>
    <w:p>
      <w:pPr>
        <w:pStyle w:val="2"/>
        <w:spacing w:before="657" w:beforeLines="150"/>
        <w:rPr>
          <w:rFonts w:hint="eastAsia" w:ascii="仿宋_GB2312" w:hAnsi="仿宋_GB2312" w:eastAsia="仿宋_GB2312" w:cs="仿宋_GB2312"/>
          <w:color w:val="000000"/>
          <w:spacing w:val="-6"/>
          <w:sz w:val="32"/>
          <w:szCs w:val="32"/>
          <w:lang w:val="zh-CN"/>
        </w:rPr>
      </w:pPr>
    </w:p>
    <w:p>
      <w:pPr>
        <w:pStyle w:val="2"/>
        <w:spacing w:before="1313" w:beforeLines="300"/>
        <w:rPr>
          <w:rFonts w:hint="eastAsia" w:ascii="仿宋_GB2312" w:hAnsi="仿宋_GB2312" w:eastAsia="仿宋_GB2312" w:cs="仿宋_GB2312"/>
          <w:color w:val="000000"/>
          <w:spacing w:val="-6"/>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rPr>
          <w:rFonts w:hint="eastAsia" w:ascii="仿宋_GB2312" w:hAnsi="仿宋_GB2312" w:eastAsia="仿宋_GB2312" w:cs="仿宋_GB2312"/>
          <w:color w:val="000000"/>
          <w:sz w:val="24"/>
          <w:szCs w:val="24"/>
          <w:lang w:val="en-US" w:eastAsia="zh-CN"/>
        </w:rPr>
      </w:pPr>
    </w:p>
    <w:tbl>
      <w:tblPr>
        <w:tblStyle w:val="11"/>
        <w:tblW w:w="9560" w:type="dxa"/>
        <w:jc w:val="center"/>
        <w:tblInd w:w="0" w:type="dxa"/>
        <w:tblLayout w:type="fixed"/>
        <w:tblCellMar>
          <w:top w:w="0" w:type="dxa"/>
          <w:left w:w="0" w:type="dxa"/>
          <w:bottom w:w="0" w:type="dxa"/>
          <w:right w:w="0" w:type="dxa"/>
        </w:tblCellMar>
      </w:tblPr>
      <w:tblGrid>
        <w:gridCol w:w="9560"/>
      </w:tblGrid>
      <w:tr>
        <w:tblPrEx>
          <w:tblLayout w:type="fixed"/>
          <w:tblCellMar>
            <w:top w:w="0" w:type="dxa"/>
            <w:left w:w="0" w:type="dxa"/>
            <w:bottom w:w="0" w:type="dxa"/>
            <w:right w:w="0" w:type="dxa"/>
          </w:tblCellMar>
        </w:tblPrEx>
        <w:trPr>
          <w:trHeight w:val="680" w:hRule="exact"/>
          <w:tblHeader/>
          <w:jc w:val="center"/>
        </w:trPr>
        <w:tc>
          <w:tcPr>
            <w:tcW w:w="9560" w:type="dxa"/>
            <w:tcBorders>
              <w:top w:val="single" w:color="000000" w:sz="4" w:space="0"/>
              <w:left w:val="nil"/>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center"/>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德化县十九届人大</w:t>
            </w:r>
            <w:r>
              <w:rPr>
                <w:rFonts w:hint="eastAsia" w:ascii="Times New Roman" w:hAnsi="Times New Roman" w:cs="Times New Roman"/>
                <w:color w:val="000000"/>
                <w:sz w:val="32"/>
                <w:lang w:eastAsia="zh-CN"/>
              </w:rPr>
              <w:t>六</w:t>
            </w:r>
            <w:r>
              <w:rPr>
                <w:rFonts w:hint="eastAsia" w:ascii="Times New Roman" w:hAnsi="Times New Roman" w:eastAsia="仿宋_GB2312" w:cs="Times New Roman"/>
                <w:color w:val="000000"/>
                <w:sz w:val="32"/>
              </w:rPr>
              <w:t xml:space="preserve">次会议秘书处 </w:t>
            </w:r>
            <w:r>
              <w:rPr>
                <w:rFonts w:ascii="Times New Roman" w:hAnsi="Times New Roman" w:eastAsia="仿宋_GB2312" w:cs="Times New Roman"/>
                <w:color w:val="000000"/>
                <w:sz w:val="32"/>
              </w:rPr>
              <w:t xml:space="preserve">　     </w:t>
            </w:r>
            <w:r>
              <w:rPr>
                <w:rFonts w:hint="eastAsia" w:ascii="Times New Roman" w:hAnsi="Times New Roman" w:eastAsia="仿宋_GB2312" w:cs="Times New Roman"/>
                <w:color w:val="000000"/>
                <w:sz w:val="32"/>
              </w:rPr>
              <w:t xml:space="preserve">   202</w:t>
            </w:r>
            <w:r>
              <w:rPr>
                <w:rFonts w:hint="eastAsia" w:ascii="Times New Roman" w:hAnsi="Times New Roman" w:cs="Times New Roman"/>
                <w:color w:val="000000"/>
                <w:sz w:val="32"/>
                <w:lang w:val="en-US" w:eastAsia="zh-CN"/>
              </w:rPr>
              <w:t>5</w:t>
            </w:r>
            <w:r>
              <w:rPr>
                <w:rFonts w:hint="eastAsia" w:ascii="Times New Roman" w:hAnsi="Times New Roman" w:eastAsia="仿宋_GB2312" w:cs="Times New Roman"/>
                <w:color w:val="000000"/>
                <w:sz w:val="32"/>
              </w:rPr>
              <w:t>年12月</w:t>
            </w:r>
            <w:r>
              <w:rPr>
                <w:rFonts w:hint="eastAsia" w:ascii="Times New Roman" w:hAnsi="Times New Roman" w:cs="Times New Roman"/>
                <w:color w:val="000000"/>
                <w:sz w:val="32"/>
                <w:lang w:val="en-US" w:eastAsia="zh-CN"/>
              </w:rPr>
              <w:t>17</w:t>
            </w:r>
            <w:r>
              <w:rPr>
                <w:rFonts w:hint="eastAsia" w:ascii="Times New Roman" w:hAnsi="Times New Roman" w:eastAsia="仿宋_GB2312" w:cs="Times New Roman"/>
                <w:color w:val="000000"/>
                <w:sz w:val="32"/>
              </w:rPr>
              <w:t>日印</w:t>
            </w:r>
          </w:p>
        </w:tc>
      </w:tr>
    </w:tbl>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仿宋_GB2312" w:hAnsi="仿宋_GB2312" w:eastAsia="仿宋_GB2312" w:cs="仿宋_GB2312"/>
          <w:color w:val="000000"/>
          <w:sz w:val="24"/>
          <w:szCs w:val="24"/>
          <w:lang w:val="en-US" w:eastAsia="zh-CN"/>
        </w:rPr>
      </w:pPr>
    </w:p>
    <w:sectPr>
      <w:footerReference r:id="rId3" w:type="default"/>
      <w:pgSz w:w="11906" w:h="16838"/>
      <w:pgMar w:top="1417" w:right="1417" w:bottom="1417" w:left="1417" w:header="851" w:footer="1247" w:gutter="0"/>
      <w:pgBorders>
        <w:top w:val="none" w:sz="0" w:space="0"/>
        <w:left w:val="none" w:sz="0" w:space="0"/>
        <w:bottom w:val="none" w:sz="0" w:space="0"/>
        <w:right w:val="none" w:sz="0" w:space="0"/>
      </w:pgBorders>
      <w:cols w:space="0" w:num="1"/>
      <w:rtlGutter w:val="0"/>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经典黑体简">
    <w:altName w:val="黑体"/>
    <w:panose1 w:val="02010609000101010101"/>
    <w:charset w:val="86"/>
    <w:family w:val="auto"/>
    <w:pitch w:val="default"/>
    <w:sig w:usb0="00000000" w:usb1="00000000" w:usb2="0000001E" w:usb3="00000000" w:csb0="2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仿宋_GB2312"/>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trackRevisions w:val="1"/>
  <w:documentProtection w:enforcement="0"/>
  <w:defaultTabStop w:val="420"/>
  <w:drawingGridVerticalSpacing w:val="21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Y2Q4YzEwMDc3NWY3Mjg5NWRmZWNlYjAwZjc0ODEifQ=="/>
  </w:docVars>
  <w:rsids>
    <w:rsidRoot w:val="00172A27"/>
    <w:rsid w:val="01131910"/>
    <w:rsid w:val="01603AB9"/>
    <w:rsid w:val="025430F5"/>
    <w:rsid w:val="028A463D"/>
    <w:rsid w:val="029C23BB"/>
    <w:rsid w:val="03430487"/>
    <w:rsid w:val="038B1C9B"/>
    <w:rsid w:val="03FF7D76"/>
    <w:rsid w:val="04C85ABA"/>
    <w:rsid w:val="04F71490"/>
    <w:rsid w:val="058D6E42"/>
    <w:rsid w:val="05C778C6"/>
    <w:rsid w:val="05FC5217"/>
    <w:rsid w:val="06417200"/>
    <w:rsid w:val="06D62349"/>
    <w:rsid w:val="06DD0335"/>
    <w:rsid w:val="070408F9"/>
    <w:rsid w:val="071B1A8A"/>
    <w:rsid w:val="072768FB"/>
    <w:rsid w:val="07482EB3"/>
    <w:rsid w:val="079F75EE"/>
    <w:rsid w:val="07A11F8B"/>
    <w:rsid w:val="084A7B62"/>
    <w:rsid w:val="085F5AB3"/>
    <w:rsid w:val="08747F7C"/>
    <w:rsid w:val="087A2966"/>
    <w:rsid w:val="08AF51B5"/>
    <w:rsid w:val="091E782B"/>
    <w:rsid w:val="098F7F23"/>
    <w:rsid w:val="09C147F6"/>
    <w:rsid w:val="09DF0626"/>
    <w:rsid w:val="09EB7629"/>
    <w:rsid w:val="0A27148B"/>
    <w:rsid w:val="0AC966C9"/>
    <w:rsid w:val="0B245103"/>
    <w:rsid w:val="0B7000FB"/>
    <w:rsid w:val="0B8E6BD7"/>
    <w:rsid w:val="0BAB1E0C"/>
    <w:rsid w:val="0BD508C5"/>
    <w:rsid w:val="0C3B0D03"/>
    <w:rsid w:val="0C3C415F"/>
    <w:rsid w:val="0C724886"/>
    <w:rsid w:val="0C730165"/>
    <w:rsid w:val="0C7859F4"/>
    <w:rsid w:val="0CCF0ECF"/>
    <w:rsid w:val="0D141576"/>
    <w:rsid w:val="0D1516EA"/>
    <w:rsid w:val="0D521147"/>
    <w:rsid w:val="0D8F6622"/>
    <w:rsid w:val="0DF411CC"/>
    <w:rsid w:val="0E326BA2"/>
    <w:rsid w:val="0E7D3C39"/>
    <w:rsid w:val="0EB9370D"/>
    <w:rsid w:val="0EC4395C"/>
    <w:rsid w:val="0F1D7D7F"/>
    <w:rsid w:val="0F3F5F47"/>
    <w:rsid w:val="0F4C33A4"/>
    <w:rsid w:val="0F87322F"/>
    <w:rsid w:val="0FD36B75"/>
    <w:rsid w:val="0FD40A3E"/>
    <w:rsid w:val="10793CC0"/>
    <w:rsid w:val="11204B4C"/>
    <w:rsid w:val="112917FA"/>
    <w:rsid w:val="116752E1"/>
    <w:rsid w:val="11D17A25"/>
    <w:rsid w:val="11DE7ED1"/>
    <w:rsid w:val="12056267"/>
    <w:rsid w:val="120A7482"/>
    <w:rsid w:val="121A4C7D"/>
    <w:rsid w:val="126649FE"/>
    <w:rsid w:val="12927069"/>
    <w:rsid w:val="137725FD"/>
    <w:rsid w:val="13827F20"/>
    <w:rsid w:val="13CA3B26"/>
    <w:rsid w:val="14EF564A"/>
    <w:rsid w:val="151904B2"/>
    <w:rsid w:val="15F96747"/>
    <w:rsid w:val="17580F90"/>
    <w:rsid w:val="179A4091"/>
    <w:rsid w:val="180E3F30"/>
    <w:rsid w:val="18F603FD"/>
    <w:rsid w:val="192029E5"/>
    <w:rsid w:val="1AF93757"/>
    <w:rsid w:val="1B713636"/>
    <w:rsid w:val="1B80096F"/>
    <w:rsid w:val="1B983D54"/>
    <w:rsid w:val="1BCF7397"/>
    <w:rsid w:val="1C1154C4"/>
    <w:rsid w:val="1C6E1C1A"/>
    <w:rsid w:val="1C980B0E"/>
    <w:rsid w:val="1CA72B69"/>
    <w:rsid w:val="1CD409C0"/>
    <w:rsid w:val="1CFF494C"/>
    <w:rsid w:val="1D0E3C25"/>
    <w:rsid w:val="1D273F41"/>
    <w:rsid w:val="1D5C788E"/>
    <w:rsid w:val="1DC94F93"/>
    <w:rsid w:val="1DCA5FFD"/>
    <w:rsid w:val="1DF74D9E"/>
    <w:rsid w:val="1E0641EA"/>
    <w:rsid w:val="1E1865CF"/>
    <w:rsid w:val="1E937715"/>
    <w:rsid w:val="1F18514F"/>
    <w:rsid w:val="1F5F5A2B"/>
    <w:rsid w:val="1F646040"/>
    <w:rsid w:val="1F7147E4"/>
    <w:rsid w:val="203A0A9F"/>
    <w:rsid w:val="20683888"/>
    <w:rsid w:val="206B1785"/>
    <w:rsid w:val="20CA6BD3"/>
    <w:rsid w:val="20E43F47"/>
    <w:rsid w:val="2103276C"/>
    <w:rsid w:val="21A67CF8"/>
    <w:rsid w:val="21AA08C8"/>
    <w:rsid w:val="21CA462A"/>
    <w:rsid w:val="22B57CF2"/>
    <w:rsid w:val="22EE178B"/>
    <w:rsid w:val="22F76187"/>
    <w:rsid w:val="23433F38"/>
    <w:rsid w:val="239543D6"/>
    <w:rsid w:val="2419120D"/>
    <w:rsid w:val="24293274"/>
    <w:rsid w:val="242C4CF3"/>
    <w:rsid w:val="244C4F92"/>
    <w:rsid w:val="24936928"/>
    <w:rsid w:val="255D565D"/>
    <w:rsid w:val="25690540"/>
    <w:rsid w:val="258054B2"/>
    <w:rsid w:val="25CD51E3"/>
    <w:rsid w:val="261712AA"/>
    <w:rsid w:val="26464517"/>
    <w:rsid w:val="2703536F"/>
    <w:rsid w:val="271A7C9B"/>
    <w:rsid w:val="271F468E"/>
    <w:rsid w:val="28441D53"/>
    <w:rsid w:val="28D14E7B"/>
    <w:rsid w:val="28E514B6"/>
    <w:rsid w:val="28EE60BD"/>
    <w:rsid w:val="2A142C0E"/>
    <w:rsid w:val="2A2605EB"/>
    <w:rsid w:val="2A8B559A"/>
    <w:rsid w:val="2B652AD6"/>
    <w:rsid w:val="2B6917AD"/>
    <w:rsid w:val="2BB27D08"/>
    <w:rsid w:val="2C031D06"/>
    <w:rsid w:val="2C191EEC"/>
    <w:rsid w:val="2C4F1B7C"/>
    <w:rsid w:val="2C824E57"/>
    <w:rsid w:val="2CDF2ED9"/>
    <w:rsid w:val="2D3C0D9F"/>
    <w:rsid w:val="2D423211"/>
    <w:rsid w:val="2DC626BE"/>
    <w:rsid w:val="2DC73145"/>
    <w:rsid w:val="2DD21540"/>
    <w:rsid w:val="2DD72FFF"/>
    <w:rsid w:val="2E19026A"/>
    <w:rsid w:val="2E51736C"/>
    <w:rsid w:val="2E6747F1"/>
    <w:rsid w:val="2E8A68C3"/>
    <w:rsid w:val="2F6C5313"/>
    <w:rsid w:val="30706744"/>
    <w:rsid w:val="30A307CA"/>
    <w:rsid w:val="31687EB3"/>
    <w:rsid w:val="327A702F"/>
    <w:rsid w:val="328E2E6D"/>
    <w:rsid w:val="329275D9"/>
    <w:rsid w:val="331309CD"/>
    <w:rsid w:val="3398021F"/>
    <w:rsid w:val="33BA33A8"/>
    <w:rsid w:val="33EF2A62"/>
    <w:rsid w:val="3439006C"/>
    <w:rsid w:val="3510382E"/>
    <w:rsid w:val="35AF4E94"/>
    <w:rsid w:val="35B0371F"/>
    <w:rsid w:val="36323860"/>
    <w:rsid w:val="367A0A3F"/>
    <w:rsid w:val="36CC5CB5"/>
    <w:rsid w:val="372F2B1E"/>
    <w:rsid w:val="3809474B"/>
    <w:rsid w:val="38636BE3"/>
    <w:rsid w:val="387406BF"/>
    <w:rsid w:val="38D87F0F"/>
    <w:rsid w:val="391E3683"/>
    <w:rsid w:val="3944386C"/>
    <w:rsid w:val="394A1825"/>
    <w:rsid w:val="39885171"/>
    <w:rsid w:val="39AF7145"/>
    <w:rsid w:val="39B037FC"/>
    <w:rsid w:val="39E94A04"/>
    <w:rsid w:val="3A8B08C3"/>
    <w:rsid w:val="3A9B781A"/>
    <w:rsid w:val="3B1B6A82"/>
    <w:rsid w:val="3C441D86"/>
    <w:rsid w:val="3C953BCD"/>
    <w:rsid w:val="3CF53E98"/>
    <w:rsid w:val="3D0F31FD"/>
    <w:rsid w:val="3D431A06"/>
    <w:rsid w:val="3D777596"/>
    <w:rsid w:val="3E5C10F2"/>
    <w:rsid w:val="3EDA1DCE"/>
    <w:rsid w:val="3F2D7CB3"/>
    <w:rsid w:val="3F9855CF"/>
    <w:rsid w:val="3FB1426F"/>
    <w:rsid w:val="3FB50751"/>
    <w:rsid w:val="3FC0089F"/>
    <w:rsid w:val="3FD34913"/>
    <w:rsid w:val="3FE40160"/>
    <w:rsid w:val="3FF442F3"/>
    <w:rsid w:val="3FF53E7A"/>
    <w:rsid w:val="405A03FF"/>
    <w:rsid w:val="40784565"/>
    <w:rsid w:val="4152233E"/>
    <w:rsid w:val="42573FA0"/>
    <w:rsid w:val="42A10504"/>
    <w:rsid w:val="42C16FA9"/>
    <w:rsid w:val="42C97A5A"/>
    <w:rsid w:val="437F3066"/>
    <w:rsid w:val="43892EA1"/>
    <w:rsid w:val="43A44562"/>
    <w:rsid w:val="44301E08"/>
    <w:rsid w:val="44C5251E"/>
    <w:rsid w:val="44F66DB9"/>
    <w:rsid w:val="450339CA"/>
    <w:rsid w:val="458D374C"/>
    <w:rsid w:val="45E90F26"/>
    <w:rsid w:val="46F12783"/>
    <w:rsid w:val="470A2430"/>
    <w:rsid w:val="47122FEA"/>
    <w:rsid w:val="472829CB"/>
    <w:rsid w:val="478F735F"/>
    <w:rsid w:val="47A07A5C"/>
    <w:rsid w:val="48217247"/>
    <w:rsid w:val="48A2431D"/>
    <w:rsid w:val="48D10412"/>
    <w:rsid w:val="48DE7A11"/>
    <w:rsid w:val="490C5BE4"/>
    <w:rsid w:val="49391B45"/>
    <w:rsid w:val="49A91F33"/>
    <w:rsid w:val="49C44542"/>
    <w:rsid w:val="49FC5C51"/>
    <w:rsid w:val="4A0D3AD3"/>
    <w:rsid w:val="4A1131C1"/>
    <w:rsid w:val="4AC71A06"/>
    <w:rsid w:val="4AEB04E8"/>
    <w:rsid w:val="4B0F4102"/>
    <w:rsid w:val="4B353255"/>
    <w:rsid w:val="4C157CD3"/>
    <w:rsid w:val="4C8A67BF"/>
    <w:rsid w:val="4C9E6C3B"/>
    <w:rsid w:val="4CF60118"/>
    <w:rsid w:val="4D3C259D"/>
    <w:rsid w:val="4D5B3067"/>
    <w:rsid w:val="4D631CA4"/>
    <w:rsid w:val="4D814F4A"/>
    <w:rsid w:val="4E2F436D"/>
    <w:rsid w:val="4F18763F"/>
    <w:rsid w:val="4F287A9F"/>
    <w:rsid w:val="4F8B3828"/>
    <w:rsid w:val="4FF1284F"/>
    <w:rsid w:val="501F01D7"/>
    <w:rsid w:val="50A32F39"/>
    <w:rsid w:val="50D25185"/>
    <w:rsid w:val="510B6295"/>
    <w:rsid w:val="51661FF9"/>
    <w:rsid w:val="51BC0B8A"/>
    <w:rsid w:val="527138BD"/>
    <w:rsid w:val="527F6EF0"/>
    <w:rsid w:val="52E9562E"/>
    <w:rsid w:val="534F2643"/>
    <w:rsid w:val="54927E5E"/>
    <w:rsid w:val="54B03F12"/>
    <w:rsid w:val="54C13EA3"/>
    <w:rsid w:val="554276B8"/>
    <w:rsid w:val="55575AF8"/>
    <w:rsid w:val="55B65B06"/>
    <w:rsid w:val="55DD51FB"/>
    <w:rsid w:val="56095C88"/>
    <w:rsid w:val="565A6A2B"/>
    <w:rsid w:val="56882ADF"/>
    <w:rsid w:val="569362B6"/>
    <w:rsid w:val="569E24BF"/>
    <w:rsid w:val="56AE4E93"/>
    <w:rsid w:val="56EC77F1"/>
    <w:rsid w:val="573F133F"/>
    <w:rsid w:val="575D44DC"/>
    <w:rsid w:val="57D9100B"/>
    <w:rsid w:val="583559C2"/>
    <w:rsid w:val="58B105A9"/>
    <w:rsid w:val="58B10C67"/>
    <w:rsid w:val="5916748A"/>
    <w:rsid w:val="59271254"/>
    <w:rsid w:val="597C368E"/>
    <w:rsid w:val="59843BF6"/>
    <w:rsid w:val="59A838E5"/>
    <w:rsid w:val="59B815E4"/>
    <w:rsid w:val="59D6710C"/>
    <w:rsid w:val="5A113D61"/>
    <w:rsid w:val="5A180410"/>
    <w:rsid w:val="5A4775A3"/>
    <w:rsid w:val="5A961E84"/>
    <w:rsid w:val="5AAF1FB5"/>
    <w:rsid w:val="5AB43BE2"/>
    <w:rsid w:val="5AEF5B0F"/>
    <w:rsid w:val="5B9709FB"/>
    <w:rsid w:val="5BDA4BB8"/>
    <w:rsid w:val="5BDA5659"/>
    <w:rsid w:val="5CA36EEB"/>
    <w:rsid w:val="5CE741B6"/>
    <w:rsid w:val="5DC262EF"/>
    <w:rsid w:val="5DCB5A0E"/>
    <w:rsid w:val="5E144CCD"/>
    <w:rsid w:val="5E8F7766"/>
    <w:rsid w:val="5E9A5DEE"/>
    <w:rsid w:val="5EDA4600"/>
    <w:rsid w:val="5EFF5C7C"/>
    <w:rsid w:val="5F235D74"/>
    <w:rsid w:val="5F4A0FD9"/>
    <w:rsid w:val="5F4C7AFB"/>
    <w:rsid w:val="5F6E7D98"/>
    <w:rsid w:val="60152E67"/>
    <w:rsid w:val="604A53EA"/>
    <w:rsid w:val="6114646E"/>
    <w:rsid w:val="612973B0"/>
    <w:rsid w:val="619568CD"/>
    <w:rsid w:val="61C37FB0"/>
    <w:rsid w:val="61D01149"/>
    <w:rsid w:val="62476A2B"/>
    <w:rsid w:val="629F5265"/>
    <w:rsid w:val="63164A7A"/>
    <w:rsid w:val="633D77EE"/>
    <w:rsid w:val="6399170E"/>
    <w:rsid w:val="63B87949"/>
    <w:rsid w:val="648655A7"/>
    <w:rsid w:val="64E30B23"/>
    <w:rsid w:val="64FF0A65"/>
    <w:rsid w:val="65580866"/>
    <w:rsid w:val="65C40E59"/>
    <w:rsid w:val="65DA5091"/>
    <w:rsid w:val="661D3DBC"/>
    <w:rsid w:val="673040CD"/>
    <w:rsid w:val="67441A6D"/>
    <w:rsid w:val="6750201B"/>
    <w:rsid w:val="676D077D"/>
    <w:rsid w:val="67933BF7"/>
    <w:rsid w:val="681974DF"/>
    <w:rsid w:val="682E2976"/>
    <w:rsid w:val="687A105F"/>
    <w:rsid w:val="68BC0D46"/>
    <w:rsid w:val="690C4DC3"/>
    <w:rsid w:val="69131273"/>
    <w:rsid w:val="691E4379"/>
    <w:rsid w:val="69366BC3"/>
    <w:rsid w:val="694F436C"/>
    <w:rsid w:val="69556CF3"/>
    <w:rsid w:val="6A0B31EB"/>
    <w:rsid w:val="6A0B7321"/>
    <w:rsid w:val="6A2A4FD5"/>
    <w:rsid w:val="6A626408"/>
    <w:rsid w:val="6B1113B9"/>
    <w:rsid w:val="6B5F6E97"/>
    <w:rsid w:val="6BA821B0"/>
    <w:rsid w:val="6C6F6DE7"/>
    <w:rsid w:val="6C75475B"/>
    <w:rsid w:val="6CB17B36"/>
    <w:rsid w:val="6CB96188"/>
    <w:rsid w:val="6CD1218B"/>
    <w:rsid w:val="6CF158CF"/>
    <w:rsid w:val="6D4638C7"/>
    <w:rsid w:val="6D540AF5"/>
    <w:rsid w:val="6D716943"/>
    <w:rsid w:val="6D920673"/>
    <w:rsid w:val="6DD40885"/>
    <w:rsid w:val="6E0B2E54"/>
    <w:rsid w:val="6E5A1080"/>
    <w:rsid w:val="6E6E537E"/>
    <w:rsid w:val="6EC52BF3"/>
    <w:rsid w:val="6ED01F0A"/>
    <w:rsid w:val="6ED83256"/>
    <w:rsid w:val="6EE9582E"/>
    <w:rsid w:val="6EEA6D18"/>
    <w:rsid w:val="6F3744E8"/>
    <w:rsid w:val="6FB6513F"/>
    <w:rsid w:val="6FBA7D0D"/>
    <w:rsid w:val="7065465C"/>
    <w:rsid w:val="70807AD8"/>
    <w:rsid w:val="708A7832"/>
    <w:rsid w:val="70A73AAC"/>
    <w:rsid w:val="710D3196"/>
    <w:rsid w:val="711D1D52"/>
    <w:rsid w:val="71553A92"/>
    <w:rsid w:val="717E5AD7"/>
    <w:rsid w:val="71FE19A3"/>
    <w:rsid w:val="721D3A6A"/>
    <w:rsid w:val="72A71182"/>
    <w:rsid w:val="72D763C2"/>
    <w:rsid w:val="72EB51CA"/>
    <w:rsid w:val="731E78F3"/>
    <w:rsid w:val="736A324F"/>
    <w:rsid w:val="73E356B4"/>
    <w:rsid w:val="74165098"/>
    <w:rsid w:val="747C1127"/>
    <w:rsid w:val="7492061B"/>
    <w:rsid w:val="75037BD3"/>
    <w:rsid w:val="751E22B8"/>
    <w:rsid w:val="7536521F"/>
    <w:rsid w:val="75966181"/>
    <w:rsid w:val="759962CC"/>
    <w:rsid w:val="75CA6812"/>
    <w:rsid w:val="763D3D03"/>
    <w:rsid w:val="765F0D26"/>
    <w:rsid w:val="76804222"/>
    <w:rsid w:val="76BD7D28"/>
    <w:rsid w:val="76E149D0"/>
    <w:rsid w:val="76FC2715"/>
    <w:rsid w:val="77282B64"/>
    <w:rsid w:val="77303391"/>
    <w:rsid w:val="7766562D"/>
    <w:rsid w:val="778257A9"/>
    <w:rsid w:val="7783131B"/>
    <w:rsid w:val="77895014"/>
    <w:rsid w:val="77A26CA4"/>
    <w:rsid w:val="77A92F70"/>
    <w:rsid w:val="78703E5B"/>
    <w:rsid w:val="790E1894"/>
    <w:rsid w:val="79210FE6"/>
    <w:rsid w:val="7923706B"/>
    <w:rsid w:val="79362E82"/>
    <w:rsid w:val="794B059C"/>
    <w:rsid w:val="794D3B9F"/>
    <w:rsid w:val="79685A5C"/>
    <w:rsid w:val="79980DB9"/>
    <w:rsid w:val="799E08F6"/>
    <w:rsid w:val="79A32B8E"/>
    <w:rsid w:val="79C765BB"/>
    <w:rsid w:val="79E70D04"/>
    <w:rsid w:val="7A29413C"/>
    <w:rsid w:val="7A3779AC"/>
    <w:rsid w:val="7A881497"/>
    <w:rsid w:val="7AB425E2"/>
    <w:rsid w:val="7ACE30C3"/>
    <w:rsid w:val="7BFC5840"/>
    <w:rsid w:val="7C5010D7"/>
    <w:rsid w:val="7C61477D"/>
    <w:rsid w:val="7CBB382B"/>
    <w:rsid w:val="7CC3664E"/>
    <w:rsid w:val="7D6F78E8"/>
    <w:rsid w:val="7DBC2663"/>
    <w:rsid w:val="7E09248B"/>
    <w:rsid w:val="7E822550"/>
    <w:rsid w:val="7EB20566"/>
    <w:rsid w:val="7EB879FF"/>
    <w:rsid w:val="7FA03E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snapToGrid w:val="0"/>
      <w:kern w:val="44"/>
      <w:sz w:val="44"/>
    </w:rPr>
  </w:style>
  <w:style w:type="paragraph" w:styleId="4">
    <w:name w:val="heading 2"/>
    <w:basedOn w:val="1"/>
    <w:next w:val="1"/>
    <w:unhideWhenUsed/>
    <w:qFormat/>
    <w:uiPriority w:val="0"/>
    <w:pPr>
      <w:keepNext/>
      <w:keepLines/>
      <w:adjustRightInd w:val="0"/>
      <w:snapToGrid w:val="0"/>
      <w:spacing w:beforeLines="0" w:beforeAutospacing="0" w:afterLines="0" w:afterAutospacing="0" w:line="560" w:lineRule="exact"/>
      <w:ind w:firstLine="720" w:firstLineChars="200"/>
      <w:jc w:val="left"/>
      <w:outlineLvl w:val="1"/>
    </w:pPr>
    <w:rPr>
      <w:rFonts w:ascii="Times New Roman" w:hAnsi="Times New Roman" w:eastAsia="黑体"/>
      <w:snapToGrid w:val="0"/>
      <w:sz w:val="32"/>
      <w:szCs w:val="22"/>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_Style 3"/>
    <w:basedOn w:val="1"/>
    <w:qFormat/>
    <w:uiPriority w:val="0"/>
    <w:rPr>
      <w:rFonts w:ascii="Times New Roman" w:hAnsi="Times New Roman" w:eastAsia="宋体" w:cs="Times New Roman"/>
      <w:sz w:val="30"/>
      <w:szCs w:val="30"/>
    </w:rPr>
  </w:style>
  <w:style w:type="paragraph" w:styleId="6">
    <w:name w:val="index 6"/>
    <w:basedOn w:val="1"/>
    <w:next w:val="1"/>
    <w:qFormat/>
    <w:uiPriority w:val="0"/>
    <w:pPr>
      <w:ind w:left="1000" w:leftChars="1000"/>
    </w:pPr>
  </w:style>
  <w:style w:type="paragraph" w:styleId="7">
    <w:name w:val="Body Text Indent 2"/>
    <w:basedOn w:val="1"/>
    <w:next w:val="6"/>
    <w:qFormat/>
    <w:uiPriority w:val="0"/>
    <w:pPr>
      <w:spacing w:after="120" w:line="560" w:lineRule="exact"/>
      <w:ind w:left="640" w:leftChars="200" w:firstLine="880"/>
    </w:pPr>
    <w:rPr>
      <w:rFonts w:ascii="Times New Roman" w:hAnsi="Times New Roman" w:eastAsia="仿宋_GB231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adjustRightInd w:val="0"/>
      <w:snapToGrid w:val="0"/>
      <w:spacing w:beforeAutospacing="0" w:afterAutospacing="0" w:line="560" w:lineRule="exact"/>
      <w:jc w:val="left"/>
    </w:pPr>
    <w:rPr>
      <w:rFonts w:cs="Times New Roman" w:asciiTheme="minorAscii" w:hAnsiTheme="minorAscii"/>
      <w:kern w:val="0"/>
      <w:sz w:val="24"/>
    </w:rPr>
  </w:style>
  <w:style w:type="character" w:styleId="13">
    <w:name w:val="Strong"/>
    <w:basedOn w:val="12"/>
    <w:qFormat/>
    <w:uiPriority w:val="0"/>
    <w:rPr>
      <w:b/>
    </w:rPr>
  </w:style>
  <w:style w:type="character" w:styleId="14">
    <w:name w:val="Emphasis"/>
    <w:basedOn w:val="12"/>
    <w:qFormat/>
    <w:uiPriority w:val="0"/>
    <w:rPr>
      <w:i/>
    </w:rPr>
  </w:style>
  <w:style w:type="character" w:customStyle="1" w:styleId="15">
    <w:name w:val="font11"/>
    <w:basedOn w:val="12"/>
    <w:qFormat/>
    <w:uiPriority w:val="0"/>
    <w:rPr>
      <w:rFonts w:hint="default" w:ascii="Times New Roman" w:hAnsi="Times New Roman" w:cs="Times New Roman"/>
      <w:color w:val="000000"/>
      <w:sz w:val="24"/>
      <w:szCs w:val="24"/>
      <w:u w:val="none"/>
    </w:rPr>
  </w:style>
  <w:style w:type="character" w:customStyle="1" w:styleId="16">
    <w:name w:val="font31"/>
    <w:basedOn w:val="12"/>
    <w:qFormat/>
    <w:uiPriority w:val="0"/>
    <w:rPr>
      <w:rFonts w:hint="eastAsia" w:ascii="仿宋_GB2312" w:eastAsia="仿宋_GB2312" w:cs="仿宋_GB2312"/>
      <w:color w:val="000000"/>
      <w:sz w:val="24"/>
      <w:szCs w:val="24"/>
      <w:u w:val="none"/>
    </w:rPr>
  </w:style>
  <w:style w:type="character" w:customStyle="1" w:styleId="17">
    <w:name w:val="font21"/>
    <w:basedOn w:val="12"/>
    <w:qFormat/>
    <w:uiPriority w:val="0"/>
    <w:rPr>
      <w:rFonts w:hint="default" w:ascii="Times New Roman" w:hAnsi="Times New Roman" w:cs="Times New Roman"/>
      <w:color w:val="000000"/>
      <w:sz w:val="24"/>
      <w:szCs w:val="24"/>
      <w:u w:val="none"/>
    </w:rPr>
  </w:style>
  <w:style w:type="character" w:customStyle="1" w:styleId="18">
    <w:name w:val="font51"/>
    <w:basedOn w:val="12"/>
    <w:qFormat/>
    <w:uiPriority w:val="0"/>
    <w:rPr>
      <w:rFonts w:hint="default" w:ascii="Times New Roman" w:hAnsi="Times New Roman" w:cs="Times New Roman"/>
      <w:color w:val="000000"/>
      <w:sz w:val="24"/>
      <w:szCs w:val="24"/>
      <w:u w:val="none"/>
    </w:rPr>
  </w:style>
  <w:style w:type="character" w:customStyle="1" w:styleId="19">
    <w:name w:val="font41"/>
    <w:basedOn w:val="12"/>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32</Pages>
  <Words>9701</Words>
  <Characters>10204</Characters>
  <Lines>0</Lines>
  <Paragraphs>0</Paragraphs>
  <TotalTime>5</TotalTime>
  <ScaleCrop>false</ScaleCrop>
  <LinksUpToDate>false</LinksUpToDate>
  <CharactersWithSpaces>10259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lenovo2</cp:lastModifiedBy>
  <cp:lastPrinted>2025-12-18T00:34:00Z</cp:lastPrinted>
  <dcterms:modified xsi:type="dcterms:W3CDTF">2026-05-13T01:40:19Z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DCE3B65A2102448998CA8C1202B9BDF0_13</vt:lpwstr>
  </property>
  <property fmtid="{D5CDD505-2E9C-101B-9397-08002B2CF9AE}" pid="4" name="KSOTemplateDocerSaveRecord">
    <vt:lpwstr>eyJoZGlkIjoiYzA1Y2Q4YzEwMDc3NWY3Mjg5NWRmZWNlYjAwZjc0ODEiLCJ1c2VySWQiOiIyODIxODU2ODUifQ==</vt:lpwstr>
  </property>
</Properties>
</file>