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spacing w:beforeLines="50" w:afterLines="50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方正小标宋_GBK"/>
          <w:sz w:val="32"/>
          <w:szCs w:val="32"/>
        </w:rPr>
        <w:t>20</w:t>
      </w:r>
      <w:r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  <w:t>21</w:t>
      </w:r>
      <w:r>
        <w:rPr>
          <w:rFonts w:hint="eastAsia" w:ascii="方正小标宋_GBK" w:eastAsia="方正小标宋_GBK" w:cs="方正小标宋_GBK"/>
          <w:sz w:val="32"/>
          <w:szCs w:val="32"/>
        </w:rPr>
        <w:t>年德化县政府预算相关重要事项说明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一、德化</w:t>
      </w:r>
      <w:r>
        <w:rPr>
          <w:rFonts w:hint="eastAsia" w:ascii="方正黑体_GBK" w:hAnsi="仿宋" w:eastAsia="方正黑体_GBK" w:cs="方正黑体_GBK"/>
          <w:kern w:val="0"/>
          <w:sz w:val="32"/>
          <w:szCs w:val="32"/>
        </w:rPr>
        <w:t>县财政支出预算说明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年度德化县财政一般公共预算支出数为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216883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</w:t>
      </w: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19768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（一）一般公共服务支出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23373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0.4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和专项业务项目支出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人大事务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786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10.7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政协事务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451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4.4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政府办公厅（室）及相关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机构事务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5468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720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11.6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发展与改革事务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22.9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。主要原因是人员经费和专项业务经费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统计信息事务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专项普查</w:t>
      </w:r>
      <w:r>
        <w:rPr>
          <w:rFonts w:hint="eastAsia" w:ascii="仿宋" w:hAnsi="仿宋" w:eastAsia="仿宋" w:cs="仿宋"/>
          <w:kern w:val="0"/>
          <w:sz w:val="32"/>
          <w:szCs w:val="32"/>
        </w:rPr>
        <w:t>经费增加。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税收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审计事务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纪检监察事务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1781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商贸事务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民族事务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人员经费减少和科目调整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港澳台侨事务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档案事务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44.9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民主党派及工商联事务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42.3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群众团体事务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党委办公厅（室）及相关机构事务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4178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组织事务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和专项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宣传事务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573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和专项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统战事务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华侨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业务经费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市场监督管理事务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1995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其他一般公共服务支出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年预留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专项项目资金减少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民兵训练经费支出。</w:t>
      </w:r>
    </w:p>
    <w:p>
      <w:pPr>
        <w:spacing w:line="600" w:lineRule="exact"/>
        <w:ind w:firstLine="320" w:firstLineChars="1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（三）公共安全支出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14185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及办案费预留等。其中：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武装警察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13011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司法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976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法院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审判助理人员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（四）教育支出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61909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4073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。主要原因是人员经费支出增加、县级财政加大教育投入等。其中：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教育管理事务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1550万元，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要原因是人员经费支出增加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县级财政加大教育投入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普通教育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53397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要原因是人员经费支出增加。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职业教育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3464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1499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76.3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要原因是人员经费支出增加、县级财政加大教育投入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特殊教育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606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要原因是人员经费支出增加、县级财政加大教育投入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进修及培训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204.7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要原因是人员经费支出增加、县级财政加大教育投入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教育费附加安排的支出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（五）科学技术支出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4139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，主要原因是按法定投入规定，县财政加大科技经费投入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科学技术管理事务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技术研究与开发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。主要原因是县级财政加大科研经费投入。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科学技术普及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经费支出减少。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其他科学技术支出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（六）文化旅游体育与传媒支出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要原因是人员经费支出增加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及上级加大专项业务活动投入。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文化和旅游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文物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105.5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上级提前下达博物馆免费开放资金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的增加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是增加专项资金支出。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新闻出版影视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广播电视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6.其他文化体育与传媒支出300万元，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是增加其他文化专项资金支出。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（七）社会保障和就业支出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22349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，主要原因是人员经费及上级提前下达专项资金增加。其中：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人力资源和社会保障管理事务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1104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民政管理事务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行政事业单位离退休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5517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1901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52.6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减税降费的影响增加县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级财政投入。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就业补助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200万，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58.8%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上级减少就业专项的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投入。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抚恤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退役安置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社会福利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残疾人事业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红十字事业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53万元，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增加。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最低生活保障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1960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。主要原因是增加农村低保支出。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临时救助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特困人员救助供养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757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。主要原因是上级提前下达农村特困人员救助专项资金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其他生活救助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70.3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财政对基本养老保险基金的补助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7089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财政加大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基本养老保险基金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的投入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退役军人管理事务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财政代缴社会保险费支出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130万，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增加预留低收入农庭医疗保险的专项补助。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其他社会保障和就业支出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（八）卫生健康支出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11645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上级提前下达专项资金增加。其中：</w:t>
      </w:r>
    </w:p>
    <w:p>
      <w:pPr>
        <w:numPr>
          <w:ilvl w:val="0"/>
          <w:numId w:val="0"/>
        </w:num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卫生健康管理事务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469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307.8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公立医院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基层医疗卫生机构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2677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公共卫生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中医药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计划生育事务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3327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财政对基本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保险基金的补助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级财政投入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医疗救助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优抚对象医疗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老龄卫生健康事务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186.7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（九）节能环保支出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污染防治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其他节能环保支出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（十）城乡社区支出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4458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　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城乡社区公共设施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1484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城乡社区环境卫生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其他城乡社区支出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（十一）农林水支出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16035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。主要原因是按法定投入要求增加县级财政投入、上级提前下达农林水支出补助资金等。其中：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农业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8074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。主要原因是按法定投入要求县级财政投入、上级提前下达专项资金等增加。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林业和草原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3140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上级提前下达的生态效益补偿等转移支付增加。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水利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32.7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扶贫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农村综合改革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（十二）交通运输支出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3206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23.8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新增公路建设专项支出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公路水路运输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398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。主要原因是公路建设专项支出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2.成品油价格改革对交通运输的补贴1000万元，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加大资金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投入。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3.其他交通运输支出110万元，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（十三）资源勘探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工业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信息等支出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21352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4069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人员经费增加及上级提前下达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1.国有资产监管15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89.9%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支持中小企业发展和管理支出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21337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4203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24.5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（十四）商业服务业等支出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。主要原因是人员经费减少。其中：</w:t>
      </w:r>
    </w:p>
    <w:p>
      <w:pPr>
        <w:spacing w:line="600" w:lineRule="exact"/>
        <w:ind w:firstLine="800" w:firstLineChars="25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商业流通事务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。主要原因是人员经费减少。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援助其他地区支出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293万，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与上年预算数持平。其中：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一般公共服务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293万，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与上年预算数持平。</w:t>
      </w:r>
    </w:p>
    <w:p>
      <w:pPr>
        <w:spacing w:line="600" w:lineRule="exac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（十六）自然资源海洋气象等支出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1794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8.9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自然资源事务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气象事务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）粮油物资储备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781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19.6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县级粮食风险基金支出。其中：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粮油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物资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23.3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县级粮食风险基金支出。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粮油储备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万元。主要原因是增加粮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油储备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）灾害防治及应急管理支出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2482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59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 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应急管理事务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897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7.2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专项项目支出。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消防事务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159.4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专项项目支出。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地震事务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人员经费减少和科目调整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预备费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较上年预算数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上级提前下达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）其他支出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414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75.4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预留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）债务付息支出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12000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26.3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。主要原因是今年应支付的债务利息增加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</w:rPr>
        <w:t>）上解支出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7800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专项项目支出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本县所辖乡镇未单独编制政府预算，为此未有对下税收返还和转移支付预算数据。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 w:cs="Times New Roman"/>
          <w:snapToGrid w:val="0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，德化县新增政府债务限额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85594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万元，实际发行新增债券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84639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（一般债券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14339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，专项债券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  70300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eastAsia="zh-CN"/>
        </w:rPr>
        <w:t>，新增政府外债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（用于医改促进项目）955万元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。截至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底，德化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512916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（一般债务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297168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，专项债务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215748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），债务余额严格控制在上级核定的限额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783787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内。</w:t>
      </w:r>
    </w:p>
    <w:p>
      <w:pPr>
        <w:spacing w:line="600" w:lineRule="exact"/>
        <w:ind w:firstLine="6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四、德</w:t>
      </w:r>
      <w:r>
        <w:rPr>
          <w:rFonts w:hint="eastAsia" w:ascii="黑体" w:hAnsi="黑体" w:eastAsia="黑体" w:cs="黑体"/>
          <w:sz w:val="32"/>
          <w:szCs w:val="32"/>
        </w:rPr>
        <w:t>化县本级“三公经费”经费支出安排情况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ind w:firstLine="6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经汇总，本级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年使用一般公共预算拨款安排的“三公”经费预算数为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702</w:t>
      </w:r>
      <w:r>
        <w:rPr>
          <w:rFonts w:hint="eastAsia" w:ascii="仿宋" w:hAnsi="仿宋" w:eastAsia="仿宋" w:cs="仿宋"/>
          <w:sz w:val="32"/>
          <w:szCs w:val="32"/>
        </w:rPr>
        <w:t>万元，比上年预算数减少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299</w:t>
      </w:r>
      <w:r>
        <w:rPr>
          <w:rFonts w:hint="eastAsia" w:ascii="仿宋" w:hAnsi="仿宋" w:eastAsia="仿宋" w:cs="仿宋"/>
          <w:sz w:val="32"/>
          <w:szCs w:val="32"/>
        </w:rPr>
        <w:t>万元。其中，因公出国（境）经费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万元，与上年预算数相比下降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57.14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万元，与上年预算数相比下降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60.51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；公务用车购置经费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万元，与上年持平；公务用车运行经费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</w:t>
      </w:r>
      <w:r>
        <w:rPr>
          <w:rFonts w:hint="eastAsia" w:ascii="仿宋" w:hAnsi="仿宋" w:eastAsia="仿宋" w:cs="仿宋"/>
          <w:sz w:val="32"/>
          <w:szCs w:val="32"/>
        </w:rPr>
        <w:t>万元，与上年预算数相比下降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15.44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。“三公”经费预算下降的主要原因是接待上级部门检查、调研人数及使用公务用车减少。</w:t>
      </w:r>
    </w:p>
    <w:p>
      <w:pPr>
        <w:spacing w:line="600" w:lineRule="exact"/>
        <w:ind w:firstLine="620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214A"/>
    <w:multiLevelType w:val="singleLevel"/>
    <w:tmpl w:val="5E20214A"/>
    <w:lvl w:ilvl="0" w:tentative="0">
      <w:start w:val="17"/>
      <w:numFmt w:val="decimal"/>
      <w:suff w:val="nothing"/>
      <w:lvlText w:val="%1."/>
      <w:lvlJc w:val="left"/>
    </w:lvl>
  </w:abstractNum>
  <w:abstractNum w:abstractNumId="1">
    <w:nsid w:val="5E211C33"/>
    <w:multiLevelType w:val="singleLevel"/>
    <w:tmpl w:val="5E211C33"/>
    <w:lvl w:ilvl="0" w:tentative="0">
      <w:start w:val="11"/>
      <w:numFmt w:val="decimal"/>
      <w:suff w:val="nothing"/>
      <w:lvlText w:val="%1."/>
      <w:lvlJc w:val="left"/>
    </w:lvl>
  </w:abstractNum>
  <w:abstractNum w:abstractNumId="2">
    <w:nsid w:val="5E2158C6"/>
    <w:multiLevelType w:val="singleLevel"/>
    <w:tmpl w:val="5E2158C6"/>
    <w:lvl w:ilvl="0" w:tentative="0">
      <w:start w:val="15"/>
      <w:numFmt w:val="chineseCounting"/>
      <w:suff w:val="nothing"/>
      <w:lvlText w:val="（%1）"/>
      <w:lvlJc w:val="left"/>
    </w:lvl>
  </w:abstractNum>
  <w:abstractNum w:abstractNumId="3">
    <w:nsid w:val="5E215A8D"/>
    <w:multiLevelType w:val="singleLevel"/>
    <w:tmpl w:val="5E215A8D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FF518EE"/>
    <w:multiLevelType w:val="singleLevel"/>
    <w:tmpl w:val="5FF518EE"/>
    <w:lvl w:ilvl="0" w:tentative="0">
      <w:start w:val="1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4A6"/>
    <w:rsid w:val="0000247D"/>
    <w:rsid w:val="000204A3"/>
    <w:rsid w:val="00033652"/>
    <w:rsid w:val="000363A2"/>
    <w:rsid w:val="000363D8"/>
    <w:rsid w:val="00040E29"/>
    <w:rsid w:val="00057A3C"/>
    <w:rsid w:val="000B2F41"/>
    <w:rsid w:val="000D762B"/>
    <w:rsid w:val="00102DF0"/>
    <w:rsid w:val="00105554"/>
    <w:rsid w:val="001154E2"/>
    <w:rsid w:val="00117A2F"/>
    <w:rsid w:val="001447E4"/>
    <w:rsid w:val="00146774"/>
    <w:rsid w:val="00163934"/>
    <w:rsid w:val="001875F3"/>
    <w:rsid w:val="001C1A73"/>
    <w:rsid w:val="001C4C9F"/>
    <w:rsid w:val="001D1D29"/>
    <w:rsid w:val="00211978"/>
    <w:rsid w:val="002404A3"/>
    <w:rsid w:val="00240FC4"/>
    <w:rsid w:val="002411BA"/>
    <w:rsid w:val="00241C64"/>
    <w:rsid w:val="002466D4"/>
    <w:rsid w:val="00252446"/>
    <w:rsid w:val="002F289B"/>
    <w:rsid w:val="00302C1F"/>
    <w:rsid w:val="0030345F"/>
    <w:rsid w:val="00304E01"/>
    <w:rsid w:val="00313891"/>
    <w:rsid w:val="00326E49"/>
    <w:rsid w:val="003407B2"/>
    <w:rsid w:val="00354AA9"/>
    <w:rsid w:val="0035714B"/>
    <w:rsid w:val="00376058"/>
    <w:rsid w:val="003808AD"/>
    <w:rsid w:val="003B1DB0"/>
    <w:rsid w:val="003B483A"/>
    <w:rsid w:val="003C3FC9"/>
    <w:rsid w:val="003D3C50"/>
    <w:rsid w:val="003D66B4"/>
    <w:rsid w:val="003E2C0E"/>
    <w:rsid w:val="00403690"/>
    <w:rsid w:val="00410E7F"/>
    <w:rsid w:val="004135CD"/>
    <w:rsid w:val="00416E9D"/>
    <w:rsid w:val="00417241"/>
    <w:rsid w:val="00444F54"/>
    <w:rsid w:val="0046400D"/>
    <w:rsid w:val="004753BE"/>
    <w:rsid w:val="004B16B9"/>
    <w:rsid w:val="004D4EA8"/>
    <w:rsid w:val="004F044C"/>
    <w:rsid w:val="00527BBF"/>
    <w:rsid w:val="005367CE"/>
    <w:rsid w:val="00550F0F"/>
    <w:rsid w:val="00563473"/>
    <w:rsid w:val="005775D9"/>
    <w:rsid w:val="00580AD9"/>
    <w:rsid w:val="005B5C1F"/>
    <w:rsid w:val="005D12B2"/>
    <w:rsid w:val="005D5683"/>
    <w:rsid w:val="00644123"/>
    <w:rsid w:val="00651375"/>
    <w:rsid w:val="0066658E"/>
    <w:rsid w:val="00697777"/>
    <w:rsid w:val="006A06ED"/>
    <w:rsid w:val="006C44F7"/>
    <w:rsid w:val="00701952"/>
    <w:rsid w:val="0076070B"/>
    <w:rsid w:val="007672DB"/>
    <w:rsid w:val="00770010"/>
    <w:rsid w:val="00792918"/>
    <w:rsid w:val="007A0B3E"/>
    <w:rsid w:val="007B37DC"/>
    <w:rsid w:val="007D34C7"/>
    <w:rsid w:val="007D490B"/>
    <w:rsid w:val="007E1D8F"/>
    <w:rsid w:val="00801C33"/>
    <w:rsid w:val="008470E6"/>
    <w:rsid w:val="00874465"/>
    <w:rsid w:val="0087535B"/>
    <w:rsid w:val="00884901"/>
    <w:rsid w:val="008D40B2"/>
    <w:rsid w:val="00915A8A"/>
    <w:rsid w:val="009161D5"/>
    <w:rsid w:val="009242EE"/>
    <w:rsid w:val="00927724"/>
    <w:rsid w:val="00930103"/>
    <w:rsid w:val="00947396"/>
    <w:rsid w:val="00966AC9"/>
    <w:rsid w:val="009807F6"/>
    <w:rsid w:val="00987EA2"/>
    <w:rsid w:val="0099253E"/>
    <w:rsid w:val="009B7825"/>
    <w:rsid w:val="009C624E"/>
    <w:rsid w:val="009D1839"/>
    <w:rsid w:val="009D34A6"/>
    <w:rsid w:val="00A2301E"/>
    <w:rsid w:val="00A23499"/>
    <w:rsid w:val="00A25ADC"/>
    <w:rsid w:val="00A34EA2"/>
    <w:rsid w:val="00A6058C"/>
    <w:rsid w:val="00B0096E"/>
    <w:rsid w:val="00B03E7C"/>
    <w:rsid w:val="00B25718"/>
    <w:rsid w:val="00B6037D"/>
    <w:rsid w:val="00B73FFE"/>
    <w:rsid w:val="00B96B40"/>
    <w:rsid w:val="00BB57E1"/>
    <w:rsid w:val="00BE44B8"/>
    <w:rsid w:val="00C117AE"/>
    <w:rsid w:val="00C60E23"/>
    <w:rsid w:val="00CC514A"/>
    <w:rsid w:val="00CE5233"/>
    <w:rsid w:val="00D27EC3"/>
    <w:rsid w:val="00D460C7"/>
    <w:rsid w:val="00D64CDB"/>
    <w:rsid w:val="00D75413"/>
    <w:rsid w:val="00D80F11"/>
    <w:rsid w:val="00D905AB"/>
    <w:rsid w:val="00D95871"/>
    <w:rsid w:val="00DE7C69"/>
    <w:rsid w:val="00DE7E48"/>
    <w:rsid w:val="00DF48B5"/>
    <w:rsid w:val="00E23567"/>
    <w:rsid w:val="00E30957"/>
    <w:rsid w:val="00E31761"/>
    <w:rsid w:val="00E41D2A"/>
    <w:rsid w:val="00E43E09"/>
    <w:rsid w:val="00E469B6"/>
    <w:rsid w:val="00E81CEF"/>
    <w:rsid w:val="00E84B74"/>
    <w:rsid w:val="00E85951"/>
    <w:rsid w:val="00EE32C3"/>
    <w:rsid w:val="00EE575F"/>
    <w:rsid w:val="00EF5397"/>
    <w:rsid w:val="00F10FDD"/>
    <w:rsid w:val="00F42A78"/>
    <w:rsid w:val="00F5588B"/>
    <w:rsid w:val="00F877D2"/>
    <w:rsid w:val="00FC6FDA"/>
    <w:rsid w:val="00FF1D93"/>
    <w:rsid w:val="01007C8F"/>
    <w:rsid w:val="0187164C"/>
    <w:rsid w:val="02CE0A74"/>
    <w:rsid w:val="02FD2B29"/>
    <w:rsid w:val="033C06A6"/>
    <w:rsid w:val="033E0340"/>
    <w:rsid w:val="03634714"/>
    <w:rsid w:val="04553693"/>
    <w:rsid w:val="05C6635A"/>
    <w:rsid w:val="062C0D97"/>
    <w:rsid w:val="070E1497"/>
    <w:rsid w:val="08774542"/>
    <w:rsid w:val="08A24C33"/>
    <w:rsid w:val="091A25DF"/>
    <w:rsid w:val="0A011AF7"/>
    <w:rsid w:val="0A5014F6"/>
    <w:rsid w:val="0A995080"/>
    <w:rsid w:val="0AAE6616"/>
    <w:rsid w:val="0AD84323"/>
    <w:rsid w:val="0B1D6B68"/>
    <w:rsid w:val="0B316DFA"/>
    <w:rsid w:val="0C7A75B7"/>
    <w:rsid w:val="0CCD7D98"/>
    <w:rsid w:val="0D727C85"/>
    <w:rsid w:val="0DB8445D"/>
    <w:rsid w:val="0E613797"/>
    <w:rsid w:val="0ECA3E97"/>
    <w:rsid w:val="0ED92D63"/>
    <w:rsid w:val="103F2FF4"/>
    <w:rsid w:val="1090326B"/>
    <w:rsid w:val="11271750"/>
    <w:rsid w:val="12BC1506"/>
    <w:rsid w:val="14615FDA"/>
    <w:rsid w:val="14AD27BF"/>
    <w:rsid w:val="14AD5264"/>
    <w:rsid w:val="14C40A6A"/>
    <w:rsid w:val="152824A9"/>
    <w:rsid w:val="15352D52"/>
    <w:rsid w:val="157B7A45"/>
    <w:rsid w:val="15F44DB6"/>
    <w:rsid w:val="164D4682"/>
    <w:rsid w:val="16661BED"/>
    <w:rsid w:val="169E3498"/>
    <w:rsid w:val="16D846B5"/>
    <w:rsid w:val="16F3227E"/>
    <w:rsid w:val="170A591F"/>
    <w:rsid w:val="17621BA2"/>
    <w:rsid w:val="187278A5"/>
    <w:rsid w:val="19706DE8"/>
    <w:rsid w:val="19FB46EB"/>
    <w:rsid w:val="1A0E25AE"/>
    <w:rsid w:val="1A2F526D"/>
    <w:rsid w:val="1A8B5580"/>
    <w:rsid w:val="1AD86C85"/>
    <w:rsid w:val="1AF77A78"/>
    <w:rsid w:val="1B592707"/>
    <w:rsid w:val="1B725308"/>
    <w:rsid w:val="1C0522A8"/>
    <w:rsid w:val="1C4D1654"/>
    <w:rsid w:val="1D1B6F72"/>
    <w:rsid w:val="1D80012C"/>
    <w:rsid w:val="1DB10F7A"/>
    <w:rsid w:val="1E842CC1"/>
    <w:rsid w:val="1EEA4091"/>
    <w:rsid w:val="1FB74B55"/>
    <w:rsid w:val="20F976BB"/>
    <w:rsid w:val="22614A46"/>
    <w:rsid w:val="23153B5E"/>
    <w:rsid w:val="23A90A68"/>
    <w:rsid w:val="23E7267D"/>
    <w:rsid w:val="26403A7C"/>
    <w:rsid w:val="26B66760"/>
    <w:rsid w:val="26BB624D"/>
    <w:rsid w:val="26D43274"/>
    <w:rsid w:val="288F77F3"/>
    <w:rsid w:val="289B7CEA"/>
    <w:rsid w:val="28CB696D"/>
    <w:rsid w:val="296219B2"/>
    <w:rsid w:val="2A364F06"/>
    <w:rsid w:val="2A7E5E52"/>
    <w:rsid w:val="2C1F609F"/>
    <w:rsid w:val="2C7221EB"/>
    <w:rsid w:val="2D0F1855"/>
    <w:rsid w:val="2DD82C22"/>
    <w:rsid w:val="2EBE7A1F"/>
    <w:rsid w:val="2F224BA8"/>
    <w:rsid w:val="2F2A4EAD"/>
    <w:rsid w:val="2F732AC0"/>
    <w:rsid w:val="302D2FCB"/>
    <w:rsid w:val="309521CE"/>
    <w:rsid w:val="315B0900"/>
    <w:rsid w:val="31E51327"/>
    <w:rsid w:val="322C19B1"/>
    <w:rsid w:val="33AB12C9"/>
    <w:rsid w:val="33CD4D5B"/>
    <w:rsid w:val="347520D2"/>
    <w:rsid w:val="34850855"/>
    <w:rsid w:val="35397E8D"/>
    <w:rsid w:val="35A84325"/>
    <w:rsid w:val="35D41FD1"/>
    <w:rsid w:val="35F961A2"/>
    <w:rsid w:val="36806DAD"/>
    <w:rsid w:val="36B659C2"/>
    <w:rsid w:val="36C53DD2"/>
    <w:rsid w:val="37EF2F2A"/>
    <w:rsid w:val="38204A63"/>
    <w:rsid w:val="38667811"/>
    <w:rsid w:val="3A9D57D9"/>
    <w:rsid w:val="3B13574D"/>
    <w:rsid w:val="3B5B0B0B"/>
    <w:rsid w:val="3C80540F"/>
    <w:rsid w:val="3CD65123"/>
    <w:rsid w:val="3CE64D29"/>
    <w:rsid w:val="3D11529E"/>
    <w:rsid w:val="3D125A86"/>
    <w:rsid w:val="3D5547B8"/>
    <w:rsid w:val="3D6564EA"/>
    <w:rsid w:val="3DA54C5F"/>
    <w:rsid w:val="3DF67DB0"/>
    <w:rsid w:val="3DF76C4E"/>
    <w:rsid w:val="3EC76ECD"/>
    <w:rsid w:val="3EE23854"/>
    <w:rsid w:val="3FE8420A"/>
    <w:rsid w:val="3FF02F2B"/>
    <w:rsid w:val="3FF175EF"/>
    <w:rsid w:val="3FF27ED5"/>
    <w:rsid w:val="40A91B44"/>
    <w:rsid w:val="40AC6775"/>
    <w:rsid w:val="40CA710E"/>
    <w:rsid w:val="42FD4770"/>
    <w:rsid w:val="43025763"/>
    <w:rsid w:val="44604C8A"/>
    <w:rsid w:val="448908DC"/>
    <w:rsid w:val="45586A75"/>
    <w:rsid w:val="463E59B4"/>
    <w:rsid w:val="46926D0B"/>
    <w:rsid w:val="469D4746"/>
    <w:rsid w:val="46C31FC6"/>
    <w:rsid w:val="46DE5D8A"/>
    <w:rsid w:val="470C3A67"/>
    <w:rsid w:val="47F3537C"/>
    <w:rsid w:val="481347B2"/>
    <w:rsid w:val="4841028A"/>
    <w:rsid w:val="48D64F2C"/>
    <w:rsid w:val="49261FC5"/>
    <w:rsid w:val="4949578E"/>
    <w:rsid w:val="4A5C0257"/>
    <w:rsid w:val="4A5D71FF"/>
    <w:rsid w:val="4A771181"/>
    <w:rsid w:val="4A8C312D"/>
    <w:rsid w:val="4AA62986"/>
    <w:rsid w:val="4BE82A8D"/>
    <w:rsid w:val="4BF36D24"/>
    <w:rsid w:val="4D301CC0"/>
    <w:rsid w:val="4D9042FC"/>
    <w:rsid w:val="4D9E2177"/>
    <w:rsid w:val="4E555A95"/>
    <w:rsid w:val="4E957F2C"/>
    <w:rsid w:val="4EA5578E"/>
    <w:rsid w:val="5233316D"/>
    <w:rsid w:val="535F6DF5"/>
    <w:rsid w:val="536C0EDF"/>
    <w:rsid w:val="54BC6404"/>
    <w:rsid w:val="56204FE8"/>
    <w:rsid w:val="565652F5"/>
    <w:rsid w:val="56BA1DA8"/>
    <w:rsid w:val="578B16D2"/>
    <w:rsid w:val="57911D4A"/>
    <w:rsid w:val="57F7424C"/>
    <w:rsid w:val="58B060E9"/>
    <w:rsid w:val="5A0424B6"/>
    <w:rsid w:val="5A6548BD"/>
    <w:rsid w:val="5A767522"/>
    <w:rsid w:val="5C6608C0"/>
    <w:rsid w:val="5D4E679E"/>
    <w:rsid w:val="5E171950"/>
    <w:rsid w:val="5F931E20"/>
    <w:rsid w:val="5FC055CA"/>
    <w:rsid w:val="5FFD1B51"/>
    <w:rsid w:val="61066C74"/>
    <w:rsid w:val="61883B83"/>
    <w:rsid w:val="61E571FB"/>
    <w:rsid w:val="61EE0BFF"/>
    <w:rsid w:val="628B22F1"/>
    <w:rsid w:val="62B36A3B"/>
    <w:rsid w:val="62D10D9D"/>
    <w:rsid w:val="649143DA"/>
    <w:rsid w:val="64F70E27"/>
    <w:rsid w:val="65F67706"/>
    <w:rsid w:val="66C63687"/>
    <w:rsid w:val="678A0E4D"/>
    <w:rsid w:val="683E6A27"/>
    <w:rsid w:val="69061B1D"/>
    <w:rsid w:val="69713449"/>
    <w:rsid w:val="69E27554"/>
    <w:rsid w:val="6A252749"/>
    <w:rsid w:val="6AC20941"/>
    <w:rsid w:val="6B5C7BF0"/>
    <w:rsid w:val="6DC04929"/>
    <w:rsid w:val="6DF901B8"/>
    <w:rsid w:val="6E872D0B"/>
    <w:rsid w:val="6F6B1E37"/>
    <w:rsid w:val="6FB04C6A"/>
    <w:rsid w:val="702F1CAA"/>
    <w:rsid w:val="70773781"/>
    <w:rsid w:val="717912DF"/>
    <w:rsid w:val="72C605BC"/>
    <w:rsid w:val="7371158F"/>
    <w:rsid w:val="73965301"/>
    <w:rsid w:val="745A4698"/>
    <w:rsid w:val="754C6FEA"/>
    <w:rsid w:val="768D4E1D"/>
    <w:rsid w:val="76913E7C"/>
    <w:rsid w:val="76AC66BD"/>
    <w:rsid w:val="77440E67"/>
    <w:rsid w:val="776D0ADE"/>
    <w:rsid w:val="778405C8"/>
    <w:rsid w:val="7820474A"/>
    <w:rsid w:val="78232800"/>
    <w:rsid w:val="784410B8"/>
    <w:rsid w:val="79274096"/>
    <w:rsid w:val="7AAA4C86"/>
    <w:rsid w:val="7B087D4F"/>
    <w:rsid w:val="7C617BC7"/>
    <w:rsid w:val="7DAF24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b/>
      <w:bCs/>
    </w:rPr>
  </w:style>
  <w:style w:type="character" w:customStyle="1" w:styleId="7">
    <w:name w:val="Footer Char"/>
    <w:basedOn w:val="4"/>
    <w:link w:val="2"/>
    <w:qFormat/>
    <w:locked/>
    <w:uiPriority w:val="99"/>
    <w:rPr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13</Pages>
  <Words>1006</Words>
  <Characters>5737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2018-01-09T06:37:00Z</cp:lastPrinted>
  <dcterms:modified xsi:type="dcterms:W3CDTF">2021-01-07T02:07:53Z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