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spacing w:beforeLines="50" w:afterLines="50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ascii="方正小标宋_GBK" w:eastAsia="方正小标宋_GBK" w:cs="方正小标宋_GBK"/>
          <w:sz w:val="32"/>
          <w:szCs w:val="32"/>
        </w:rPr>
        <w:t>20</w:t>
      </w:r>
      <w:r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  <w:t>20</w:t>
      </w:r>
      <w:r>
        <w:rPr>
          <w:rFonts w:hint="eastAsia" w:ascii="方正小标宋_GBK" w:eastAsia="方正小标宋_GBK" w:cs="方正小标宋_GBK"/>
          <w:sz w:val="32"/>
          <w:szCs w:val="32"/>
        </w:rPr>
        <w:t>年德化县政府预算相关重要事项说明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一、德化</w:t>
      </w:r>
      <w:r>
        <w:rPr>
          <w:rFonts w:hint="eastAsia" w:ascii="方正黑体_GBK" w:hAnsi="仿宋" w:eastAsia="方正黑体_GBK" w:cs="方正黑体_GBK"/>
          <w:kern w:val="0"/>
          <w:sz w:val="32"/>
          <w:szCs w:val="32"/>
        </w:rPr>
        <w:t>县财政支出预算说明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年度德化县财政一般公共预算支出数为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207571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</w:t>
      </w:r>
      <w:r>
        <w:rPr>
          <w:rFonts w:ascii="仿宋" w:hAnsi="仿宋" w:eastAsia="仿宋" w:cs="仿宋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5589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2.8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（一）一般公共服务支出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21720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1262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6.2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。主要原因是人员经费等增支。其中：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人大事务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710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28.2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政协事务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472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33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政府办公厅（室）及相关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机构事务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6188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1128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22.3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发展与改革事务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22.9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。主要原因是人员经费和专项业务经费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统计信息事务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551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。主要原因是增加税务人员劳务派遣和基建评审业务经费。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审计事务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人力资源事务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人员经费。</w:t>
      </w:r>
    </w:p>
    <w:p>
      <w:pPr>
        <w:spacing w:line="600" w:lineRule="exact"/>
        <w:ind w:firstLine="64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纪检监察事务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商贸事务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。主要原因是机构改革支出科目调整。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民族事务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44.4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人员减少和科目调整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港澳台侨事务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91.1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人员减少和科目调整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档案事务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民主党派及工商联事务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群众团体事务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党委办公厅（室）及相关机构事务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3994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。主要原因是增加人员经费支出及教育活动经费等支出。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组织事务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41.7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宣传事务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38.9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统战事务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47.5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华侨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市场监督管理事务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其他一般公共服务支出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年预留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项目资金减少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（二）国防支出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。主要原因是增加民兵训练经费支出。</w:t>
      </w:r>
    </w:p>
    <w:p>
      <w:pPr>
        <w:spacing w:line="600" w:lineRule="exact"/>
        <w:ind w:firstLine="320" w:firstLineChars="1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（三）公共安全支出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12799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1086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专项业务及办案费预留等。其中：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武装警察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11602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3354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。主要原因是专项业务费预留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增资预留。</w:t>
      </w:r>
    </w:p>
    <w:p>
      <w:pPr>
        <w:spacing w:line="600" w:lineRule="exact"/>
        <w:ind w:left="105" w:leftChars="50" w:firstLine="480" w:firstLineChars="15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司法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976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监狱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其他公共安全支出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2258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预留专项经费支出。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（四）教育支出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61164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。主要原因是人员经费支出增加、县级财政加大教育投入等。其中：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普通教育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56577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3699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。主要原因是按法定投入要求增加县级财政对教育投入等。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职业教育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1965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进修及培训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。主要原因是减少专项经费支出。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教育费附加安排的支出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其他教育支出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提前下达专项资金。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（五）科学技术支出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3895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，主要原因是按法定投入规定，县财政加大科技经费投入。其中：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科学技术管理事务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技术研究与开发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3425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。主要原因是县级财政加大科研经费投入。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科学技术普及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。主要原因是人员、业务经费支出减少。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其他科学技术支出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预留专项经费支出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（六）文化旅游体育与传媒支出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3196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。主要原因是机构改革，支出科目调整增加支出以及增加上级提前下达专项资金。其中：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文化和旅游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1868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文物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472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上级提前下达博物馆免费开放资金。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是减少专项资金支出。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新闻出版影视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与去年持平。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广播电视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26.3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（七）社会保障和就业支出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19231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，主要原因是人员经费及上级提前下达专项资金增加。其中：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人力资源和社会保障管理事务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1032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民政管理事务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今年增加县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民生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投入。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行政事业单位离退休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3599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21170.6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减税降费的影响增加县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级财政投入。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就业补助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485万，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今年增加县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对就业的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投入。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抚恤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1288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退役安置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社会福利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88.5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残疾人事业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1162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红十字事业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万元，主要原因是今年上级提前下达专项资金增加。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最低生活保障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。主要原因是增加农村低保支出。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临时救助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特困人员救助供养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。主要原因是上级提前下达农村特困人员救助专项资金减少。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其他生活救助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45.5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。主要原因是增加其他农村生活救助支出。</w:t>
      </w:r>
    </w:p>
    <w:p>
      <w:pPr>
        <w:numPr>
          <w:ilvl w:val="0"/>
          <w:numId w:val="0"/>
        </w:num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财政对基本养老保险基金的补助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6477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退役军人管理事务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324.6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机构改革进行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科目调整。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其他社会保障和就业支出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4757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（八）卫生健康支出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11389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上级提前下达专项资金增加。其中：</w:t>
      </w:r>
    </w:p>
    <w:p>
      <w:pPr>
        <w:numPr>
          <w:ilvl w:val="0"/>
          <w:numId w:val="0"/>
        </w:num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卫生健康管理事务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人员经旨费减少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公立医院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851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53.9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基层医疗卫生机构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2397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公共卫生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1134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中医药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88.7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计划生育事务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3836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财政对基本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保险基金的补助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2679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2679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医疗救助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193.2%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优抚对象医疗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优抚对象医疗补助支出。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老龄卫生健康事务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78.1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12.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医疗卫生与计划生育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（九）节能环保支出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3817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563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环境保护管理事务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机构改革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环境监测与监察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机构改革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减少。</w:t>
      </w:r>
    </w:p>
    <w:p>
      <w:pPr>
        <w:spacing w:line="600" w:lineRule="exact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污染防治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其他节能环保支出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150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（十）城乡社区支出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4130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。主要原因是人员经费、上级提前下达专项资金等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　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城乡社区公共设施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1484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84.1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城乡社区环境卫生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532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其他城乡社区支出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1176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（十一）农林水支出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21967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。主要原因是按法定投入要求增加县级财政投入、上级提前下达农林水支出补助资金等。其中：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农业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9124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。主要原因是按法定投入要求县级财政投入、上级提前下达专项资金等增加。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林业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7160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1799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33.6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上级提前下达的生态效益补偿等转移支付增加。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水利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93.1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扶贫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1956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590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农村综合改革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2972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62.1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。主要原因是对村民委员会和村党支部的补助专项资金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上级提前下达专项资金增加。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其他农林水支出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3049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（十二）交通运输支出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2494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新增公路建设专项支出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公路水路运输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2494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新增公路建设专项支出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（十三）资源勘探信息等支出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15783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人员经费增加及上级提前下达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1.国有资产监管149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支持中小企业发展和管理支出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15634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1664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（十四）商业服务业等支出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52.2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。主要原因是人员经费减少。其中：</w:t>
      </w:r>
    </w:p>
    <w:p>
      <w:pPr>
        <w:spacing w:line="600" w:lineRule="exact"/>
        <w:ind w:firstLine="800" w:firstLineChars="25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商业流通事务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52.2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。主要原因是人员经费减少。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援助其他地区支出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293万，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今年县级财政投入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援助其他地区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一般公共服务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293万，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今年县级财政投入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援助其他地区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（十六）自然资源海洋气象等支出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自然资源事务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1489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气象事务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万元，较与上年预算数持平。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）住房保障支出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棚户区改造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）粮油物资储备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。主要原因是增加县级粮食风险基金支出。其中：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粮油事务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。主要原因是增加粮食风险基金支出。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粮油储备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61.4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油储备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）灾害防治及应急管理支出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2361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 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应急管理事务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586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233.5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消防事务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879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165.2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。主要原因是增加人员支出。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地震事务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113万元，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。主要原因是增加人员支出。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自然灾害救灾及恢复重建支出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</w:t>
      </w:r>
      <w:r>
        <w:rPr>
          <w:rFonts w:hint="eastAsia" w:ascii="仿宋" w:hAnsi="仿宋" w:eastAsia="仿宋" w:cs="仿宋"/>
          <w:kern w:val="0"/>
          <w:sz w:val="32"/>
          <w:szCs w:val="32"/>
        </w:rPr>
        <w:t>预算数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1200万元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专项项目支出。</w:t>
      </w:r>
    </w:p>
    <w:p>
      <w:pPr>
        <w:spacing w:line="600" w:lineRule="exac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kern w:val="0"/>
          <w:sz w:val="32"/>
          <w:szCs w:val="32"/>
        </w:rPr>
        <w:t>）预备费</w:t>
      </w:r>
      <w:r>
        <w:rPr>
          <w:rFonts w:ascii="仿宋" w:hAnsi="仿宋" w:eastAsia="仿宋" w:cs="仿宋"/>
          <w:kern w:val="0"/>
          <w:sz w:val="32"/>
          <w:szCs w:val="32"/>
        </w:rPr>
        <w:t>3200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）其他支出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2235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90.4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）债务付息支出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9500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0.5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。主要原因是今年应支付的债务利息增加。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</w:rPr>
        <w:t>）上解支出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kern w:val="0"/>
          <w:sz w:val="32"/>
          <w:szCs w:val="32"/>
        </w:rPr>
        <w:t>500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23.5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本县所辖乡镇未单独编制政府预算，为此未有对下税收返还和转移支付预算数据。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三、举借政府债务情况</w:t>
      </w:r>
    </w:p>
    <w:p>
      <w:pPr>
        <w:spacing w:line="600" w:lineRule="exact"/>
        <w:ind w:firstLine="620"/>
        <w:rPr>
          <w:rFonts w:ascii="仿宋" w:hAnsi="仿宋" w:eastAsia="仿宋" w:cs="Times New Roman"/>
          <w:snapToGrid w:val="0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，德化县新增政府债务限额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67096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万元，实际发行新增债券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66229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（一般债券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14529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，专项债券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51700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eastAsia="zh-CN"/>
        </w:rPr>
        <w:t>，新增政府外债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（用于医改促进项目）843万元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。截至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上年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底，德化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政府债务余额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451552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（一般债务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283256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，专项债务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168296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），债务余额严格控制在上级核定的限额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698193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内。</w:t>
      </w:r>
    </w:p>
    <w:p>
      <w:pPr>
        <w:spacing w:line="600" w:lineRule="exact"/>
        <w:ind w:firstLine="6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四、德</w:t>
      </w:r>
      <w:r>
        <w:rPr>
          <w:rFonts w:hint="eastAsia" w:ascii="黑体" w:hAnsi="黑体" w:eastAsia="黑体" w:cs="黑体"/>
          <w:sz w:val="32"/>
          <w:szCs w:val="32"/>
        </w:rPr>
        <w:t>化县本级“三公经费”经费支出安排情况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ind w:firstLine="62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经汇总，本级2020年使用一般公共预算拨款安排的“三公”经费预算数为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1001</w:t>
      </w:r>
      <w:r>
        <w:rPr>
          <w:rFonts w:hint="eastAsia" w:ascii="仿宋" w:hAnsi="仿宋" w:eastAsia="仿宋" w:cs="仿宋"/>
          <w:sz w:val="32"/>
          <w:szCs w:val="32"/>
        </w:rPr>
        <w:t>万元，比上年预算数减少11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万元。其中，因公出国（境）经费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万元，与上年预算数相比下降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12.5</w:t>
      </w:r>
      <w:r>
        <w:rPr>
          <w:rFonts w:hint="eastAsia" w:ascii="仿宋" w:hAnsi="仿宋" w:eastAsia="仿宋" w:cs="仿宋"/>
          <w:sz w:val="32"/>
          <w:szCs w:val="32"/>
        </w:rPr>
        <w:t>%；公务接待费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万元，与上年预算数相比下降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10.03</w:t>
      </w:r>
      <w:r>
        <w:rPr>
          <w:rFonts w:hint="eastAsia" w:ascii="仿宋" w:hAnsi="仿宋" w:eastAsia="仿宋" w:cs="仿宋"/>
          <w:sz w:val="32"/>
          <w:szCs w:val="32"/>
        </w:rPr>
        <w:t>%；公务用车购置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及运行</w:t>
      </w:r>
      <w:r>
        <w:rPr>
          <w:rFonts w:hint="eastAsia" w:ascii="仿宋" w:hAnsi="仿宋" w:eastAsia="仿宋" w:cs="仿宋"/>
          <w:sz w:val="32"/>
          <w:szCs w:val="32"/>
        </w:rPr>
        <w:t>费6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0万元，与与上年预算数相比下降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10.05</w:t>
      </w:r>
      <w:r>
        <w:rPr>
          <w:rFonts w:hint="eastAsia" w:ascii="仿宋" w:hAnsi="仿宋" w:eastAsia="仿宋" w:cs="仿宋"/>
          <w:sz w:val="32"/>
          <w:szCs w:val="32"/>
        </w:rPr>
        <w:t>%。“三公”经费预算下降的主要原因是接待上级部门检查调研人数批次减少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20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214A"/>
    <w:multiLevelType w:val="singleLevel"/>
    <w:tmpl w:val="5E20214A"/>
    <w:lvl w:ilvl="0" w:tentative="0">
      <w:start w:val="17"/>
      <w:numFmt w:val="decimal"/>
      <w:suff w:val="nothing"/>
      <w:lvlText w:val="%1."/>
      <w:lvlJc w:val="left"/>
    </w:lvl>
  </w:abstractNum>
  <w:abstractNum w:abstractNumId="1">
    <w:nsid w:val="5E211C33"/>
    <w:multiLevelType w:val="singleLevel"/>
    <w:tmpl w:val="5E211C33"/>
    <w:lvl w:ilvl="0" w:tentative="0">
      <w:start w:val="11"/>
      <w:numFmt w:val="decimal"/>
      <w:suff w:val="nothing"/>
      <w:lvlText w:val="%1."/>
      <w:lvlJc w:val="left"/>
    </w:lvl>
  </w:abstractNum>
  <w:abstractNum w:abstractNumId="2">
    <w:nsid w:val="5E2158C6"/>
    <w:multiLevelType w:val="singleLevel"/>
    <w:tmpl w:val="5E2158C6"/>
    <w:lvl w:ilvl="0" w:tentative="0">
      <w:start w:val="15"/>
      <w:numFmt w:val="chineseCounting"/>
      <w:suff w:val="nothing"/>
      <w:lvlText w:val="（%1）"/>
      <w:lvlJc w:val="left"/>
    </w:lvl>
  </w:abstractNum>
  <w:abstractNum w:abstractNumId="3">
    <w:nsid w:val="5E215A8D"/>
    <w:multiLevelType w:val="singleLevel"/>
    <w:tmpl w:val="5E215A8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4A6"/>
    <w:rsid w:val="0000247D"/>
    <w:rsid w:val="000204A3"/>
    <w:rsid w:val="00033652"/>
    <w:rsid w:val="000363A2"/>
    <w:rsid w:val="000363D8"/>
    <w:rsid w:val="00040E29"/>
    <w:rsid w:val="00057A3C"/>
    <w:rsid w:val="000B2F41"/>
    <w:rsid w:val="000D762B"/>
    <w:rsid w:val="00102DF0"/>
    <w:rsid w:val="00105554"/>
    <w:rsid w:val="001154E2"/>
    <w:rsid w:val="00117A2F"/>
    <w:rsid w:val="001447E4"/>
    <w:rsid w:val="00146774"/>
    <w:rsid w:val="00163934"/>
    <w:rsid w:val="001875F3"/>
    <w:rsid w:val="001C1A73"/>
    <w:rsid w:val="001C4C9F"/>
    <w:rsid w:val="001D1D29"/>
    <w:rsid w:val="00211978"/>
    <w:rsid w:val="002404A3"/>
    <w:rsid w:val="00240FC4"/>
    <w:rsid w:val="002411BA"/>
    <w:rsid w:val="00241C64"/>
    <w:rsid w:val="002466D4"/>
    <w:rsid w:val="00252446"/>
    <w:rsid w:val="002F289B"/>
    <w:rsid w:val="00302C1F"/>
    <w:rsid w:val="0030345F"/>
    <w:rsid w:val="00304E01"/>
    <w:rsid w:val="00313891"/>
    <w:rsid w:val="00326E49"/>
    <w:rsid w:val="003407B2"/>
    <w:rsid w:val="00354AA9"/>
    <w:rsid w:val="0035714B"/>
    <w:rsid w:val="00376058"/>
    <w:rsid w:val="003808AD"/>
    <w:rsid w:val="003B1DB0"/>
    <w:rsid w:val="003B483A"/>
    <w:rsid w:val="003C3FC9"/>
    <w:rsid w:val="003D3C50"/>
    <w:rsid w:val="003D66B4"/>
    <w:rsid w:val="003E2C0E"/>
    <w:rsid w:val="00403690"/>
    <w:rsid w:val="00410E7F"/>
    <w:rsid w:val="004135CD"/>
    <w:rsid w:val="00416E9D"/>
    <w:rsid w:val="00417241"/>
    <w:rsid w:val="00444F54"/>
    <w:rsid w:val="0046400D"/>
    <w:rsid w:val="004753BE"/>
    <w:rsid w:val="004B16B9"/>
    <w:rsid w:val="004D4EA8"/>
    <w:rsid w:val="004F044C"/>
    <w:rsid w:val="00527BBF"/>
    <w:rsid w:val="005367CE"/>
    <w:rsid w:val="00550F0F"/>
    <w:rsid w:val="00563473"/>
    <w:rsid w:val="005775D9"/>
    <w:rsid w:val="00580AD9"/>
    <w:rsid w:val="005B5C1F"/>
    <w:rsid w:val="005D12B2"/>
    <w:rsid w:val="005D5683"/>
    <w:rsid w:val="00644123"/>
    <w:rsid w:val="00651375"/>
    <w:rsid w:val="0066658E"/>
    <w:rsid w:val="00697777"/>
    <w:rsid w:val="006A06ED"/>
    <w:rsid w:val="006C44F7"/>
    <w:rsid w:val="00701952"/>
    <w:rsid w:val="0076070B"/>
    <w:rsid w:val="007672DB"/>
    <w:rsid w:val="00770010"/>
    <w:rsid w:val="00792918"/>
    <w:rsid w:val="007A0B3E"/>
    <w:rsid w:val="007B37DC"/>
    <w:rsid w:val="007D34C7"/>
    <w:rsid w:val="007D490B"/>
    <w:rsid w:val="007E1D8F"/>
    <w:rsid w:val="00801C33"/>
    <w:rsid w:val="008470E6"/>
    <w:rsid w:val="00874465"/>
    <w:rsid w:val="0087535B"/>
    <w:rsid w:val="00884901"/>
    <w:rsid w:val="008D40B2"/>
    <w:rsid w:val="00915A8A"/>
    <w:rsid w:val="009161D5"/>
    <w:rsid w:val="009242EE"/>
    <w:rsid w:val="00927724"/>
    <w:rsid w:val="00930103"/>
    <w:rsid w:val="00947396"/>
    <w:rsid w:val="00966AC9"/>
    <w:rsid w:val="009807F6"/>
    <w:rsid w:val="00987EA2"/>
    <w:rsid w:val="0099253E"/>
    <w:rsid w:val="009B7825"/>
    <w:rsid w:val="009C624E"/>
    <w:rsid w:val="009D1839"/>
    <w:rsid w:val="009D34A6"/>
    <w:rsid w:val="00A2301E"/>
    <w:rsid w:val="00A23499"/>
    <w:rsid w:val="00A25ADC"/>
    <w:rsid w:val="00A34EA2"/>
    <w:rsid w:val="00A6058C"/>
    <w:rsid w:val="00B0096E"/>
    <w:rsid w:val="00B03E7C"/>
    <w:rsid w:val="00B25718"/>
    <w:rsid w:val="00B6037D"/>
    <w:rsid w:val="00B73FFE"/>
    <w:rsid w:val="00B96B40"/>
    <w:rsid w:val="00BB57E1"/>
    <w:rsid w:val="00BE44B8"/>
    <w:rsid w:val="00C117AE"/>
    <w:rsid w:val="00C60E23"/>
    <w:rsid w:val="00CC514A"/>
    <w:rsid w:val="00CE5233"/>
    <w:rsid w:val="00D27EC3"/>
    <w:rsid w:val="00D460C7"/>
    <w:rsid w:val="00D64CDB"/>
    <w:rsid w:val="00D75413"/>
    <w:rsid w:val="00D80F11"/>
    <w:rsid w:val="00D905AB"/>
    <w:rsid w:val="00D95871"/>
    <w:rsid w:val="00DE7C69"/>
    <w:rsid w:val="00DE7E48"/>
    <w:rsid w:val="00DF48B5"/>
    <w:rsid w:val="00E23567"/>
    <w:rsid w:val="00E30957"/>
    <w:rsid w:val="00E31761"/>
    <w:rsid w:val="00E41D2A"/>
    <w:rsid w:val="00E43E09"/>
    <w:rsid w:val="00E469B6"/>
    <w:rsid w:val="00E81CEF"/>
    <w:rsid w:val="00E84B74"/>
    <w:rsid w:val="00E85951"/>
    <w:rsid w:val="00EE32C3"/>
    <w:rsid w:val="00EE575F"/>
    <w:rsid w:val="00EF5397"/>
    <w:rsid w:val="00F10FDD"/>
    <w:rsid w:val="00F42A78"/>
    <w:rsid w:val="00F5588B"/>
    <w:rsid w:val="00F877D2"/>
    <w:rsid w:val="00FC6FDA"/>
    <w:rsid w:val="00FF1D93"/>
    <w:rsid w:val="01007C8F"/>
    <w:rsid w:val="02CE0A74"/>
    <w:rsid w:val="02FD2B29"/>
    <w:rsid w:val="033C06A6"/>
    <w:rsid w:val="033E0340"/>
    <w:rsid w:val="05C6635A"/>
    <w:rsid w:val="062C0D97"/>
    <w:rsid w:val="070E1497"/>
    <w:rsid w:val="08774542"/>
    <w:rsid w:val="08A24C33"/>
    <w:rsid w:val="091A25DF"/>
    <w:rsid w:val="0A011AF7"/>
    <w:rsid w:val="0A5014F6"/>
    <w:rsid w:val="0A995080"/>
    <w:rsid w:val="0AAE6616"/>
    <w:rsid w:val="0B1D6B68"/>
    <w:rsid w:val="0B316DFA"/>
    <w:rsid w:val="0CCD7D98"/>
    <w:rsid w:val="0D727C85"/>
    <w:rsid w:val="0DB8445D"/>
    <w:rsid w:val="0EBB0989"/>
    <w:rsid w:val="0ECA3E97"/>
    <w:rsid w:val="0ED92D63"/>
    <w:rsid w:val="103F2FF4"/>
    <w:rsid w:val="1090326B"/>
    <w:rsid w:val="11271750"/>
    <w:rsid w:val="12BC1506"/>
    <w:rsid w:val="14615FDA"/>
    <w:rsid w:val="14AD27BF"/>
    <w:rsid w:val="14AD5264"/>
    <w:rsid w:val="152824A9"/>
    <w:rsid w:val="15352D52"/>
    <w:rsid w:val="157B7A45"/>
    <w:rsid w:val="164D4682"/>
    <w:rsid w:val="16661BED"/>
    <w:rsid w:val="169E3498"/>
    <w:rsid w:val="16D846B5"/>
    <w:rsid w:val="16F3227E"/>
    <w:rsid w:val="170A591F"/>
    <w:rsid w:val="187278A5"/>
    <w:rsid w:val="19FB46EB"/>
    <w:rsid w:val="1A0E25AE"/>
    <w:rsid w:val="1A2F526D"/>
    <w:rsid w:val="1A8B5580"/>
    <w:rsid w:val="1AD86C85"/>
    <w:rsid w:val="1AF77A78"/>
    <w:rsid w:val="1B592707"/>
    <w:rsid w:val="1B725308"/>
    <w:rsid w:val="1C4D1654"/>
    <w:rsid w:val="1D1B6F72"/>
    <w:rsid w:val="1D80012C"/>
    <w:rsid w:val="1DB10F7A"/>
    <w:rsid w:val="1E842CC1"/>
    <w:rsid w:val="1EEA4091"/>
    <w:rsid w:val="20F976BB"/>
    <w:rsid w:val="22614A46"/>
    <w:rsid w:val="23E7267D"/>
    <w:rsid w:val="26403A7C"/>
    <w:rsid w:val="26B66760"/>
    <w:rsid w:val="26D43274"/>
    <w:rsid w:val="288F77F3"/>
    <w:rsid w:val="289B7CEA"/>
    <w:rsid w:val="28CB696D"/>
    <w:rsid w:val="296219B2"/>
    <w:rsid w:val="2A364F06"/>
    <w:rsid w:val="2A7E5E52"/>
    <w:rsid w:val="2C1F609F"/>
    <w:rsid w:val="2C7221EB"/>
    <w:rsid w:val="2D0F1855"/>
    <w:rsid w:val="2DD82C22"/>
    <w:rsid w:val="2EBE7A1F"/>
    <w:rsid w:val="2F2A4EAD"/>
    <w:rsid w:val="2F732AC0"/>
    <w:rsid w:val="302D2FCB"/>
    <w:rsid w:val="309521CE"/>
    <w:rsid w:val="315B0900"/>
    <w:rsid w:val="31E51327"/>
    <w:rsid w:val="322C19B1"/>
    <w:rsid w:val="33AB12C9"/>
    <w:rsid w:val="33CD4D5B"/>
    <w:rsid w:val="347520D2"/>
    <w:rsid w:val="34850855"/>
    <w:rsid w:val="35397E8D"/>
    <w:rsid w:val="35A84325"/>
    <w:rsid w:val="35D41FD1"/>
    <w:rsid w:val="35F961A2"/>
    <w:rsid w:val="36806DAD"/>
    <w:rsid w:val="36B659C2"/>
    <w:rsid w:val="37EF2F2A"/>
    <w:rsid w:val="38204A63"/>
    <w:rsid w:val="38667811"/>
    <w:rsid w:val="3A9D57D9"/>
    <w:rsid w:val="3B13574D"/>
    <w:rsid w:val="3B5B0B0B"/>
    <w:rsid w:val="3C80540F"/>
    <w:rsid w:val="3CD65123"/>
    <w:rsid w:val="3D08281B"/>
    <w:rsid w:val="3D11529E"/>
    <w:rsid w:val="3D125A86"/>
    <w:rsid w:val="3D5547B8"/>
    <w:rsid w:val="3D6564EA"/>
    <w:rsid w:val="3DA54C5F"/>
    <w:rsid w:val="3DF67DB0"/>
    <w:rsid w:val="3DF76C4E"/>
    <w:rsid w:val="3EC76ECD"/>
    <w:rsid w:val="3EE23854"/>
    <w:rsid w:val="3FE8420A"/>
    <w:rsid w:val="3FF02F2B"/>
    <w:rsid w:val="3FF175EF"/>
    <w:rsid w:val="3FF27ED5"/>
    <w:rsid w:val="40A91B44"/>
    <w:rsid w:val="40AC6775"/>
    <w:rsid w:val="40CA710E"/>
    <w:rsid w:val="42FD4770"/>
    <w:rsid w:val="43025763"/>
    <w:rsid w:val="44604C8A"/>
    <w:rsid w:val="448908DC"/>
    <w:rsid w:val="45586A75"/>
    <w:rsid w:val="46926D0B"/>
    <w:rsid w:val="469D4746"/>
    <w:rsid w:val="46C31FC6"/>
    <w:rsid w:val="46DE5D8A"/>
    <w:rsid w:val="470C3A67"/>
    <w:rsid w:val="47F3537C"/>
    <w:rsid w:val="481347B2"/>
    <w:rsid w:val="4841028A"/>
    <w:rsid w:val="48D64F2C"/>
    <w:rsid w:val="4949578E"/>
    <w:rsid w:val="4A5C0257"/>
    <w:rsid w:val="4A5D71FF"/>
    <w:rsid w:val="4A771181"/>
    <w:rsid w:val="4AA62986"/>
    <w:rsid w:val="4BE82A8D"/>
    <w:rsid w:val="4D301CC0"/>
    <w:rsid w:val="4D9E2177"/>
    <w:rsid w:val="4E957F2C"/>
    <w:rsid w:val="4EA5578E"/>
    <w:rsid w:val="5233316D"/>
    <w:rsid w:val="535F6DF5"/>
    <w:rsid w:val="536C0EDF"/>
    <w:rsid w:val="54BC6404"/>
    <w:rsid w:val="56204FE8"/>
    <w:rsid w:val="565652F5"/>
    <w:rsid w:val="56BA1DA8"/>
    <w:rsid w:val="578B16D2"/>
    <w:rsid w:val="57911D4A"/>
    <w:rsid w:val="57F7424C"/>
    <w:rsid w:val="58B060E9"/>
    <w:rsid w:val="5A0424B6"/>
    <w:rsid w:val="5A6548BD"/>
    <w:rsid w:val="5A767522"/>
    <w:rsid w:val="5C6608C0"/>
    <w:rsid w:val="5D4E679E"/>
    <w:rsid w:val="5FC055CA"/>
    <w:rsid w:val="5FFD1B51"/>
    <w:rsid w:val="61066C74"/>
    <w:rsid w:val="61883B83"/>
    <w:rsid w:val="61E571FB"/>
    <w:rsid w:val="61EE0BFF"/>
    <w:rsid w:val="62B36A3B"/>
    <w:rsid w:val="62D10D9D"/>
    <w:rsid w:val="649143DA"/>
    <w:rsid w:val="64F70E27"/>
    <w:rsid w:val="65F67706"/>
    <w:rsid w:val="66C63687"/>
    <w:rsid w:val="678A0E4D"/>
    <w:rsid w:val="683E6A27"/>
    <w:rsid w:val="69061B1D"/>
    <w:rsid w:val="69713449"/>
    <w:rsid w:val="6A252749"/>
    <w:rsid w:val="6AC20941"/>
    <w:rsid w:val="6B5C7BF0"/>
    <w:rsid w:val="6DC04929"/>
    <w:rsid w:val="6DF901B8"/>
    <w:rsid w:val="6E872D0B"/>
    <w:rsid w:val="6F6B1E37"/>
    <w:rsid w:val="6FB04C6A"/>
    <w:rsid w:val="702F1CAA"/>
    <w:rsid w:val="70773781"/>
    <w:rsid w:val="717912DF"/>
    <w:rsid w:val="72C605BC"/>
    <w:rsid w:val="7371158F"/>
    <w:rsid w:val="768D4E1D"/>
    <w:rsid w:val="76913E7C"/>
    <w:rsid w:val="76AC66BD"/>
    <w:rsid w:val="77440E67"/>
    <w:rsid w:val="776D0ADE"/>
    <w:rsid w:val="7820474A"/>
    <w:rsid w:val="78232800"/>
    <w:rsid w:val="7AAA4C86"/>
    <w:rsid w:val="7B087D4F"/>
    <w:rsid w:val="7C617BC7"/>
    <w:rsid w:val="7DAF24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b/>
      <w:bCs/>
    </w:rPr>
  </w:style>
  <w:style w:type="character" w:customStyle="1" w:styleId="7">
    <w:name w:val="Footer Char"/>
    <w:basedOn w:val="4"/>
    <w:link w:val="2"/>
    <w:qFormat/>
    <w:locked/>
    <w:uiPriority w:val="99"/>
    <w:rPr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13</Pages>
  <Words>1006</Words>
  <Characters>5737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2018-01-09T06:37:00Z</cp:lastPrinted>
  <dcterms:modified xsi:type="dcterms:W3CDTF">2022-10-11T07:28:57Z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