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</w:p>
    <w:p>
      <w:pPr>
        <w:spacing w:beforeLines="50" w:afterLines="50"/>
        <w:jc w:val="center"/>
        <w:rPr>
          <w:rFonts w:ascii="方正小标宋_GBK" w:eastAsia="方正小标宋_GBK" w:cs="Times New Roman"/>
          <w:sz w:val="32"/>
          <w:szCs w:val="32"/>
        </w:rPr>
      </w:pPr>
      <w:r>
        <w:rPr>
          <w:rFonts w:ascii="方正小标宋_GBK" w:eastAsia="方正小标宋_GBK" w:cs="方正小标宋_GBK"/>
          <w:sz w:val="32"/>
          <w:szCs w:val="32"/>
        </w:rPr>
        <w:t>2019</w:t>
      </w:r>
      <w:r>
        <w:rPr>
          <w:rFonts w:hint="eastAsia" w:ascii="方正小标宋_GBK" w:eastAsia="方正小标宋_GBK" w:cs="方正小标宋_GBK"/>
          <w:sz w:val="32"/>
          <w:szCs w:val="32"/>
        </w:rPr>
        <w:t>年德化县政府预算相关重要事项说明</w:t>
      </w:r>
    </w:p>
    <w:p>
      <w:pPr>
        <w:spacing w:line="600" w:lineRule="exact"/>
        <w:ind w:firstLine="640" w:firstLineChars="200"/>
        <w:rPr>
          <w:rFonts w:ascii="方正黑体_GBK" w:hAnsi="黑体" w:eastAsia="方正黑体_GBK" w:cs="Times New Roman"/>
          <w:sz w:val="32"/>
          <w:szCs w:val="32"/>
        </w:rPr>
      </w:pPr>
      <w:r>
        <w:rPr>
          <w:rFonts w:hint="eastAsia" w:ascii="方正黑体_GBK" w:hAnsi="黑体" w:eastAsia="方正黑体_GBK" w:cs="方正黑体_GBK"/>
          <w:sz w:val="32"/>
          <w:szCs w:val="32"/>
        </w:rPr>
        <w:t>一、德化</w:t>
      </w:r>
      <w:r>
        <w:rPr>
          <w:rFonts w:hint="eastAsia" w:ascii="方正黑体_GBK" w:hAnsi="仿宋" w:eastAsia="方正黑体_GBK" w:cs="方正黑体_GBK"/>
          <w:kern w:val="0"/>
          <w:sz w:val="32"/>
          <w:szCs w:val="32"/>
        </w:rPr>
        <w:t>县财政支出预算说明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年度德化县财政一般公共预算支出数为</w:t>
      </w:r>
      <w:r>
        <w:rPr>
          <w:rFonts w:ascii="仿宋" w:hAnsi="仿宋" w:eastAsia="仿宋" w:cs="仿宋"/>
          <w:kern w:val="0"/>
          <w:sz w:val="32"/>
          <w:szCs w:val="32"/>
        </w:rPr>
        <w:t>176260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万元，比</w:t>
      </w:r>
      <w:r>
        <w:rPr>
          <w:rFonts w:ascii="仿宋" w:hAnsi="仿宋" w:eastAsia="仿宋" w:cs="仿宋"/>
          <w:kern w:val="0"/>
          <w:sz w:val="32"/>
          <w:szCs w:val="32"/>
        </w:rPr>
        <w:t>2018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年度预算数增加</w:t>
      </w:r>
      <w:r>
        <w:rPr>
          <w:rFonts w:ascii="仿宋" w:hAnsi="仿宋" w:eastAsia="仿宋" w:cs="仿宋"/>
          <w:kern w:val="0"/>
          <w:sz w:val="32"/>
          <w:szCs w:val="32"/>
        </w:rPr>
        <w:t>25075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kern w:val="0"/>
          <w:sz w:val="32"/>
          <w:szCs w:val="32"/>
        </w:rPr>
        <w:t>16.6%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（一）一般公共服务支出</w:t>
      </w:r>
      <w:r>
        <w:rPr>
          <w:rFonts w:ascii="仿宋" w:hAnsi="仿宋" w:eastAsia="仿宋" w:cs="仿宋"/>
          <w:kern w:val="0"/>
          <w:sz w:val="32"/>
          <w:szCs w:val="32"/>
        </w:rPr>
        <w:t>19458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kern w:val="0"/>
          <w:sz w:val="32"/>
          <w:szCs w:val="32"/>
        </w:rPr>
        <w:t>418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kern w:val="0"/>
          <w:sz w:val="32"/>
          <w:szCs w:val="32"/>
        </w:rPr>
        <w:t>2.2%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。主要原因是人员经费等增支。其中：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人大事务</w:t>
      </w:r>
      <w:r>
        <w:rPr>
          <w:rFonts w:ascii="仿宋" w:hAnsi="仿宋" w:eastAsia="仿宋" w:cs="仿宋"/>
          <w:kern w:val="0"/>
          <w:sz w:val="32"/>
          <w:szCs w:val="32"/>
        </w:rPr>
        <w:t>554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kern w:val="0"/>
          <w:sz w:val="32"/>
          <w:szCs w:val="32"/>
        </w:rPr>
        <w:t>1.5%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。主要原因是人员经费增加。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政协事务</w:t>
      </w:r>
      <w:r>
        <w:rPr>
          <w:rFonts w:ascii="仿宋" w:hAnsi="仿宋" w:eastAsia="仿宋" w:cs="仿宋"/>
          <w:kern w:val="0"/>
          <w:sz w:val="32"/>
          <w:szCs w:val="32"/>
        </w:rPr>
        <w:t>355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kern w:val="0"/>
          <w:sz w:val="32"/>
          <w:szCs w:val="32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kern w:val="0"/>
          <w:sz w:val="32"/>
          <w:szCs w:val="32"/>
        </w:rPr>
        <w:t>5.8%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。主要原因是减少人员经费。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政府办公厅（室）及相关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机构事务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5060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778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13.3%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。主要原因是去年乡镇财政体制改革增加预留项目，今年无此因素。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发展与改革事务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415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4.6%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。主要原因是减少人员经费和专项业务经费。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统计信息事务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450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104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30.1%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。主要原因是增加专项普查活动经费。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6.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财政事务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1996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550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38%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。主要原因是增加税务人员劳务派遣和基建评审业务经费。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7.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税收事务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1200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626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109.1%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。主要原因是科目调整（原列其他支出）增加支出。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8.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审计事务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266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12.5%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。主要原因是减少上级提前下达专项补助等。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9.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人力资源事务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155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7.6%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。主要原因是人员经费增加。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10.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纪检监察事务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1103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95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7.9%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。主要原因是减少办案经费预留和专项业务经费。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商贸事务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627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396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38.7%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。主要原因是机构改革支出科目调整。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工商行政管理事务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1455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100%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。主要原因是机构改革、单位合并，科目调整减少支出。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质量技术监督与检验检疫事务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82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100%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。主要原因是机构改革、单位合并，科目调整减少支出。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民族事务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万元。主要原因是今年机构改革，新增科目支出。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港澳台侨事务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112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103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1144.4%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。主要原因是台湾事务专项业务经费增加。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16.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档案事务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186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6.3%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。主要原因是人员经费增加。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17.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民主党派及工商联事务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105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229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68.6%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。主要原因是今年机构改革，新增科目支出。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18.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群众团体事务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703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107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13.2%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。主要原因是机构改革，人员支出等减少此科目支出。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19.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党委办公厅（室）及相关机构事务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3490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445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14.6%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。主要原因是增加人员经费支出及教育活动经费等支出。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20.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组织事务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403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219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119%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。主要原因是今年机构改革，新增科目支出。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宣传事务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293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168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134.4%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。主要原因是增加瓷都德化宣传经费支出。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统战事务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223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145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185.9%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。主要原因是今年机构改革，新增科目支出。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市场监督管理事务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1707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1707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万元。主要原因是今年机构改革，新增科目支出。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其他一般公共服务支出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98%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。主要原因是去年增资预留，今年无此因素。</w:t>
      </w:r>
    </w:p>
    <w:p>
      <w:pPr>
        <w:spacing w:line="600" w:lineRule="exact"/>
        <w:ind w:firstLine="320" w:firstLineChars="1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（二）国防支出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247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5.1%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。主要原因是增加民兵训练经费支出。</w:t>
      </w:r>
    </w:p>
    <w:p>
      <w:pPr>
        <w:spacing w:line="600" w:lineRule="exact"/>
        <w:ind w:firstLine="320" w:firstLineChars="1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（三）公共安全支出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10713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832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7.2%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。主要原因是减少专项业务及办案费预留等。其中：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武装警察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公安支出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8248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1795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17.9%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。主要原因是专项业务费预留减少、去年增资预留，今年无此因素。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法院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100%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。主要原因是机构改革上划，县级减少列支经费。</w:t>
      </w:r>
    </w:p>
    <w:p>
      <w:pPr>
        <w:spacing w:line="600" w:lineRule="exact"/>
        <w:ind w:left="105" w:leftChars="50" w:firstLine="480" w:firstLineChars="15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司法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1003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90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9.9%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。主要原因是增加专项业务经费。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监狱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155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155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万元。主要原因是今年科目调整，新增支出科目。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6.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其他公共安全支出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1258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758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151.6%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。主要原因是今年增加预留专项经费支出。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（四）教育支出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59014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7641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14.9%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。主要原因是人员经费支出增加、县级财政加大教育投入等。其中：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普通教育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52878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5644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11.9%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。主要原因是按法定投入要求增加县级财政对教育投入等。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职业教育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2300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804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53.7%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。主要原因是项目支出和新招录用教师等增加支出。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进修及培训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331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0.9%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。主要原因是减少专项经费支出。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教育费附加安排的支出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2000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其他教育支出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239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70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22.7%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。主要原因是今年上级提前下达专项资金减少。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（五）科学技术支出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3800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687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22.1%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，主要原因是按法定投入规定，县财政加大科技经费投入。其中：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科学技术管理事务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250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0.8%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。主要原因是人员经费支出增加。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技术研究与开发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3325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642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23.9%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。主要原因是县级财政加大科研经费投入。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科学技术普及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175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3.8%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。主要原因是人员、业务经费支出减少。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其他科学技术支出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万元。主要原因是支出科目调整，去年此科目无安排预留。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（六）文化旅游体育与传媒支出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2966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237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8.7%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。主要原因是机构改革，支出科目调整增加支出以及增加上级提前下达专项资金。其中：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文化和旅游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1855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474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34.3%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。主要原因是机构改革，支出科目调整以及上级提前下达专项资金增加。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文物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387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312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44.6%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。主要原因是上级提前下达博物馆免费开放资金等减少。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体育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164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新闻出版影视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44.4%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。主要原因是上级提前下达资金减少。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广播电视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505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450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818.2%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。主要原因是上级提前下达专项资金增加。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6.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其他文化体育与传媒支出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331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100%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，主要原因是去年安排此科目经费预留，今年无此因素。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（七）社会保障和就业支出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12796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2803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28%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，主要原因是人员经费、支出科目调整及上级提前下达专项资金增加。其中：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人力资源和社会保障管理事务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760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3.6%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。主要原因是机构改革减少此科目人员经费支出。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民政管理事务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535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308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36.5%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。主要原因是今年上级提前下达专项资金减少。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行政事业单位离退休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10.5%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。主要原因是专项资金减少。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抚恤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1000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116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13.1%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。主要原因是今年上级提前下达专项资金增加。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退役安置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14.8%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。主要原因是今年提前下达专项资金减少。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6.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社会福利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321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62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16.2%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。主要原因是今年提前下达专项资金减少。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7.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残疾人事业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979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540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123%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。主要原因是今年上级提前下达专项资金增加。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8.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最低生活保障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1200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543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82.6%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。主要原因是增加农村低保支出。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9.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临时救助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367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6.7%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。主要原因是增加县级困难群体临时价格补贴支出。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10.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特困人员救助供养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613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463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43%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。主要原因是上级提前下达农村特困人员救助专项资金减少。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其他生活救助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83.3%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。主要原因是增加其他农村生活救助支出。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财政对基本养老保险基金的补助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6516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2434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59.6%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。主要原因是县级列支基本养老保险基金支出（去年安排上解支出）。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退役军人管理事务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61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其他社会保障和就业支出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83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102.4%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。主要原因是慰问费支出科目调整。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（八）卫生健康支出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8777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285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3.4%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。主要原因是上级提前下达专项资金增加。其中：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 xml:space="preserve">1.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卫生健康管理事务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129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公立医院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553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308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125.7%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。主要原因是上级提前下达专项资金增加。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基层医疗卫生机构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2471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369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17.6%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。主要原因是上级提前下达专项资金增加。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公共卫生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1063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1039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49.4%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。主要原因是上级提前下达专项资金减少。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中医药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265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235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783.3%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。主要原因是上级提前下达专项资金增加。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6.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计划生育事务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3836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259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7.2%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。主要原因是上级提前下达专项资金增加。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7.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行政事业单位医疗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8.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医疗救助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9.</w:t>
      </w:r>
      <w:r>
        <w:rPr>
          <w:color w:val="auto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老龄卫生健康事务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137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137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万元。主要原因是机构改革，调整新增支出科目。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10.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优抚对象医疗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37.2%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。主要原因是今年增加优抚对象医疗补助支出。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（九）节能环保支出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2654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1.8%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。主要原因是人员经费、上级提前下达专项资金等增加。其中：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环境保护管理事务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355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4.7%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。主要原因是增加人员经费支出。</w:t>
      </w:r>
    </w:p>
    <w:p>
      <w:pPr>
        <w:spacing w:line="600" w:lineRule="exact"/>
        <w:ind w:left="64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环境监测与监察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万元，与上年预算数持平。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污染防治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2279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119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5.5%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。主要原因是上级提前下达专项资金增加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其他节能环保支出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88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100%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。主要原因是今年调整支出渠道，未安排预留专项资金。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（十）城乡社区支出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4871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1420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41.1%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。主要原因是人员经费、上级提前下达专项资金等增加。其中：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城乡社区管理事务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2133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91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4.5%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。主要原因是机构改革、人员经费支出及专项支出等增加。　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城乡社区公共设施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806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0.6%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城乡社区环境卫生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756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427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129.8%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。主要原因是上级提前下达专项资金增加。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其他城乡社区支出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1176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907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337.2%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。主要原因是增加支出科目预留。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（十一）农林水支出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16983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1851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12.2%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。主要原因是按法定投入要求增加县级财政投入、上级提前下达农林水支出补助资金等。其中：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农业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6746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1430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26.9%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。主要原因是按法定投入要求县级财政投入、上级提前下达专项资金等增加。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林业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5361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409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8.3%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，主要是上级提前下达的生态效益补偿等转移支付增加。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水利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391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270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40.8%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。主要原因是上级提前下达专项资金减少。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扶贫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2546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221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9.5%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，主要原因是县级财政增加扶贫支出。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农村综合改革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1833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3.2%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。主要原因是对村民委员会和村党支部的补助专项资金增加。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6.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其他农林水支出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106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。主要原因是今年增加专项资金支出。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（十二）交通运输支出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1913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142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8%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公路水路运输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1913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142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8%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。主要原因是今年新增公路建设专项支出，去年无此因素。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（十三）资源勘探信息等支出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3600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万元，与上年预算数持平。其中：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支持中小企业发展和管理支出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3600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（十四）商业服务业等支出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178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万元，与上年预算数持平。其中：</w:t>
      </w:r>
    </w:p>
    <w:p>
      <w:pPr>
        <w:spacing w:line="600" w:lineRule="exact"/>
        <w:ind w:firstLine="800" w:firstLineChars="25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商业流通事务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178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（十五）自然资源海洋气象等支出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1474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105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6.6%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。主要原因是机构改革、人员调整，减少经费支出。其中：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自然资源事务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1351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7%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。主要原因是人员经费减少。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 xml:space="preserve">2.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气象事务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123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万元，较上年预算数减少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万元，下降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2.4%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（十六）住房保障支出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2468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2073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524.8%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。主要原因是上级提前下达专项补助增加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2073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万元。其中：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棚户区改造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2468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2073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524.8%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。主要原因是增加上级提前下达专项补助。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（十七）粮油物资储备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744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36.8%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。主要原因是增加县级粮食风险基金支出。其中：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粮油事务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700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40%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。主要原因是增加粮食风险基金支出。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粮油储备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（十八）灾害防治及应急管理支出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933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269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40.5%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。主要原因是机构改革，职能划转，增加人员经费支出。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 xml:space="preserve"> 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应急管理事务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251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169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206.1%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。主要原因是机构改革单位合并增加人员支出。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消防事务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532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自然灾害救灾及恢复重建支出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50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万元，与上年</w:t>
      </w:r>
      <w:r>
        <w:rPr>
          <w:rFonts w:hint="eastAsia" w:ascii="仿宋" w:hAnsi="仿宋" w:eastAsia="仿宋" w:cs="仿宋"/>
          <w:kern w:val="0"/>
          <w:sz w:val="32"/>
          <w:szCs w:val="32"/>
        </w:rPr>
        <w:t>预算数持平。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（十九）预备费</w:t>
      </w:r>
      <w:r>
        <w:rPr>
          <w:rFonts w:ascii="仿宋" w:hAnsi="仿宋" w:eastAsia="仿宋" w:cs="仿宋"/>
          <w:kern w:val="0"/>
          <w:sz w:val="32"/>
          <w:szCs w:val="32"/>
        </w:rPr>
        <w:t>3200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（二十）其他支出</w:t>
      </w:r>
      <w:r>
        <w:rPr>
          <w:rFonts w:ascii="仿宋" w:hAnsi="仿宋" w:eastAsia="仿宋" w:cs="仿宋"/>
          <w:kern w:val="0"/>
          <w:sz w:val="32"/>
          <w:szCs w:val="32"/>
        </w:rPr>
        <w:t>2471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kern w:val="0"/>
          <w:sz w:val="32"/>
          <w:szCs w:val="32"/>
        </w:rPr>
        <w:t>1623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kern w:val="0"/>
          <w:sz w:val="32"/>
          <w:szCs w:val="32"/>
        </w:rPr>
        <w:t>191.4%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。主要原因是今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年增加专项项目支出。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（二十一）债务付息支出</w:t>
      </w:r>
      <w:r>
        <w:rPr>
          <w:rFonts w:ascii="仿宋" w:hAnsi="仿宋" w:eastAsia="仿宋" w:cs="仿宋"/>
          <w:kern w:val="0"/>
          <w:sz w:val="32"/>
          <w:szCs w:val="32"/>
        </w:rPr>
        <w:t>8500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kern w:val="0"/>
          <w:sz w:val="32"/>
          <w:szCs w:val="32"/>
        </w:rPr>
        <w:t>5500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kern w:val="0"/>
          <w:sz w:val="32"/>
          <w:szCs w:val="32"/>
        </w:rPr>
        <w:t>183.3%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。主要原因是今年应支付的债务利息增加。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（二十二）上解支出</w:t>
      </w:r>
      <w:r>
        <w:rPr>
          <w:rFonts w:ascii="仿宋" w:hAnsi="仿宋" w:eastAsia="仿宋" w:cs="仿宋"/>
          <w:kern w:val="0"/>
          <w:sz w:val="32"/>
          <w:szCs w:val="32"/>
        </w:rPr>
        <w:t>8500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万元，较上年预算数增加</w:t>
      </w:r>
      <w:r>
        <w:rPr>
          <w:rFonts w:ascii="仿宋" w:hAnsi="仿宋" w:eastAsia="仿宋" w:cs="仿宋"/>
          <w:kern w:val="0"/>
          <w:sz w:val="32"/>
          <w:szCs w:val="32"/>
        </w:rPr>
        <w:t>804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ascii="仿宋" w:hAnsi="仿宋" w:eastAsia="仿宋" w:cs="仿宋"/>
          <w:kern w:val="0"/>
          <w:sz w:val="32"/>
          <w:szCs w:val="32"/>
        </w:rPr>
        <w:t>10.4%</w:t>
      </w:r>
      <w:r>
        <w:rPr>
          <w:rFonts w:hint="eastAsia" w:ascii="仿宋" w:hAnsi="仿宋" w:eastAsia="仿宋" w:cs="仿宋"/>
          <w:kern w:val="0"/>
          <w:sz w:val="32"/>
          <w:szCs w:val="32"/>
        </w:rPr>
        <w:t>。主要原因是新型农村合作医疗等上解支出增加。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本县所辖乡镇未单独编制政府预算，为此未有对下税收返还和转移支付预算数据。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三、举借政府债务情况</w:t>
      </w:r>
    </w:p>
    <w:p>
      <w:pPr>
        <w:spacing w:line="600" w:lineRule="exact"/>
        <w:ind w:firstLine="620"/>
        <w:rPr>
          <w:rFonts w:ascii="仿宋" w:hAnsi="仿宋" w:eastAsia="仿宋" w:cs="Times New Roman"/>
          <w:snapToGrid w:val="0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snapToGrid w:val="0"/>
          <w:kern w:val="0"/>
          <w:sz w:val="32"/>
          <w:szCs w:val="32"/>
        </w:rPr>
        <w:t>2018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，德化县新增政府债务限额</w:t>
      </w:r>
      <w:r>
        <w:rPr>
          <w:rFonts w:ascii="仿宋" w:hAnsi="仿宋" w:eastAsia="仿宋" w:cs="仿宋"/>
          <w:snapToGrid w:val="0"/>
          <w:color w:val="auto"/>
          <w:kern w:val="0"/>
          <w:sz w:val="32"/>
          <w:szCs w:val="32"/>
        </w:rPr>
        <w:t>63800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万元，实际发行新增债券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62667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（一般债券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13267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，专项债券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49400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）。截至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上年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底，德化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县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政府债务余额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val="en-US" w:eastAsia="zh-CN"/>
        </w:rPr>
        <w:t>384493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（一般债务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val="en-US" w:eastAsia="zh-CN"/>
        </w:rPr>
        <w:t>267897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，专项债务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val="en-US" w:eastAsia="zh-CN"/>
        </w:rPr>
        <w:t>116596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），债务余额严格控制在上级核定的限额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631097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内。</w:t>
      </w:r>
    </w:p>
    <w:p>
      <w:pPr>
        <w:spacing w:line="600" w:lineRule="exact"/>
        <w:ind w:firstLine="62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四、德</w:t>
      </w:r>
      <w:r>
        <w:rPr>
          <w:rFonts w:hint="eastAsia" w:ascii="黑体" w:hAnsi="黑体" w:eastAsia="黑体" w:cs="黑体"/>
          <w:sz w:val="32"/>
          <w:szCs w:val="32"/>
        </w:rPr>
        <w:t>化县本级“三公经费”经费支出安排情况</w:t>
      </w:r>
      <w:r>
        <w:rPr>
          <w:rFonts w:ascii="黑体" w:hAnsi="黑体" w:eastAsia="黑体" w:cs="黑体"/>
          <w:sz w:val="32"/>
          <w:szCs w:val="32"/>
        </w:rPr>
        <w:t xml:space="preserve"> </w:t>
      </w:r>
    </w:p>
    <w:p>
      <w:pPr>
        <w:spacing w:line="600" w:lineRule="exact"/>
        <w:ind w:firstLine="62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经汇总，本级</w:t>
      </w:r>
      <w:r>
        <w:rPr>
          <w:rFonts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年使用一般公共预算拨款安排的“三公”经费预算数为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950</w:t>
      </w:r>
      <w:r>
        <w:rPr>
          <w:rFonts w:hint="eastAsia" w:ascii="仿宋" w:hAnsi="仿宋" w:eastAsia="仿宋" w:cs="仿宋"/>
          <w:sz w:val="32"/>
          <w:szCs w:val="32"/>
        </w:rPr>
        <w:t>万元，比上年预算数减少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270</w:t>
      </w:r>
      <w:r>
        <w:rPr>
          <w:rFonts w:hint="eastAsia" w:ascii="仿宋" w:hAnsi="仿宋" w:eastAsia="仿宋" w:cs="仿宋"/>
          <w:sz w:val="32"/>
          <w:szCs w:val="32"/>
        </w:rPr>
        <w:t>万元。其中，因公出国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（境）经费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万元，与上年持平；公务接待费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384</w:t>
      </w:r>
      <w:r>
        <w:rPr>
          <w:rFonts w:hint="eastAsia" w:ascii="仿宋" w:hAnsi="仿宋" w:eastAsia="仿宋" w:cs="仿宋"/>
          <w:sz w:val="32"/>
          <w:szCs w:val="32"/>
        </w:rPr>
        <w:t>万元，与上年预算数相比下降</w:t>
      </w:r>
      <w:r>
        <w:rPr>
          <w:rFonts w:ascii="仿宋" w:hAnsi="仿宋" w:eastAsia="仿宋" w:cs="仿宋"/>
          <w:sz w:val="32"/>
          <w:szCs w:val="32"/>
        </w:rPr>
        <w:t>1.5%</w:t>
      </w:r>
      <w:r>
        <w:rPr>
          <w:rFonts w:hint="eastAsia" w:ascii="仿宋" w:hAnsi="仿宋" w:eastAsia="仿宋" w:cs="仿宋"/>
          <w:sz w:val="32"/>
          <w:szCs w:val="32"/>
        </w:rPr>
        <w:t>；公务用车购置经费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万元，与上年持平；公务用车运行经费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557</w:t>
      </w:r>
      <w:r>
        <w:rPr>
          <w:rFonts w:hint="eastAsia" w:ascii="仿宋" w:hAnsi="仿宋" w:eastAsia="仿宋" w:cs="仿宋"/>
          <w:sz w:val="32"/>
          <w:szCs w:val="32"/>
        </w:rPr>
        <w:t>万元，与上年预算数相比下降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32.2</w:t>
      </w:r>
      <w:r>
        <w:rPr>
          <w:rFonts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。“三公”经费预算下降的主要原因是接待上级部门检查、调研人数及使用公务用车减少等。</w:t>
      </w:r>
    </w:p>
    <w:p>
      <w:pPr>
        <w:spacing w:line="600" w:lineRule="exact"/>
        <w:ind w:firstLine="620"/>
        <w:rPr>
          <w:rFonts w:ascii="黑体" w:hAnsi="黑体" w:eastAsia="黑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4A6"/>
    <w:rsid w:val="0000247D"/>
    <w:rsid w:val="000204A3"/>
    <w:rsid w:val="00033652"/>
    <w:rsid w:val="000363A2"/>
    <w:rsid w:val="000363D8"/>
    <w:rsid w:val="00040E29"/>
    <w:rsid w:val="00057A3C"/>
    <w:rsid w:val="000B2F41"/>
    <w:rsid w:val="000D762B"/>
    <w:rsid w:val="00102DF0"/>
    <w:rsid w:val="00105554"/>
    <w:rsid w:val="001154E2"/>
    <w:rsid w:val="00117A2F"/>
    <w:rsid w:val="001447E4"/>
    <w:rsid w:val="00146774"/>
    <w:rsid w:val="00163934"/>
    <w:rsid w:val="001875F3"/>
    <w:rsid w:val="001C1A73"/>
    <w:rsid w:val="001C4C9F"/>
    <w:rsid w:val="001D1D29"/>
    <w:rsid w:val="00211978"/>
    <w:rsid w:val="002404A3"/>
    <w:rsid w:val="00240FC4"/>
    <w:rsid w:val="002411BA"/>
    <w:rsid w:val="00241C64"/>
    <w:rsid w:val="002466D4"/>
    <w:rsid w:val="00252446"/>
    <w:rsid w:val="002F289B"/>
    <w:rsid w:val="00302C1F"/>
    <w:rsid w:val="0030345F"/>
    <w:rsid w:val="00304E01"/>
    <w:rsid w:val="00313891"/>
    <w:rsid w:val="00326E49"/>
    <w:rsid w:val="003407B2"/>
    <w:rsid w:val="00354AA9"/>
    <w:rsid w:val="0035714B"/>
    <w:rsid w:val="00376058"/>
    <w:rsid w:val="003808AD"/>
    <w:rsid w:val="003B1DB0"/>
    <w:rsid w:val="003B483A"/>
    <w:rsid w:val="003C3FC9"/>
    <w:rsid w:val="003D3C50"/>
    <w:rsid w:val="003D66B4"/>
    <w:rsid w:val="003E2C0E"/>
    <w:rsid w:val="00403690"/>
    <w:rsid w:val="00410E7F"/>
    <w:rsid w:val="004135CD"/>
    <w:rsid w:val="00416E9D"/>
    <w:rsid w:val="00417241"/>
    <w:rsid w:val="00444F54"/>
    <w:rsid w:val="0046400D"/>
    <w:rsid w:val="004753BE"/>
    <w:rsid w:val="004B16B9"/>
    <w:rsid w:val="004D4EA8"/>
    <w:rsid w:val="004F044C"/>
    <w:rsid w:val="00527BBF"/>
    <w:rsid w:val="005367CE"/>
    <w:rsid w:val="00550F0F"/>
    <w:rsid w:val="00563473"/>
    <w:rsid w:val="005775D9"/>
    <w:rsid w:val="00580AD9"/>
    <w:rsid w:val="005B5C1F"/>
    <w:rsid w:val="005D12B2"/>
    <w:rsid w:val="005D5683"/>
    <w:rsid w:val="00644123"/>
    <w:rsid w:val="00651375"/>
    <w:rsid w:val="0066658E"/>
    <w:rsid w:val="00697777"/>
    <w:rsid w:val="006A06ED"/>
    <w:rsid w:val="006C44F7"/>
    <w:rsid w:val="00701952"/>
    <w:rsid w:val="0076070B"/>
    <w:rsid w:val="007672DB"/>
    <w:rsid w:val="00770010"/>
    <w:rsid w:val="00792918"/>
    <w:rsid w:val="007A0B3E"/>
    <w:rsid w:val="007B37DC"/>
    <w:rsid w:val="007D34C7"/>
    <w:rsid w:val="007D490B"/>
    <w:rsid w:val="007E1D8F"/>
    <w:rsid w:val="00801C33"/>
    <w:rsid w:val="008470E6"/>
    <w:rsid w:val="00874465"/>
    <w:rsid w:val="0087535B"/>
    <w:rsid w:val="00884901"/>
    <w:rsid w:val="008D40B2"/>
    <w:rsid w:val="00915A8A"/>
    <w:rsid w:val="009161D5"/>
    <w:rsid w:val="009242EE"/>
    <w:rsid w:val="00927724"/>
    <w:rsid w:val="00930103"/>
    <w:rsid w:val="00947396"/>
    <w:rsid w:val="00966AC9"/>
    <w:rsid w:val="009807F6"/>
    <w:rsid w:val="00987EA2"/>
    <w:rsid w:val="0099253E"/>
    <w:rsid w:val="009B7825"/>
    <w:rsid w:val="009C624E"/>
    <w:rsid w:val="009D1839"/>
    <w:rsid w:val="009D34A6"/>
    <w:rsid w:val="00A2301E"/>
    <w:rsid w:val="00A23499"/>
    <w:rsid w:val="00A25ADC"/>
    <w:rsid w:val="00A34EA2"/>
    <w:rsid w:val="00A6058C"/>
    <w:rsid w:val="00B0096E"/>
    <w:rsid w:val="00B03E7C"/>
    <w:rsid w:val="00B25718"/>
    <w:rsid w:val="00B6037D"/>
    <w:rsid w:val="00B73FFE"/>
    <w:rsid w:val="00B96B40"/>
    <w:rsid w:val="00BB57E1"/>
    <w:rsid w:val="00BE44B8"/>
    <w:rsid w:val="00C117AE"/>
    <w:rsid w:val="00C60E23"/>
    <w:rsid w:val="00CC514A"/>
    <w:rsid w:val="00CE5233"/>
    <w:rsid w:val="00D27EC3"/>
    <w:rsid w:val="00D460C7"/>
    <w:rsid w:val="00D64CDB"/>
    <w:rsid w:val="00D80F11"/>
    <w:rsid w:val="00D905AB"/>
    <w:rsid w:val="00D95871"/>
    <w:rsid w:val="00DE7C69"/>
    <w:rsid w:val="00DE7E48"/>
    <w:rsid w:val="00DF48B5"/>
    <w:rsid w:val="00E23567"/>
    <w:rsid w:val="00E30957"/>
    <w:rsid w:val="00E31761"/>
    <w:rsid w:val="00E41D2A"/>
    <w:rsid w:val="00E43E09"/>
    <w:rsid w:val="00E469B6"/>
    <w:rsid w:val="00E81CEF"/>
    <w:rsid w:val="00E84B74"/>
    <w:rsid w:val="00E85951"/>
    <w:rsid w:val="00EE32C3"/>
    <w:rsid w:val="00EE575F"/>
    <w:rsid w:val="00EF5397"/>
    <w:rsid w:val="00F10FDD"/>
    <w:rsid w:val="00F42A78"/>
    <w:rsid w:val="00F5588B"/>
    <w:rsid w:val="00F877D2"/>
    <w:rsid w:val="00FC6FDA"/>
    <w:rsid w:val="00FF1D93"/>
    <w:rsid w:val="01007C8F"/>
    <w:rsid w:val="02CE0A74"/>
    <w:rsid w:val="02FD2B29"/>
    <w:rsid w:val="033C06A6"/>
    <w:rsid w:val="033E0340"/>
    <w:rsid w:val="062C0D97"/>
    <w:rsid w:val="070E1497"/>
    <w:rsid w:val="08A24C33"/>
    <w:rsid w:val="091A25DF"/>
    <w:rsid w:val="0A011AF7"/>
    <w:rsid w:val="0A5014F6"/>
    <w:rsid w:val="0A995080"/>
    <w:rsid w:val="0AAE6616"/>
    <w:rsid w:val="0B1D6B68"/>
    <w:rsid w:val="0B316DFA"/>
    <w:rsid w:val="0CCD7D98"/>
    <w:rsid w:val="0D727C85"/>
    <w:rsid w:val="0DB8445D"/>
    <w:rsid w:val="0ECA3E97"/>
    <w:rsid w:val="0ED92D63"/>
    <w:rsid w:val="103F2FF4"/>
    <w:rsid w:val="1090326B"/>
    <w:rsid w:val="11271750"/>
    <w:rsid w:val="14615FDA"/>
    <w:rsid w:val="14AD27BF"/>
    <w:rsid w:val="14AD5264"/>
    <w:rsid w:val="152824A9"/>
    <w:rsid w:val="15352D52"/>
    <w:rsid w:val="157B7A45"/>
    <w:rsid w:val="164D4682"/>
    <w:rsid w:val="16661BED"/>
    <w:rsid w:val="169E3498"/>
    <w:rsid w:val="170A591F"/>
    <w:rsid w:val="19FB46EB"/>
    <w:rsid w:val="1A2F526D"/>
    <w:rsid w:val="1A8B5580"/>
    <w:rsid w:val="1AD86C85"/>
    <w:rsid w:val="1AF77A78"/>
    <w:rsid w:val="1B592707"/>
    <w:rsid w:val="1B725308"/>
    <w:rsid w:val="1C4D1654"/>
    <w:rsid w:val="1DB10F7A"/>
    <w:rsid w:val="1DF02497"/>
    <w:rsid w:val="1EEA4091"/>
    <w:rsid w:val="22614A46"/>
    <w:rsid w:val="23E7267D"/>
    <w:rsid w:val="26403A7C"/>
    <w:rsid w:val="26B66760"/>
    <w:rsid w:val="26D43274"/>
    <w:rsid w:val="288F77F3"/>
    <w:rsid w:val="289B7CEA"/>
    <w:rsid w:val="28CB696D"/>
    <w:rsid w:val="296219B2"/>
    <w:rsid w:val="2A364F06"/>
    <w:rsid w:val="2A7E5E52"/>
    <w:rsid w:val="2C7221EB"/>
    <w:rsid w:val="2D0F1855"/>
    <w:rsid w:val="2DD82C22"/>
    <w:rsid w:val="2EBE7A1F"/>
    <w:rsid w:val="2F732AC0"/>
    <w:rsid w:val="302D2FCB"/>
    <w:rsid w:val="309521CE"/>
    <w:rsid w:val="315B0900"/>
    <w:rsid w:val="31E51327"/>
    <w:rsid w:val="322C19B1"/>
    <w:rsid w:val="33AB12C9"/>
    <w:rsid w:val="33CD4D5B"/>
    <w:rsid w:val="347520D2"/>
    <w:rsid w:val="34850855"/>
    <w:rsid w:val="35A84325"/>
    <w:rsid w:val="35D41FD1"/>
    <w:rsid w:val="35F961A2"/>
    <w:rsid w:val="36806DAD"/>
    <w:rsid w:val="36B659C2"/>
    <w:rsid w:val="37EF2F2A"/>
    <w:rsid w:val="38204A63"/>
    <w:rsid w:val="38667811"/>
    <w:rsid w:val="3B5B0B0B"/>
    <w:rsid w:val="3C80540F"/>
    <w:rsid w:val="3CD65123"/>
    <w:rsid w:val="3D11529E"/>
    <w:rsid w:val="3D125A86"/>
    <w:rsid w:val="3D6564EA"/>
    <w:rsid w:val="3DA54C5F"/>
    <w:rsid w:val="3DF67DB0"/>
    <w:rsid w:val="3DF76C4E"/>
    <w:rsid w:val="3EC76ECD"/>
    <w:rsid w:val="3EE23854"/>
    <w:rsid w:val="3FE8420A"/>
    <w:rsid w:val="3FF02F2B"/>
    <w:rsid w:val="3FF175EF"/>
    <w:rsid w:val="3FF27ED5"/>
    <w:rsid w:val="40A91B44"/>
    <w:rsid w:val="40CA710E"/>
    <w:rsid w:val="42FD4770"/>
    <w:rsid w:val="43025763"/>
    <w:rsid w:val="448908DC"/>
    <w:rsid w:val="45586A75"/>
    <w:rsid w:val="46926D0B"/>
    <w:rsid w:val="46C31FC6"/>
    <w:rsid w:val="470C3A67"/>
    <w:rsid w:val="47F3537C"/>
    <w:rsid w:val="481347B2"/>
    <w:rsid w:val="4841028A"/>
    <w:rsid w:val="4949578E"/>
    <w:rsid w:val="4A5C0257"/>
    <w:rsid w:val="4A5D71FF"/>
    <w:rsid w:val="4A771181"/>
    <w:rsid w:val="4AA62986"/>
    <w:rsid w:val="4D9E2177"/>
    <w:rsid w:val="4E957F2C"/>
    <w:rsid w:val="4EA5578E"/>
    <w:rsid w:val="535F6DF5"/>
    <w:rsid w:val="536C0EDF"/>
    <w:rsid w:val="54BC6404"/>
    <w:rsid w:val="56204FE8"/>
    <w:rsid w:val="565652F5"/>
    <w:rsid w:val="56BA1DA8"/>
    <w:rsid w:val="578B16D2"/>
    <w:rsid w:val="57911D4A"/>
    <w:rsid w:val="57F7424C"/>
    <w:rsid w:val="58B060E9"/>
    <w:rsid w:val="5A0424B6"/>
    <w:rsid w:val="5A6548BD"/>
    <w:rsid w:val="5A767522"/>
    <w:rsid w:val="5C6608C0"/>
    <w:rsid w:val="5D4E679E"/>
    <w:rsid w:val="5FFD1B51"/>
    <w:rsid w:val="61066C74"/>
    <w:rsid w:val="61883B83"/>
    <w:rsid w:val="61EE0BFF"/>
    <w:rsid w:val="62B36A3B"/>
    <w:rsid w:val="649143DA"/>
    <w:rsid w:val="64F70E27"/>
    <w:rsid w:val="65F67706"/>
    <w:rsid w:val="66C63687"/>
    <w:rsid w:val="678A0E4D"/>
    <w:rsid w:val="683E6A27"/>
    <w:rsid w:val="69061B1D"/>
    <w:rsid w:val="69713449"/>
    <w:rsid w:val="6AC20941"/>
    <w:rsid w:val="6DC04929"/>
    <w:rsid w:val="6DF901B8"/>
    <w:rsid w:val="6E872D0B"/>
    <w:rsid w:val="6F6B1E37"/>
    <w:rsid w:val="6FB04C6A"/>
    <w:rsid w:val="702F1CAA"/>
    <w:rsid w:val="70773781"/>
    <w:rsid w:val="72C605BC"/>
    <w:rsid w:val="7371158F"/>
    <w:rsid w:val="768D4E1D"/>
    <w:rsid w:val="76913E7C"/>
    <w:rsid w:val="76AC66BD"/>
    <w:rsid w:val="77440E67"/>
    <w:rsid w:val="776D0ADE"/>
    <w:rsid w:val="7820474A"/>
    <w:rsid w:val="78232800"/>
    <w:rsid w:val="7DAF24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99"/>
    <w:rPr>
      <w:b/>
      <w:bCs/>
    </w:rPr>
  </w:style>
  <w:style w:type="character" w:customStyle="1" w:styleId="7">
    <w:name w:val="Footer Char"/>
    <w:basedOn w:val="4"/>
    <w:link w:val="2"/>
    <w:qFormat/>
    <w:locked/>
    <w:uiPriority w:val="99"/>
    <w:rPr>
      <w:sz w:val="18"/>
      <w:szCs w:val="18"/>
    </w:rPr>
  </w:style>
  <w:style w:type="character" w:customStyle="1" w:styleId="8">
    <w:name w:val="Header Char"/>
    <w:basedOn w:val="4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13</Pages>
  <Words>1006</Words>
  <Characters>5737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Administrator</cp:lastModifiedBy>
  <cp:lastPrinted>2018-01-09T06:37:00Z</cp:lastPrinted>
  <dcterms:modified xsi:type="dcterms:W3CDTF">2021-07-14T02:44:35Z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