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498" w:lineRule="exact"/>
        <w:jc w:val="left"/>
        <w:textAlignment w:val="auto"/>
        <w:rPr>
          <w:rFonts w:eastAsia="黑体"/>
          <w:color w:val="000000"/>
          <w:sz w:val="28"/>
          <w:szCs w:val="28"/>
        </w:rPr>
      </w:pPr>
      <w:bookmarkStart w:id="0" w:name="_Toc430939929"/>
      <w:bookmarkStart w:id="1" w:name="_Toc430773849"/>
      <w:bookmarkStart w:id="2" w:name="_Toc430629165"/>
      <w:r>
        <w:rPr>
          <w:rFonts w:eastAsia="黑体"/>
          <w:color w:val="000000"/>
          <w:sz w:val="28"/>
          <w:szCs w:val="28"/>
        </w:rPr>
        <w:t>县十八届人大</w:t>
      </w:r>
      <w:r>
        <w:rPr>
          <w:rFonts w:hint="eastAsia" w:eastAsia="黑体"/>
          <w:color w:val="000000"/>
          <w:sz w:val="28"/>
          <w:szCs w:val="28"/>
        </w:rPr>
        <w:t>三</w:t>
      </w:r>
      <w:r>
        <w:rPr>
          <w:rFonts w:eastAsia="黑体"/>
          <w:color w:val="000000"/>
          <w:sz w:val="28"/>
          <w:szCs w:val="28"/>
        </w:rPr>
        <w:t>次</w:t>
      </w:r>
    </w:p>
    <w:p>
      <w:pPr>
        <w:keepNext w:val="0"/>
        <w:keepLines w:val="0"/>
        <w:pageBreakBefore w:val="0"/>
        <w:widowControl w:val="0"/>
        <w:kinsoku/>
        <w:wordWrap/>
        <w:overflowPunct/>
        <w:topLinePunct w:val="0"/>
        <w:autoSpaceDE/>
        <w:autoSpaceDN/>
        <w:bidi w:val="0"/>
        <w:snapToGrid w:val="0"/>
        <w:spacing w:line="498" w:lineRule="exact"/>
        <w:jc w:val="left"/>
        <w:textAlignment w:val="auto"/>
        <w:rPr>
          <w:rFonts w:eastAsia="黑体"/>
          <w:color w:val="000000"/>
          <w:spacing w:val="14"/>
          <w:sz w:val="28"/>
          <w:szCs w:val="28"/>
        </w:rPr>
      </w:pPr>
      <w:r>
        <w:rPr>
          <w:rFonts w:eastAsia="黑体"/>
          <w:color w:val="000000"/>
          <w:spacing w:val="14"/>
          <w:sz w:val="28"/>
          <w:szCs w:val="28"/>
        </w:rPr>
        <w:t>会议文件（</w:t>
      </w:r>
      <w:r>
        <w:rPr>
          <w:rFonts w:hint="eastAsia" w:eastAsia="黑体"/>
          <w:color w:val="000000"/>
          <w:spacing w:val="14"/>
          <w:sz w:val="28"/>
          <w:szCs w:val="28"/>
        </w:rPr>
        <w:t>十五</w:t>
      </w:r>
      <w:r>
        <w:rPr>
          <w:rFonts w:eastAsia="黑体"/>
          <w:color w:val="000000"/>
          <w:spacing w:val="14"/>
          <w:sz w:val="28"/>
          <w:szCs w:val="28"/>
        </w:rPr>
        <w:t>）</w:t>
      </w:r>
    </w:p>
    <w:p>
      <w:pPr>
        <w:keepNext w:val="0"/>
        <w:keepLines w:val="0"/>
        <w:pageBreakBefore w:val="0"/>
        <w:widowControl w:val="0"/>
        <w:kinsoku/>
        <w:wordWrap/>
        <w:overflowPunct/>
        <w:topLinePunct w:val="0"/>
        <w:autoSpaceDE/>
        <w:autoSpaceDN/>
        <w:bidi w:val="0"/>
        <w:spacing w:line="498" w:lineRule="exact"/>
        <w:jc w:val="center"/>
        <w:textAlignment w:val="auto"/>
        <w:rPr>
          <w:rFonts w:hint="eastAsia" w:eastAsia="方正小标宋简体"/>
          <w:color w:val="000000"/>
          <w:sz w:val="44"/>
          <w:szCs w:val="44"/>
        </w:rPr>
      </w:pPr>
    </w:p>
    <w:p>
      <w:pPr>
        <w:keepNext w:val="0"/>
        <w:keepLines w:val="0"/>
        <w:pageBreakBefore w:val="0"/>
        <w:widowControl w:val="0"/>
        <w:kinsoku/>
        <w:wordWrap/>
        <w:overflowPunct/>
        <w:topLinePunct w:val="0"/>
        <w:autoSpaceDE/>
        <w:autoSpaceDN/>
        <w:bidi w:val="0"/>
        <w:adjustRightInd/>
        <w:snapToGrid/>
        <w:spacing w:line="498" w:lineRule="exact"/>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德化县2018年预算执行情况</w:t>
      </w:r>
    </w:p>
    <w:p>
      <w:pPr>
        <w:keepNext w:val="0"/>
        <w:keepLines w:val="0"/>
        <w:pageBreakBefore w:val="0"/>
        <w:widowControl w:val="0"/>
        <w:kinsoku/>
        <w:wordWrap/>
        <w:overflowPunct/>
        <w:topLinePunct w:val="0"/>
        <w:autoSpaceDE/>
        <w:autoSpaceDN/>
        <w:bidi w:val="0"/>
        <w:adjustRightInd/>
        <w:snapToGrid/>
        <w:spacing w:line="498" w:lineRule="exact"/>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和2019年预算（草案）的报告</w:t>
      </w:r>
    </w:p>
    <w:p>
      <w:pPr>
        <w:keepNext w:val="0"/>
        <w:keepLines w:val="0"/>
        <w:pageBreakBefore w:val="0"/>
        <w:widowControl w:val="0"/>
        <w:kinsoku/>
        <w:wordWrap/>
        <w:overflowPunct/>
        <w:topLinePunct w:val="0"/>
        <w:autoSpaceDE/>
        <w:autoSpaceDN/>
        <w:bidi w:val="0"/>
        <w:adjustRightInd/>
        <w:snapToGrid/>
        <w:spacing w:line="498" w:lineRule="exact"/>
        <w:ind w:right="6" w:rightChars="3"/>
        <w:jc w:val="center"/>
        <w:textAlignment w:val="auto"/>
        <w:rPr>
          <w:rFonts w:hint="eastAsia" w:ascii="楷体_GB2312" w:eastAsia="楷体_GB2312"/>
          <w:color w:val="000000"/>
          <w:spacing w:val="-17"/>
          <w:sz w:val="32"/>
          <w:szCs w:val="32"/>
        </w:rPr>
      </w:pPr>
      <w:r>
        <w:rPr>
          <w:rFonts w:hint="eastAsia" w:ascii="楷体_GB2312" w:hAnsi="宋体" w:eastAsia="楷体_GB2312"/>
          <w:color w:val="000000"/>
          <w:spacing w:val="-17"/>
          <w:sz w:val="32"/>
          <w:szCs w:val="32"/>
        </w:rPr>
        <w:t>——</w:t>
      </w:r>
      <w:r>
        <w:rPr>
          <w:rFonts w:hint="eastAsia" w:ascii="楷体_GB2312" w:eastAsia="楷体_GB2312"/>
          <w:color w:val="000000"/>
          <w:spacing w:val="-17"/>
          <w:sz w:val="32"/>
          <w:szCs w:val="32"/>
        </w:rPr>
        <w:t>2019年1月4日在德化县第十八届人民代表大会第三次会议上</w:t>
      </w:r>
    </w:p>
    <w:p>
      <w:pPr>
        <w:keepNext w:val="0"/>
        <w:keepLines w:val="0"/>
        <w:pageBreakBefore w:val="0"/>
        <w:widowControl w:val="0"/>
        <w:kinsoku/>
        <w:wordWrap/>
        <w:overflowPunct/>
        <w:topLinePunct w:val="0"/>
        <w:autoSpaceDE/>
        <w:autoSpaceDN/>
        <w:bidi w:val="0"/>
        <w:adjustRightInd/>
        <w:snapToGrid/>
        <w:spacing w:line="498" w:lineRule="exact"/>
        <w:jc w:val="center"/>
        <w:textAlignment w:val="auto"/>
        <w:rPr>
          <w:rFonts w:eastAsia="楷体_GB2312"/>
          <w:color w:val="000000"/>
          <w:sz w:val="32"/>
          <w:szCs w:val="32"/>
        </w:rPr>
      </w:pPr>
      <w:r>
        <w:rPr>
          <w:rFonts w:eastAsia="楷体_GB2312"/>
          <w:color w:val="000000"/>
          <w:sz w:val="32"/>
          <w:szCs w:val="32"/>
        </w:rPr>
        <w:t>德化县财政局局长  蒲贻水</w:t>
      </w:r>
    </w:p>
    <w:p>
      <w:pPr>
        <w:keepNext w:val="0"/>
        <w:keepLines w:val="0"/>
        <w:pageBreakBefore w:val="0"/>
        <w:widowControl w:val="0"/>
        <w:kinsoku/>
        <w:wordWrap/>
        <w:overflowPunct/>
        <w:topLinePunct w:val="0"/>
        <w:autoSpaceDE/>
        <w:autoSpaceDN/>
        <w:bidi w:val="0"/>
        <w:spacing w:line="498" w:lineRule="exact"/>
        <w:textAlignment w:val="auto"/>
        <w:rPr>
          <w:rFonts w:hint="eastAsia" w:eastAsia="仿宋_GB2312"/>
          <w:color w:val="000000"/>
          <w:sz w:val="32"/>
          <w:szCs w:val="32"/>
          <w:lang w:eastAsia="zh-CN"/>
        </w:rPr>
      </w:pPr>
    </w:p>
    <w:p>
      <w:pPr>
        <w:keepNext w:val="0"/>
        <w:keepLines w:val="0"/>
        <w:pageBreakBefore w:val="0"/>
        <w:widowControl w:val="0"/>
        <w:kinsoku/>
        <w:wordWrap/>
        <w:overflowPunct/>
        <w:topLinePunct w:val="0"/>
        <w:autoSpaceDE/>
        <w:autoSpaceDN/>
        <w:bidi w:val="0"/>
        <w:spacing w:line="498" w:lineRule="exact"/>
        <w:textAlignment w:val="auto"/>
        <w:rPr>
          <w:rFonts w:eastAsia="仿宋_GB2312"/>
          <w:color w:val="000000"/>
          <w:sz w:val="32"/>
          <w:szCs w:val="32"/>
        </w:rPr>
      </w:pPr>
      <w:r>
        <w:rPr>
          <w:rFonts w:eastAsia="仿宋_GB2312"/>
          <w:color w:val="000000"/>
          <w:sz w:val="32"/>
          <w:szCs w:val="32"/>
        </w:rPr>
        <w:t>各位代表：</w:t>
      </w:r>
    </w:p>
    <w:p>
      <w:pPr>
        <w:keepNext w:val="0"/>
        <w:keepLines w:val="0"/>
        <w:pageBreakBefore w:val="0"/>
        <w:widowControl w:val="0"/>
        <w:kinsoku/>
        <w:wordWrap/>
        <w:overflowPunct/>
        <w:topLinePunct w:val="0"/>
        <w:autoSpaceDE/>
        <w:autoSpaceDN/>
        <w:bidi w:val="0"/>
        <w:spacing w:line="498" w:lineRule="exact"/>
        <w:ind w:firstLine="640" w:firstLineChars="200"/>
        <w:textAlignment w:val="auto"/>
        <w:rPr>
          <w:rFonts w:eastAsia="仿宋_GB2312"/>
          <w:color w:val="000000"/>
          <w:sz w:val="32"/>
          <w:szCs w:val="32"/>
        </w:rPr>
      </w:pPr>
      <w:r>
        <w:rPr>
          <w:rFonts w:eastAsia="仿宋_GB2312"/>
          <w:color w:val="000000"/>
          <w:sz w:val="32"/>
          <w:szCs w:val="32"/>
        </w:rPr>
        <w:t>受县人民政府委托，现将德化县2018年预算执行情况和2019年预算草案提请县第十八届人民代表大会第三次会议审议，并请各位政协委员和列席人员提出意见。</w:t>
      </w:r>
    </w:p>
    <w:p>
      <w:pPr>
        <w:keepNext w:val="0"/>
        <w:keepLines w:val="0"/>
        <w:pageBreakBefore w:val="0"/>
        <w:widowControl w:val="0"/>
        <w:kinsoku/>
        <w:wordWrap/>
        <w:overflowPunct/>
        <w:topLinePunct w:val="0"/>
        <w:autoSpaceDE/>
        <w:autoSpaceDN/>
        <w:bidi w:val="0"/>
        <w:spacing w:line="498" w:lineRule="exact"/>
        <w:ind w:firstLine="640" w:firstLineChars="200"/>
        <w:textAlignment w:val="auto"/>
        <w:rPr>
          <w:rFonts w:eastAsia="黑体"/>
          <w:color w:val="000000"/>
          <w:sz w:val="32"/>
          <w:szCs w:val="32"/>
        </w:rPr>
      </w:pPr>
      <w:r>
        <w:rPr>
          <w:rFonts w:eastAsia="黑体"/>
          <w:color w:val="000000"/>
          <w:sz w:val="32"/>
          <w:szCs w:val="32"/>
        </w:rPr>
        <w:t>一、2018年预算执行情况</w:t>
      </w:r>
    </w:p>
    <w:p>
      <w:pPr>
        <w:keepNext w:val="0"/>
        <w:keepLines w:val="0"/>
        <w:pageBreakBefore w:val="0"/>
        <w:widowControl w:val="0"/>
        <w:kinsoku/>
        <w:wordWrap/>
        <w:overflowPunct/>
        <w:topLinePunct w:val="0"/>
        <w:autoSpaceDE/>
        <w:autoSpaceDN/>
        <w:bidi w:val="0"/>
        <w:adjustRightInd w:val="0"/>
        <w:spacing w:line="498" w:lineRule="exact"/>
        <w:ind w:firstLine="640" w:firstLineChars="200"/>
        <w:textAlignment w:val="auto"/>
        <w:rPr>
          <w:rFonts w:eastAsia="仿宋_GB2312"/>
          <w:color w:val="000000"/>
          <w:sz w:val="32"/>
          <w:szCs w:val="32"/>
        </w:rPr>
      </w:pPr>
      <w:r>
        <w:rPr>
          <w:rFonts w:eastAsia="仿宋_GB2312"/>
          <w:color w:val="000000"/>
          <w:sz w:val="32"/>
          <w:szCs w:val="32"/>
        </w:rPr>
        <w:t>2018年，财政部门在县委的坚强领导下，以习近平新时代中国特色社会主义思想和党的十九大精神为指导，坚持稳中求进工作总基调，围绕</w:t>
      </w:r>
      <w:r>
        <w:rPr>
          <w:rFonts w:hint="eastAsia" w:eastAsia="仿宋_GB2312"/>
          <w:color w:val="000000"/>
          <w:sz w:val="32"/>
          <w:szCs w:val="32"/>
          <w:lang w:eastAsia="zh-CN"/>
        </w:rPr>
        <w:t>“</w:t>
      </w:r>
      <w:r>
        <w:rPr>
          <w:rFonts w:eastAsia="仿宋_GB2312"/>
          <w:color w:val="000000"/>
          <w:sz w:val="32"/>
          <w:szCs w:val="32"/>
        </w:rPr>
        <w:t>转型攻坚、聚力跨越</w:t>
      </w:r>
      <w:r>
        <w:rPr>
          <w:rFonts w:hint="eastAsia" w:eastAsia="仿宋_GB2312"/>
          <w:color w:val="000000"/>
          <w:sz w:val="32"/>
          <w:szCs w:val="32"/>
          <w:lang w:eastAsia="zh-CN"/>
        </w:rPr>
        <w:t>”</w:t>
      </w:r>
      <w:r>
        <w:rPr>
          <w:rFonts w:eastAsia="仿宋_GB2312"/>
          <w:color w:val="000000"/>
          <w:sz w:val="32"/>
          <w:szCs w:val="32"/>
        </w:rPr>
        <w:t>工作主线，实施积极有效财政政策，持续深化财税改革，强化财政收支管理，推动加快实体经济转型升级，为全县经济社会协调发展提供</w:t>
      </w:r>
      <w:r>
        <w:rPr>
          <w:rFonts w:hint="eastAsia" w:eastAsia="仿宋_GB2312"/>
          <w:color w:val="000000"/>
          <w:sz w:val="32"/>
          <w:szCs w:val="32"/>
        </w:rPr>
        <w:t>了</w:t>
      </w:r>
      <w:r>
        <w:rPr>
          <w:rFonts w:eastAsia="仿宋_GB2312"/>
          <w:color w:val="000000"/>
          <w:sz w:val="32"/>
          <w:szCs w:val="32"/>
        </w:rPr>
        <w:t>坚实的财力保障。</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pacing w:line="498" w:lineRule="exact"/>
        <w:ind w:firstLine="640" w:firstLineChars="200"/>
        <w:textAlignment w:val="auto"/>
        <w:rPr>
          <w:rFonts w:eastAsia="楷体_GB2312"/>
          <w:snapToGrid w:val="0"/>
          <w:color w:val="000000"/>
          <w:kern w:val="0"/>
          <w:sz w:val="32"/>
          <w:szCs w:val="32"/>
        </w:rPr>
      </w:pPr>
      <w:r>
        <w:rPr>
          <w:rFonts w:eastAsia="楷体_GB2312"/>
          <w:snapToGrid w:val="0"/>
          <w:color w:val="000000"/>
          <w:kern w:val="0"/>
          <w:sz w:val="32"/>
          <w:szCs w:val="32"/>
        </w:rPr>
        <w:t>（一）</w:t>
      </w:r>
      <w:r>
        <w:rPr>
          <w:rFonts w:eastAsia="楷体_GB2312"/>
          <w:color w:val="000000"/>
          <w:sz w:val="32"/>
          <w:szCs w:val="32"/>
        </w:rPr>
        <w:t>预算</w:t>
      </w:r>
      <w:r>
        <w:rPr>
          <w:rFonts w:hint="eastAsia" w:eastAsia="楷体_GB2312"/>
          <w:color w:val="000000"/>
          <w:sz w:val="32"/>
          <w:szCs w:val="32"/>
        </w:rPr>
        <w:t>收支</w:t>
      </w:r>
      <w:r>
        <w:rPr>
          <w:rFonts w:eastAsia="楷体_GB2312"/>
          <w:snapToGrid w:val="0"/>
          <w:color w:val="000000"/>
          <w:kern w:val="0"/>
          <w:sz w:val="32"/>
          <w:szCs w:val="32"/>
        </w:rPr>
        <w:t>情况</w:t>
      </w:r>
    </w:p>
    <w:bookmarkEnd w:id="0"/>
    <w:bookmarkEnd w:id="1"/>
    <w:bookmarkEnd w:id="2"/>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pacing w:line="498" w:lineRule="exact"/>
        <w:ind w:firstLine="643" w:firstLineChars="200"/>
        <w:textAlignment w:val="auto"/>
        <w:rPr>
          <w:rFonts w:eastAsia="仿宋_GB2312"/>
          <w:color w:val="000000"/>
          <w:sz w:val="32"/>
          <w:szCs w:val="32"/>
        </w:rPr>
      </w:pPr>
      <w:r>
        <w:rPr>
          <w:rFonts w:hint="eastAsia" w:ascii="仿宋_GB2312" w:hAnsi="仿宋_GB2312" w:eastAsia="仿宋_GB2312" w:cs="仿宋_GB2312"/>
          <w:b/>
          <w:color w:val="000000"/>
          <w:sz w:val="32"/>
          <w:szCs w:val="32"/>
        </w:rPr>
        <w:t>1.一般公共预算：</w:t>
      </w:r>
      <w:r>
        <w:rPr>
          <w:rFonts w:eastAsia="仿宋_GB2312"/>
          <w:color w:val="000000"/>
          <w:sz w:val="32"/>
          <w:szCs w:val="32"/>
        </w:rPr>
        <w:t>全县一般公共预算总收入17.7</w:t>
      </w:r>
      <w:r>
        <w:rPr>
          <w:rFonts w:hint="eastAsia" w:eastAsia="仿宋_GB2312"/>
          <w:color w:val="000000"/>
          <w:sz w:val="32"/>
          <w:szCs w:val="32"/>
        </w:rPr>
        <w:t>5</w:t>
      </w:r>
      <w:r>
        <w:rPr>
          <w:rFonts w:eastAsia="仿宋_GB2312"/>
          <w:color w:val="000000"/>
          <w:sz w:val="32"/>
          <w:szCs w:val="32"/>
        </w:rPr>
        <w:t>亿元，增长7.</w:t>
      </w:r>
      <w:r>
        <w:rPr>
          <w:rFonts w:hint="eastAsia" w:eastAsia="仿宋_GB2312"/>
          <w:color w:val="000000"/>
          <w:sz w:val="32"/>
          <w:szCs w:val="32"/>
        </w:rPr>
        <w:t>9</w:t>
      </w:r>
      <w:r>
        <w:rPr>
          <w:rFonts w:eastAsia="仿宋_GB2312"/>
          <w:color w:val="000000"/>
          <w:sz w:val="32"/>
          <w:szCs w:val="32"/>
        </w:rPr>
        <w:t>%。其中一般公共预算收入11.</w:t>
      </w:r>
      <w:r>
        <w:rPr>
          <w:rFonts w:hint="eastAsia" w:eastAsia="仿宋_GB2312"/>
          <w:color w:val="000000"/>
          <w:sz w:val="32"/>
          <w:szCs w:val="32"/>
        </w:rPr>
        <w:t>82</w:t>
      </w:r>
      <w:r>
        <w:rPr>
          <w:rFonts w:eastAsia="仿宋_GB2312"/>
          <w:color w:val="000000"/>
          <w:sz w:val="32"/>
          <w:szCs w:val="32"/>
        </w:rPr>
        <w:t>亿元，完成</w:t>
      </w:r>
      <w:r>
        <w:rPr>
          <w:rFonts w:hint="eastAsia" w:eastAsia="仿宋_GB2312"/>
          <w:color w:val="000000"/>
          <w:sz w:val="32"/>
          <w:szCs w:val="32"/>
        </w:rPr>
        <w:t>调整</w:t>
      </w:r>
      <w:r>
        <w:rPr>
          <w:rFonts w:eastAsia="仿宋_GB2312"/>
          <w:color w:val="000000"/>
          <w:sz w:val="32"/>
          <w:szCs w:val="32"/>
        </w:rPr>
        <w:t>预算的100</w:t>
      </w:r>
      <w:r>
        <w:rPr>
          <w:rFonts w:hint="eastAsia" w:eastAsia="仿宋_GB2312"/>
          <w:color w:val="000000"/>
          <w:sz w:val="32"/>
          <w:szCs w:val="32"/>
        </w:rPr>
        <w:t>.2</w:t>
      </w:r>
      <w:r>
        <w:rPr>
          <w:rFonts w:eastAsia="仿宋_GB2312"/>
          <w:color w:val="000000"/>
          <w:sz w:val="32"/>
          <w:szCs w:val="32"/>
        </w:rPr>
        <w:t>%，增长7</w:t>
      </w:r>
      <w:r>
        <w:rPr>
          <w:rFonts w:hint="eastAsia" w:eastAsia="仿宋_GB2312"/>
          <w:color w:val="000000"/>
          <w:sz w:val="32"/>
          <w:szCs w:val="32"/>
        </w:rPr>
        <w:t>.3</w:t>
      </w:r>
      <w:r>
        <w:rPr>
          <w:rFonts w:eastAsia="仿宋_GB2312"/>
          <w:color w:val="000000"/>
          <w:sz w:val="32"/>
          <w:szCs w:val="32"/>
        </w:rPr>
        <w:t>%。税收总收入14.4</w:t>
      </w:r>
      <w:r>
        <w:rPr>
          <w:rFonts w:hint="eastAsia" w:eastAsia="仿宋_GB2312"/>
          <w:color w:val="000000"/>
          <w:sz w:val="32"/>
          <w:szCs w:val="32"/>
        </w:rPr>
        <w:t>6</w:t>
      </w:r>
      <w:r>
        <w:rPr>
          <w:rFonts w:eastAsia="仿宋_GB2312"/>
          <w:color w:val="000000"/>
          <w:sz w:val="32"/>
          <w:szCs w:val="32"/>
        </w:rPr>
        <w:t>亿元，增长10.</w:t>
      </w:r>
      <w:r>
        <w:rPr>
          <w:rFonts w:hint="eastAsia" w:eastAsia="仿宋_GB2312"/>
          <w:color w:val="000000"/>
          <w:sz w:val="32"/>
          <w:szCs w:val="32"/>
        </w:rPr>
        <w:t>2</w:t>
      </w:r>
      <w:r>
        <w:rPr>
          <w:rFonts w:eastAsia="仿宋_GB2312"/>
          <w:color w:val="000000"/>
          <w:sz w:val="32"/>
          <w:szCs w:val="32"/>
        </w:rPr>
        <w:t>%，税性比重为81.</w:t>
      </w:r>
      <w:r>
        <w:rPr>
          <w:rFonts w:hint="eastAsia" w:eastAsia="仿宋_GB2312"/>
          <w:color w:val="000000"/>
          <w:sz w:val="32"/>
          <w:szCs w:val="32"/>
        </w:rPr>
        <w:t>5</w:t>
      </w:r>
      <w:r>
        <w:rPr>
          <w:rFonts w:eastAsia="仿宋_GB2312"/>
          <w:color w:val="000000"/>
          <w:sz w:val="32"/>
          <w:szCs w:val="32"/>
        </w:rPr>
        <w:t>%，比上年提高1.</w:t>
      </w:r>
      <w:r>
        <w:rPr>
          <w:rFonts w:hint="eastAsia" w:eastAsia="仿宋_GB2312"/>
          <w:color w:val="000000"/>
          <w:sz w:val="32"/>
          <w:szCs w:val="32"/>
        </w:rPr>
        <w:t>7</w:t>
      </w:r>
      <w:r>
        <w:rPr>
          <w:rFonts w:eastAsia="仿宋_GB2312"/>
          <w:color w:val="000000"/>
          <w:sz w:val="32"/>
          <w:szCs w:val="32"/>
        </w:rPr>
        <w:t>个百分点；地方级税收收入8.5</w:t>
      </w:r>
      <w:r>
        <w:rPr>
          <w:rFonts w:hint="eastAsia" w:eastAsia="仿宋_GB2312"/>
          <w:color w:val="000000"/>
          <w:sz w:val="32"/>
          <w:szCs w:val="32"/>
          <w:lang w:val="en-GB"/>
        </w:rPr>
        <w:t>3</w:t>
      </w:r>
      <w:r>
        <w:rPr>
          <w:rFonts w:eastAsia="仿宋_GB2312"/>
          <w:color w:val="000000"/>
          <w:sz w:val="32"/>
          <w:szCs w:val="32"/>
        </w:rPr>
        <w:t>亿元，增长1</w:t>
      </w:r>
      <w:r>
        <w:rPr>
          <w:rFonts w:hint="eastAsia" w:eastAsia="仿宋_GB2312"/>
          <w:color w:val="000000"/>
          <w:sz w:val="32"/>
          <w:szCs w:val="32"/>
        </w:rPr>
        <w:t>0.9</w:t>
      </w:r>
      <w:r>
        <w:rPr>
          <w:rFonts w:eastAsia="仿宋_GB2312"/>
          <w:color w:val="000000"/>
          <w:sz w:val="32"/>
          <w:szCs w:val="32"/>
        </w:rPr>
        <w:t>%，税性比重为72.</w:t>
      </w:r>
      <w:r>
        <w:rPr>
          <w:rFonts w:hint="eastAsia" w:eastAsia="仿宋_GB2312"/>
          <w:color w:val="000000"/>
          <w:sz w:val="32"/>
          <w:szCs w:val="32"/>
          <w:lang w:val="en-GB"/>
        </w:rPr>
        <w:t>2</w:t>
      </w:r>
      <w:r>
        <w:rPr>
          <w:rFonts w:eastAsia="仿宋_GB2312"/>
          <w:color w:val="000000"/>
          <w:sz w:val="32"/>
          <w:szCs w:val="32"/>
        </w:rPr>
        <w:t>%，比上年提高2.</w:t>
      </w:r>
      <w:r>
        <w:rPr>
          <w:rFonts w:hint="eastAsia" w:eastAsia="仿宋_GB2312"/>
          <w:color w:val="000000"/>
          <w:sz w:val="32"/>
          <w:szCs w:val="32"/>
          <w:lang w:val="en-GB"/>
        </w:rPr>
        <w:t>4</w:t>
      </w:r>
      <w:r>
        <w:rPr>
          <w:rFonts w:eastAsia="仿宋_GB2312"/>
          <w:color w:val="000000"/>
          <w:sz w:val="32"/>
          <w:szCs w:val="32"/>
        </w:rPr>
        <w:t>个百分点。全县一般公共预算支出</w:t>
      </w:r>
      <w:r>
        <w:rPr>
          <w:rFonts w:eastAsia="仿宋_GB2312"/>
          <w:color w:val="000000"/>
          <w:sz w:val="32"/>
          <w:szCs w:val="32"/>
          <w:lang w:val="en-GB"/>
        </w:rPr>
        <w:t>26.78</w:t>
      </w:r>
      <w:r>
        <w:rPr>
          <w:rFonts w:eastAsia="仿宋_GB2312"/>
          <w:color w:val="000000"/>
          <w:sz w:val="32"/>
          <w:szCs w:val="32"/>
        </w:rPr>
        <w:t>亿元，增长</w:t>
      </w:r>
      <w:r>
        <w:rPr>
          <w:rFonts w:hint="eastAsia" w:eastAsia="仿宋_GB2312"/>
          <w:color w:val="000000"/>
          <w:sz w:val="32"/>
          <w:szCs w:val="32"/>
        </w:rPr>
        <w:t>2</w:t>
      </w:r>
      <w:r>
        <w:rPr>
          <w:rFonts w:eastAsia="仿宋_GB2312"/>
          <w:color w:val="000000"/>
          <w:sz w:val="32"/>
          <w:szCs w:val="32"/>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pacing w:line="498" w:lineRule="exact"/>
        <w:ind w:firstLine="643" w:firstLineChars="200"/>
        <w:textAlignment w:val="auto"/>
        <w:rPr>
          <w:rFonts w:eastAsia="仿宋_GB2312"/>
          <w:color w:val="000000"/>
          <w:sz w:val="32"/>
          <w:szCs w:val="32"/>
        </w:rPr>
      </w:pPr>
      <w:r>
        <w:rPr>
          <w:rFonts w:hint="eastAsia" w:ascii="仿宋_GB2312" w:hAnsi="仿宋_GB2312" w:eastAsia="仿宋_GB2312" w:cs="仿宋_GB2312"/>
          <w:b/>
          <w:color w:val="000000"/>
          <w:sz w:val="32"/>
          <w:szCs w:val="32"/>
        </w:rPr>
        <w:t>2.政府性基金预算：</w:t>
      </w:r>
      <w:r>
        <w:rPr>
          <w:rFonts w:eastAsia="仿宋_GB2312"/>
          <w:color w:val="000000"/>
          <w:sz w:val="32"/>
          <w:szCs w:val="32"/>
        </w:rPr>
        <w:t>全县政府性基金收入</w:t>
      </w:r>
      <w:r>
        <w:rPr>
          <w:rFonts w:hint="eastAsia" w:eastAsia="仿宋_GB2312"/>
          <w:color w:val="000000"/>
          <w:sz w:val="32"/>
          <w:szCs w:val="32"/>
        </w:rPr>
        <w:t>16.95</w:t>
      </w:r>
      <w:r>
        <w:rPr>
          <w:rFonts w:eastAsia="仿宋_GB2312"/>
          <w:color w:val="000000"/>
          <w:sz w:val="32"/>
          <w:szCs w:val="32"/>
        </w:rPr>
        <w:t>亿元，政府性基金支出</w:t>
      </w:r>
      <w:r>
        <w:rPr>
          <w:rFonts w:hint="eastAsia" w:eastAsia="仿宋_GB2312"/>
          <w:color w:val="000000"/>
          <w:sz w:val="32"/>
          <w:szCs w:val="32"/>
        </w:rPr>
        <w:t>21.63</w:t>
      </w:r>
      <w:r>
        <w:rPr>
          <w:rFonts w:eastAsia="仿宋_GB2312"/>
          <w:color w:val="000000"/>
          <w:sz w:val="32"/>
          <w:szCs w:val="32"/>
        </w:rPr>
        <w:t>亿元。</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pacing w:line="498" w:lineRule="exact"/>
        <w:ind w:firstLine="643" w:firstLineChars="200"/>
        <w:textAlignment w:val="auto"/>
        <w:rPr>
          <w:rFonts w:eastAsia="仿宋_GB2312"/>
          <w:color w:val="000000"/>
          <w:sz w:val="32"/>
          <w:szCs w:val="32"/>
        </w:rPr>
      </w:pPr>
      <w:r>
        <w:rPr>
          <w:rFonts w:hint="eastAsia" w:ascii="仿宋_GB2312" w:hAnsi="仿宋_GB2312" w:eastAsia="仿宋_GB2312" w:cs="仿宋_GB2312"/>
          <w:b/>
          <w:color w:val="000000"/>
          <w:sz w:val="32"/>
          <w:szCs w:val="32"/>
        </w:rPr>
        <w:t>3.国有资本经营预算：</w:t>
      </w:r>
      <w:r>
        <w:rPr>
          <w:rFonts w:eastAsia="仿宋_GB2312"/>
          <w:color w:val="000000"/>
          <w:sz w:val="32"/>
          <w:szCs w:val="32"/>
        </w:rPr>
        <w:t>全县国有资本经营收入0.03亿元，国有资本经营支出0.03亿元。</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pacing w:line="498" w:lineRule="exact"/>
        <w:ind w:firstLine="643" w:firstLineChars="200"/>
        <w:textAlignment w:val="auto"/>
        <w:rPr>
          <w:rFonts w:eastAsia="仿宋_GB2312"/>
          <w:color w:val="000000"/>
          <w:sz w:val="32"/>
          <w:szCs w:val="32"/>
        </w:rPr>
      </w:pPr>
      <w:r>
        <w:rPr>
          <w:rFonts w:hint="eastAsia" w:ascii="仿宋_GB2312" w:hAnsi="仿宋_GB2312" w:eastAsia="仿宋_GB2312" w:cs="仿宋_GB2312"/>
          <w:b/>
          <w:color w:val="000000"/>
          <w:sz w:val="32"/>
          <w:szCs w:val="32"/>
        </w:rPr>
        <w:t>4.社会保险基金预算：</w:t>
      </w:r>
      <w:r>
        <w:rPr>
          <w:rFonts w:eastAsia="仿宋_GB2312"/>
          <w:color w:val="000000"/>
          <w:sz w:val="32"/>
          <w:szCs w:val="32"/>
        </w:rPr>
        <w:t>全县社会保险基金收入</w:t>
      </w:r>
      <w:r>
        <w:rPr>
          <w:rFonts w:hint="eastAsia" w:eastAsia="仿宋_GB2312"/>
          <w:color w:val="000000"/>
          <w:sz w:val="32"/>
          <w:szCs w:val="32"/>
        </w:rPr>
        <w:t>2.03</w:t>
      </w:r>
      <w:r>
        <w:rPr>
          <w:rFonts w:eastAsia="仿宋_GB2312"/>
          <w:color w:val="000000"/>
          <w:sz w:val="32"/>
          <w:szCs w:val="32"/>
        </w:rPr>
        <w:t>亿元，社会保险基金支出</w:t>
      </w:r>
      <w:r>
        <w:rPr>
          <w:rFonts w:hint="eastAsia" w:eastAsia="仿宋_GB2312"/>
          <w:color w:val="000000"/>
          <w:sz w:val="32"/>
          <w:szCs w:val="32"/>
        </w:rPr>
        <w:t>1.97</w:t>
      </w:r>
      <w:r>
        <w:rPr>
          <w:rFonts w:eastAsia="仿宋_GB2312"/>
          <w:color w:val="000000"/>
          <w:sz w:val="32"/>
          <w:szCs w:val="32"/>
        </w:rPr>
        <w:t>亿元。</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pacing w:line="498" w:lineRule="exact"/>
        <w:ind w:firstLine="640" w:firstLineChars="200"/>
        <w:textAlignment w:val="auto"/>
        <w:rPr>
          <w:rFonts w:eastAsia="仿宋_GB2312"/>
          <w:color w:val="000000"/>
          <w:sz w:val="32"/>
          <w:szCs w:val="32"/>
        </w:rPr>
      </w:pPr>
      <w:r>
        <w:rPr>
          <w:rFonts w:eastAsia="仿宋_GB2312"/>
          <w:color w:val="000000"/>
          <w:sz w:val="32"/>
          <w:szCs w:val="32"/>
        </w:rPr>
        <w:t>需要说明的是：由于2018年预算执行尚未结束，以上数据为初步预计数，执行中还会有变化，待县财政决算编成后再报县人大常委会审批。</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pacing w:line="498" w:lineRule="exact"/>
        <w:ind w:firstLine="640" w:firstLineChars="200"/>
        <w:textAlignment w:val="auto"/>
        <w:rPr>
          <w:rFonts w:eastAsia="楷体_GB2312"/>
          <w:color w:val="000000"/>
          <w:sz w:val="32"/>
          <w:szCs w:val="32"/>
        </w:rPr>
      </w:pPr>
      <w:r>
        <w:rPr>
          <w:rFonts w:eastAsia="楷体_GB2312"/>
          <w:color w:val="000000"/>
          <w:sz w:val="32"/>
          <w:szCs w:val="32"/>
        </w:rPr>
        <w:t>（二）主要工作措施</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pacing w:line="498" w:lineRule="exact"/>
        <w:ind w:firstLine="643"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1</w:t>
      </w:r>
      <w:r>
        <w:rPr>
          <w:rFonts w:hint="eastAsia" w:ascii="仿宋_GB2312" w:hAnsi="仿宋_GB2312" w:eastAsia="仿宋_GB2312" w:cs="仿宋_GB2312"/>
          <w:b/>
          <w:color w:val="000000"/>
          <w:sz w:val="32"/>
          <w:szCs w:val="32"/>
          <w:lang w:val="en-US" w:eastAsia="zh-CN"/>
        </w:rPr>
        <w:t>.</w:t>
      </w:r>
      <w:r>
        <w:rPr>
          <w:rFonts w:hint="eastAsia" w:ascii="仿宋_GB2312" w:hAnsi="仿宋_GB2312" w:eastAsia="仿宋_GB2312" w:cs="仿宋_GB2312"/>
          <w:b/>
          <w:color w:val="000000"/>
          <w:sz w:val="32"/>
          <w:szCs w:val="32"/>
        </w:rPr>
        <w:t>推动经济高质量发展</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line="498" w:lineRule="exact"/>
        <w:ind w:firstLine="643" w:firstLineChars="200"/>
        <w:textAlignment w:val="auto"/>
        <w:rPr>
          <w:rFonts w:eastAsia="仿宋_GB2312"/>
          <w:color w:val="000000"/>
          <w:spacing w:val="-6"/>
          <w:sz w:val="32"/>
          <w:szCs w:val="32"/>
        </w:rPr>
      </w:pPr>
      <w:r>
        <w:rPr>
          <w:rFonts w:eastAsia="仿宋_GB2312"/>
          <w:b/>
          <w:bCs/>
          <w:color w:val="000000"/>
          <w:sz w:val="32"/>
          <w:szCs w:val="32"/>
        </w:rPr>
        <w:t>一是支持实体经济减负。</w:t>
      </w:r>
      <w:r>
        <w:rPr>
          <w:rFonts w:eastAsia="仿宋_GB2312"/>
          <w:color w:val="000000"/>
          <w:sz w:val="32"/>
          <w:szCs w:val="32"/>
        </w:rPr>
        <w:t>全面落实鼓励高新技术和小微企业发展、增值税并档降率、部分行业增值税留抵税额退还</w:t>
      </w:r>
      <w:r>
        <w:rPr>
          <w:rFonts w:hint="eastAsia" w:eastAsia="仿宋_GB2312"/>
          <w:color w:val="000000"/>
          <w:sz w:val="32"/>
          <w:szCs w:val="32"/>
        </w:rPr>
        <w:t>等</w:t>
      </w:r>
      <w:r>
        <w:rPr>
          <w:rFonts w:eastAsia="仿宋_GB2312"/>
          <w:color w:val="000000"/>
          <w:sz w:val="32"/>
          <w:szCs w:val="32"/>
        </w:rPr>
        <w:t>政策，停征、免征和调整部分行政事业性收费和政府性基金，</w:t>
      </w:r>
      <w:r>
        <w:rPr>
          <w:rFonts w:eastAsia="仿宋_GB2312"/>
          <w:color w:val="000000"/>
          <w:kern w:val="0"/>
          <w:sz w:val="32"/>
          <w:szCs w:val="32"/>
          <w:lang w:val="zh-CN"/>
        </w:rPr>
        <w:t>实施失业、工伤、生育保险阶段性降费</w:t>
      </w:r>
      <w:r>
        <w:rPr>
          <w:rFonts w:eastAsia="仿宋_GB2312"/>
          <w:color w:val="000000"/>
          <w:sz w:val="32"/>
          <w:szCs w:val="32"/>
        </w:rPr>
        <w:t>，减轻实体企业负担，全年减税降费1.24亿元。</w:t>
      </w:r>
      <w:r>
        <w:rPr>
          <w:rFonts w:eastAsia="仿宋_GB2312"/>
          <w:b/>
          <w:bCs/>
          <w:color w:val="000000"/>
          <w:kern w:val="0"/>
          <w:sz w:val="32"/>
          <w:szCs w:val="32"/>
        </w:rPr>
        <w:t>二是</w:t>
      </w:r>
      <w:r>
        <w:rPr>
          <w:rFonts w:eastAsia="仿宋_GB2312"/>
          <w:b/>
          <w:color w:val="000000"/>
          <w:sz w:val="32"/>
          <w:szCs w:val="32"/>
        </w:rPr>
        <w:t>促进产业创新转型。</w:t>
      </w:r>
      <w:r>
        <w:rPr>
          <w:rFonts w:eastAsia="仿宋_GB2312"/>
          <w:color w:val="000000"/>
          <w:sz w:val="32"/>
          <w:szCs w:val="32"/>
        </w:rPr>
        <w:t>出台《推动陶瓷产业跨越发展若干措施》、《扶持电子商务发展若干措施》等扶持政策；支持企业实施两化融合、智能制造、科技创新、品牌提升等项目，</w:t>
      </w:r>
      <w:r>
        <w:rPr>
          <w:rFonts w:eastAsia="仿宋_GB2312"/>
          <w:color w:val="000000"/>
          <w:kern w:val="0"/>
          <w:sz w:val="32"/>
          <w:szCs w:val="32"/>
        </w:rPr>
        <w:t>兑现涉企资金1.1亿元，</w:t>
      </w:r>
      <w:r>
        <w:rPr>
          <w:rFonts w:eastAsia="仿宋_GB2312"/>
          <w:color w:val="000000"/>
          <w:sz w:val="32"/>
          <w:szCs w:val="32"/>
        </w:rPr>
        <w:t>助推做强做大陶瓷产业；鼓励支持矿产品在县内精深加工，提高矿产品增加值及税收贡献，</w:t>
      </w:r>
      <w:r>
        <w:rPr>
          <w:rFonts w:eastAsia="仿宋_GB2312"/>
          <w:color w:val="000000"/>
          <w:kern w:val="0"/>
          <w:sz w:val="32"/>
          <w:szCs w:val="32"/>
        </w:rPr>
        <w:t>做大矿业税收总量；</w:t>
      </w:r>
      <w:r>
        <w:rPr>
          <w:rFonts w:eastAsia="仿宋_GB2312"/>
          <w:color w:val="000000"/>
          <w:sz w:val="32"/>
          <w:szCs w:val="32"/>
        </w:rPr>
        <w:t>出台《促进建筑业持续发展壮大实施意见》，支持企业开拓建筑市场，提升我县建筑业竞争水平；</w:t>
      </w:r>
      <w:r>
        <w:rPr>
          <w:rFonts w:hint="eastAsia" w:eastAsia="仿宋_GB2312"/>
          <w:color w:val="000000"/>
          <w:sz w:val="32"/>
          <w:szCs w:val="32"/>
        </w:rPr>
        <w:t>支持</w:t>
      </w:r>
      <w:r>
        <w:rPr>
          <w:rFonts w:eastAsia="仿宋_GB2312"/>
          <w:color w:val="000000"/>
          <w:sz w:val="32"/>
          <w:szCs w:val="32"/>
        </w:rPr>
        <w:t>石牛山景区提升工程，力促旅游项目快速推进。通过贷款贴息、风险补偿、担保代偿补偿等方式，引导金融服务实体经济；用活2600万元</w:t>
      </w:r>
      <w:r>
        <w:rPr>
          <w:rFonts w:hint="eastAsia" w:eastAsia="仿宋_GB2312"/>
          <w:color w:val="000000"/>
          <w:sz w:val="32"/>
          <w:szCs w:val="32"/>
          <w:lang w:eastAsia="zh-CN"/>
        </w:rPr>
        <w:t>“</w:t>
      </w:r>
      <w:r>
        <w:rPr>
          <w:rFonts w:eastAsia="仿宋_GB2312"/>
          <w:color w:val="000000"/>
          <w:sz w:val="32"/>
          <w:szCs w:val="32"/>
        </w:rPr>
        <w:t>双创基金</w:t>
      </w:r>
      <w:r>
        <w:rPr>
          <w:rFonts w:hint="eastAsia" w:eastAsia="仿宋_GB2312"/>
          <w:color w:val="000000"/>
          <w:sz w:val="32"/>
          <w:szCs w:val="32"/>
          <w:lang w:eastAsia="zh-CN"/>
        </w:rPr>
        <w:t>”</w:t>
      </w:r>
      <w:r>
        <w:rPr>
          <w:rFonts w:eastAsia="仿宋_GB2312"/>
          <w:color w:val="000000"/>
          <w:sz w:val="32"/>
          <w:szCs w:val="32"/>
        </w:rPr>
        <w:t>，撬动4亿多元信贷资金，</w:t>
      </w:r>
      <w:r>
        <w:rPr>
          <w:rFonts w:hint="eastAsia" w:eastAsia="仿宋_GB2312"/>
          <w:color w:val="000000"/>
          <w:sz w:val="32"/>
          <w:szCs w:val="32"/>
        </w:rPr>
        <w:t>89家企业融资1.68亿元，有效</w:t>
      </w:r>
      <w:r>
        <w:rPr>
          <w:rFonts w:eastAsia="仿宋_GB2312"/>
          <w:color w:val="000000"/>
          <w:sz w:val="32"/>
          <w:szCs w:val="32"/>
        </w:rPr>
        <w:t>扶持科技型和成长型企业创新创业</w:t>
      </w:r>
      <w:r>
        <w:rPr>
          <w:rFonts w:hint="eastAsia" w:eastAsia="仿宋_GB2312"/>
          <w:color w:val="000000"/>
          <w:sz w:val="32"/>
          <w:szCs w:val="32"/>
        </w:rPr>
        <w:t>；</w:t>
      </w:r>
      <w:r>
        <w:rPr>
          <w:rFonts w:eastAsia="仿宋_GB2312"/>
          <w:color w:val="000000"/>
          <w:sz w:val="32"/>
          <w:szCs w:val="32"/>
        </w:rPr>
        <w:t>用好企业应急保障周转资金，帮助3</w:t>
      </w:r>
      <w:r>
        <w:rPr>
          <w:rFonts w:hint="eastAsia" w:eastAsia="仿宋_GB2312"/>
          <w:color w:val="000000"/>
          <w:sz w:val="32"/>
          <w:szCs w:val="32"/>
        </w:rPr>
        <w:t>8</w:t>
      </w:r>
      <w:r>
        <w:rPr>
          <w:rFonts w:eastAsia="仿宋_GB2312"/>
          <w:color w:val="000000"/>
          <w:sz w:val="32"/>
          <w:szCs w:val="32"/>
        </w:rPr>
        <w:t>家企业周转资金3.</w:t>
      </w:r>
      <w:r>
        <w:rPr>
          <w:rFonts w:hint="eastAsia" w:eastAsia="仿宋_GB2312"/>
          <w:color w:val="000000"/>
          <w:sz w:val="32"/>
          <w:szCs w:val="32"/>
        </w:rPr>
        <w:t>23</w:t>
      </w:r>
      <w:r>
        <w:rPr>
          <w:rFonts w:eastAsia="仿宋_GB2312"/>
          <w:color w:val="000000"/>
          <w:sz w:val="32"/>
          <w:szCs w:val="32"/>
        </w:rPr>
        <w:t>亿元。支持电商园、工业园建设</w:t>
      </w:r>
      <w:r>
        <w:rPr>
          <w:rFonts w:eastAsia="仿宋_GB2312"/>
          <w:color w:val="000000"/>
          <w:kern w:val="0"/>
          <w:sz w:val="32"/>
          <w:szCs w:val="32"/>
        </w:rPr>
        <w:t>，培育垂直电商平台，</w:t>
      </w:r>
      <w:r>
        <w:rPr>
          <w:rFonts w:eastAsia="仿宋_GB2312"/>
          <w:color w:val="000000"/>
          <w:sz w:val="32"/>
          <w:szCs w:val="32"/>
        </w:rPr>
        <w:t>促</w:t>
      </w:r>
      <w:r>
        <w:rPr>
          <w:rFonts w:eastAsia="仿宋_GB2312"/>
          <w:color w:val="000000"/>
          <w:spacing w:val="-6"/>
          <w:sz w:val="32"/>
          <w:szCs w:val="32"/>
        </w:rPr>
        <w:t>进</w:t>
      </w:r>
      <w:r>
        <w:rPr>
          <w:rFonts w:eastAsia="仿宋_GB2312"/>
          <w:color w:val="000000"/>
          <w:spacing w:val="-6"/>
          <w:kern w:val="0"/>
          <w:sz w:val="32"/>
          <w:szCs w:val="32"/>
        </w:rPr>
        <w:t>园区提档升级。</w:t>
      </w:r>
      <w:r>
        <w:rPr>
          <w:rFonts w:eastAsia="仿宋_GB2312"/>
          <w:b/>
          <w:bCs/>
          <w:color w:val="000000"/>
          <w:spacing w:val="-6"/>
          <w:sz w:val="32"/>
          <w:szCs w:val="32"/>
        </w:rPr>
        <w:t>三是</w:t>
      </w:r>
      <w:r>
        <w:rPr>
          <w:rFonts w:hint="eastAsia" w:eastAsia="仿宋_GB2312"/>
          <w:b/>
          <w:bCs/>
          <w:color w:val="000000"/>
          <w:spacing w:val="-6"/>
          <w:sz w:val="32"/>
          <w:szCs w:val="32"/>
        </w:rPr>
        <w:t>鼓励推动</w:t>
      </w:r>
      <w:r>
        <w:rPr>
          <w:rFonts w:eastAsia="仿宋_GB2312"/>
          <w:b/>
          <w:bCs/>
          <w:color w:val="000000"/>
          <w:spacing w:val="-6"/>
          <w:sz w:val="32"/>
          <w:szCs w:val="32"/>
        </w:rPr>
        <w:t>招商引资。</w:t>
      </w:r>
      <w:r>
        <w:rPr>
          <w:rFonts w:eastAsia="仿宋_GB2312"/>
          <w:color w:val="000000"/>
          <w:spacing w:val="-6"/>
          <w:sz w:val="32"/>
          <w:szCs w:val="32"/>
        </w:rPr>
        <w:t>出台《招商工作考评办法》，对贡献较大的采取一企一策、一事一议措施专项扶持。</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pacing w:line="498" w:lineRule="exact"/>
        <w:ind w:firstLine="643"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2</w:t>
      </w:r>
      <w:r>
        <w:rPr>
          <w:rFonts w:hint="eastAsia" w:ascii="仿宋_GB2312" w:hAnsi="仿宋_GB2312" w:eastAsia="仿宋_GB2312" w:cs="仿宋_GB2312"/>
          <w:b/>
          <w:color w:val="000000"/>
          <w:sz w:val="32"/>
          <w:szCs w:val="32"/>
          <w:lang w:val="en-US" w:eastAsia="zh-CN"/>
        </w:rPr>
        <w:t>.</w:t>
      </w:r>
      <w:r>
        <w:rPr>
          <w:rFonts w:hint="eastAsia" w:ascii="仿宋_GB2312" w:hAnsi="仿宋_GB2312" w:eastAsia="仿宋_GB2312" w:cs="仿宋_GB2312"/>
          <w:b/>
          <w:color w:val="000000"/>
          <w:sz w:val="32"/>
          <w:szCs w:val="32"/>
        </w:rPr>
        <w:t>强化收入征管</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pacing w:line="498" w:lineRule="exact"/>
        <w:ind w:firstLine="643" w:firstLineChars="200"/>
        <w:textAlignment w:val="auto"/>
        <w:rPr>
          <w:rFonts w:eastAsia="仿宋_GB2312"/>
          <w:color w:val="000000"/>
          <w:sz w:val="32"/>
          <w:szCs w:val="32"/>
        </w:rPr>
      </w:pPr>
      <w:r>
        <w:rPr>
          <w:rFonts w:eastAsia="仿宋_GB2312"/>
          <w:b/>
          <w:bCs/>
          <w:color w:val="000000"/>
          <w:sz w:val="32"/>
          <w:szCs w:val="32"/>
        </w:rPr>
        <w:t>一是</w:t>
      </w:r>
      <w:r>
        <w:rPr>
          <w:rFonts w:eastAsia="仿宋_GB2312"/>
          <w:b/>
          <w:color w:val="000000"/>
          <w:sz w:val="32"/>
          <w:szCs w:val="32"/>
        </w:rPr>
        <w:t>严格落实收入主体责任</w:t>
      </w:r>
      <w:r>
        <w:rPr>
          <w:rFonts w:hint="eastAsia" w:eastAsia="仿宋_GB2312"/>
          <w:b/>
          <w:color w:val="000000"/>
          <w:sz w:val="32"/>
          <w:szCs w:val="32"/>
        </w:rPr>
        <w:t>。</w:t>
      </w:r>
      <w:r>
        <w:rPr>
          <w:rFonts w:eastAsia="仿宋_GB2312"/>
          <w:color w:val="000000"/>
          <w:sz w:val="32"/>
          <w:szCs w:val="32"/>
        </w:rPr>
        <w:t>及时分解全年收入任务，多方查找税源，正视差距，补足措施，逐月有效组织收入。</w:t>
      </w:r>
      <w:r>
        <w:rPr>
          <w:rFonts w:eastAsia="仿宋_GB2312"/>
          <w:b/>
          <w:bCs/>
          <w:color w:val="000000"/>
          <w:sz w:val="32"/>
          <w:szCs w:val="32"/>
        </w:rPr>
        <w:t>二是强化财税协同协作</w:t>
      </w:r>
      <w:r>
        <w:rPr>
          <w:rFonts w:hint="eastAsia" w:eastAsia="仿宋_GB2312"/>
          <w:b/>
          <w:bCs/>
          <w:color w:val="000000"/>
          <w:sz w:val="32"/>
          <w:szCs w:val="32"/>
        </w:rPr>
        <w:t>。</w:t>
      </w:r>
      <w:r>
        <w:rPr>
          <w:rFonts w:eastAsia="仿宋_GB2312"/>
          <w:color w:val="000000"/>
          <w:sz w:val="32"/>
          <w:szCs w:val="32"/>
        </w:rPr>
        <w:t>健全协税护税管理体系</w:t>
      </w:r>
      <w:r>
        <w:rPr>
          <w:rFonts w:hint="eastAsia" w:eastAsia="仿宋_GB2312"/>
          <w:color w:val="000000"/>
          <w:sz w:val="32"/>
          <w:szCs w:val="32"/>
        </w:rPr>
        <w:t>，</w:t>
      </w:r>
      <w:r>
        <w:rPr>
          <w:rFonts w:eastAsia="仿宋_GB2312"/>
          <w:color w:val="000000"/>
          <w:sz w:val="32"/>
          <w:szCs w:val="32"/>
        </w:rPr>
        <w:t>注重税源监控，加强重点行业、重点税源企业和新兴产业跟踪服务，促进税源管控精细化、专业化。坚持长短结合、多措并举，大力培植成长性可持续财源，不断提高财政收入质量。</w:t>
      </w:r>
      <w:r>
        <w:rPr>
          <w:rFonts w:eastAsia="仿宋_GB2312"/>
          <w:b/>
          <w:bCs/>
          <w:color w:val="000000"/>
          <w:sz w:val="32"/>
          <w:szCs w:val="32"/>
        </w:rPr>
        <w:t>三是</w:t>
      </w:r>
      <w:r>
        <w:rPr>
          <w:rFonts w:hint="eastAsia" w:eastAsia="仿宋_GB2312"/>
          <w:b/>
          <w:bCs/>
          <w:color w:val="000000"/>
          <w:sz w:val="32"/>
          <w:szCs w:val="32"/>
        </w:rPr>
        <w:t>加强</w:t>
      </w:r>
      <w:r>
        <w:rPr>
          <w:rFonts w:eastAsia="仿宋_GB2312"/>
          <w:b/>
          <w:bCs/>
          <w:color w:val="000000"/>
          <w:sz w:val="32"/>
          <w:szCs w:val="32"/>
        </w:rPr>
        <w:t>非税收入管理</w:t>
      </w:r>
      <w:r>
        <w:rPr>
          <w:rFonts w:hint="eastAsia" w:eastAsia="仿宋_GB2312"/>
          <w:b/>
          <w:bCs/>
          <w:color w:val="000000"/>
          <w:sz w:val="32"/>
          <w:szCs w:val="32"/>
        </w:rPr>
        <w:t>。</w:t>
      </w:r>
      <w:r>
        <w:rPr>
          <w:rFonts w:eastAsia="仿宋_GB2312"/>
          <w:color w:val="000000"/>
          <w:kern w:val="0"/>
          <w:sz w:val="32"/>
          <w:szCs w:val="32"/>
        </w:rPr>
        <w:t>盘活闲置国有资产</w:t>
      </w:r>
      <w:r>
        <w:rPr>
          <w:rFonts w:eastAsia="仿宋_GB2312"/>
          <w:color w:val="000000"/>
          <w:sz w:val="32"/>
          <w:szCs w:val="32"/>
        </w:rPr>
        <w:t>，加大稽查征收力度，做到依法征收、应收尽收、有效增收。</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pacing w:line="498" w:lineRule="exact"/>
        <w:ind w:firstLine="643"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3</w:t>
      </w:r>
      <w:r>
        <w:rPr>
          <w:rFonts w:hint="eastAsia" w:ascii="仿宋_GB2312" w:hAnsi="仿宋_GB2312" w:eastAsia="仿宋_GB2312" w:cs="仿宋_GB2312"/>
          <w:b/>
          <w:color w:val="000000"/>
          <w:sz w:val="32"/>
          <w:szCs w:val="32"/>
          <w:lang w:val="en-US" w:eastAsia="zh-CN"/>
        </w:rPr>
        <w:t>.</w:t>
      </w:r>
      <w:r>
        <w:rPr>
          <w:rFonts w:hint="eastAsia" w:ascii="仿宋_GB2312" w:hAnsi="仿宋_GB2312" w:eastAsia="仿宋_GB2312" w:cs="仿宋_GB2312"/>
          <w:b/>
          <w:color w:val="000000"/>
          <w:sz w:val="32"/>
          <w:szCs w:val="32"/>
        </w:rPr>
        <w:t>争取上级支持</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line="498" w:lineRule="exact"/>
        <w:ind w:firstLine="643" w:firstLineChars="200"/>
        <w:textAlignment w:val="auto"/>
        <w:rPr>
          <w:rFonts w:hint="eastAsia" w:ascii="仿宋_GB2312" w:hAnsi="仿宋_GB2312" w:eastAsia="仿宋_GB2312" w:cs="仿宋_GB2312"/>
          <w:spacing w:val="-6"/>
          <w:sz w:val="32"/>
          <w:szCs w:val="32"/>
        </w:rPr>
      </w:pPr>
      <w:r>
        <w:rPr>
          <w:rFonts w:eastAsia="仿宋_GB2312"/>
          <w:b/>
          <w:bCs/>
          <w:color w:val="000000"/>
          <w:kern w:val="0"/>
          <w:sz w:val="32"/>
          <w:szCs w:val="32"/>
        </w:rPr>
        <w:t>一是</w:t>
      </w:r>
      <w:r>
        <w:rPr>
          <w:rFonts w:eastAsia="仿宋_GB2312"/>
          <w:b/>
          <w:bCs/>
          <w:color w:val="000000"/>
          <w:sz w:val="32"/>
          <w:szCs w:val="32"/>
        </w:rPr>
        <w:t>争取政策。</w:t>
      </w:r>
      <w:r>
        <w:rPr>
          <w:rFonts w:hint="eastAsia" w:eastAsia="仿宋_GB2312"/>
          <w:bCs/>
          <w:color w:val="000000"/>
          <w:sz w:val="32"/>
          <w:szCs w:val="32"/>
        </w:rPr>
        <w:t>密切跟踪省级财政</w:t>
      </w:r>
      <w:r>
        <w:rPr>
          <w:rFonts w:eastAsia="仿宋_GB2312"/>
          <w:bCs/>
          <w:color w:val="000000"/>
          <w:sz w:val="32"/>
          <w:szCs w:val="32"/>
        </w:rPr>
        <w:t>财权与事权</w:t>
      </w:r>
      <w:r>
        <w:rPr>
          <w:rFonts w:hint="eastAsia" w:eastAsia="仿宋_GB2312"/>
          <w:bCs/>
          <w:color w:val="000000"/>
          <w:sz w:val="32"/>
          <w:szCs w:val="32"/>
        </w:rPr>
        <w:t>改革划分方案进程</w:t>
      </w:r>
      <w:r>
        <w:rPr>
          <w:rFonts w:eastAsia="仿宋_GB2312"/>
          <w:bCs/>
          <w:color w:val="000000"/>
          <w:sz w:val="32"/>
          <w:szCs w:val="32"/>
        </w:rPr>
        <w:t>，争取</w:t>
      </w:r>
      <w:r>
        <w:rPr>
          <w:rFonts w:hint="eastAsia" w:eastAsia="仿宋_GB2312"/>
          <w:bCs/>
          <w:color w:val="000000"/>
          <w:sz w:val="32"/>
          <w:szCs w:val="32"/>
        </w:rPr>
        <w:t>到</w:t>
      </w:r>
      <w:r>
        <w:rPr>
          <w:rFonts w:eastAsia="仿宋_GB2312"/>
          <w:bCs/>
          <w:color w:val="000000"/>
          <w:sz w:val="32"/>
          <w:szCs w:val="32"/>
        </w:rPr>
        <w:t>均衡性财力转移支付补助</w:t>
      </w:r>
      <w:r>
        <w:rPr>
          <w:rFonts w:hint="eastAsia" w:eastAsia="仿宋_GB2312"/>
          <w:bCs/>
          <w:color w:val="000000"/>
          <w:sz w:val="32"/>
          <w:szCs w:val="32"/>
        </w:rPr>
        <w:t>1687万元</w:t>
      </w:r>
      <w:r>
        <w:rPr>
          <w:rFonts w:eastAsia="仿宋_GB2312"/>
          <w:bCs/>
          <w:color w:val="000000"/>
          <w:sz w:val="32"/>
          <w:szCs w:val="32"/>
        </w:rPr>
        <w:t>。</w:t>
      </w:r>
      <w:r>
        <w:rPr>
          <w:rFonts w:eastAsia="仿宋_GB2312"/>
          <w:color w:val="000000"/>
          <w:sz w:val="32"/>
          <w:szCs w:val="32"/>
        </w:rPr>
        <w:t>争取到将我县</w:t>
      </w:r>
      <w:r>
        <w:rPr>
          <w:rFonts w:eastAsia="仿宋_GB2312"/>
          <w:color w:val="000000"/>
          <w:kern w:val="0"/>
          <w:sz w:val="32"/>
          <w:szCs w:val="32"/>
        </w:rPr>
        <w:t>纳入全省重点生态保护区域转移支付范围，</w:t>
      </w:r>
      <w:r>
        <w:rPr>
          <w:rFonts w:hint="eastAsia" w:eastAsia="仿宋_GB2312"/>
          <w:color w:val="000000"/>
          <w:kern w:val="0"/>
          <w:sz w:val="32"/>
          <w:szCs w:val="32"/>
        </w:rPr>
        <w:t>经考评后每</w:t>
      </w:r>
      <w:r>
        <w:rPr>
          <w:rFonts w:eastAsia="仿宋_GB2312"/>
          <w:color w:val="000000"/>
          <w:kern w:val="0"/>
          <w:sz w:val="32"/>
          <w:szCs w:val="32"/>
        </w:rPr>
        <w:t>年可获</w:t>
      </w:r>
      <w:r>
        <w:rPr>
          <w:rFonts w:eastAsia="仿宋_GB2312"/>
          <w:color w:val="000000"/>
          <w:sz w:val="32"/>
          <w:szCs w:val="32"/>
        </w:rPr>
        <w:t>1000-3000</w:t>
      </w:r>
      <w:r>
        <w:rPr>
          <w:rFonts w:eastAsia="仿宋_GB2312"/>
          <w:color w:val="000000"/>
          <w:kern w:val="0"/>
          <w:sz w:val="32"/>
          <w:szCs w:val="32"/>
        </w:rPr>
        <w:t>万元</w:t>
      </w:r>
      <w:r>
        <w:rPr>
          <w:rFonts w:hint="eastAsia" w:eastAsia="仿宋_GB2312"/>
          <w:color w:val="000000"/>
          <w:kern w:val="0"/>
          <w:sz w:val="32"/>
          <w:szCs w:val="32"/>
        </w:rPr>
        <w:t>不等的</w:t>
      </w:r>
      <w:r>
        <w:rPr>
          <w:rFonts w:eastAsia="仿宋_GB2312"/>
          <w:color w:val="000000"/>
          <w:kern w:val="0"/>
          <w:sz w:val="32"/>
          <w:szCs w:val="32"/>
        </w:rPr>
        <w:t>奖励。</w:t>
      </w:r>
      <w:r>
        <w:rPr>
          <w:rFonts w:eastAsia="仿宋_GB2312"/>
          <w:color w:val="000000"/>
          <w:sz w:val="32"/>
          <w:szCs w:val="32"/>
        </w:rPr>
        <w:t>争取到</w:t>
      </w:r>
      <w:r>
        <w:rPr>
          <w:rFonts w:eastAsia="仿宋_GB2312"/>
          <w:color w:val="000000"/>
          <w:kern w:val="0"/>
          <w:sz w:val="32"/>
          <w:szCs w:val="32"/>
        </w:rPr>
        <w:t>我县被纳入</w:t>
      </w:r>
      <w:r>
        <w:rPr>
          <w:rFonts w:eastAsia="仿宋_GB2312"/>
          <w:color w:val="000000"/>
          <w:sz w:val="32"/>
          <w:szCs w:val="32"/>
        </w:rPr>
        <w:t>全省</w:t>
      </w:r>
      <w:r>
        <w:rPr>
          <w:rFonts w:hint="eastAsia" w:eastAsia="仿宋_GB2312"/>
          <w:color w:val="000000"/>
          <w:sz w:val="32"/>
          <w:szCs w:val="32"/>
        </w:rPr>
        <w:t>扶持</w:t>
      </w:r>
      <w:r>
        <w:rPr>
          <w:rFonts w:eastAsia="仿宋_GB2312"/>
          <w:color w:val="000000"/>
          <w:kern w:val="0"/>
          <w:sz w:val="32"/>
          <w:szCs w:val="32"/>
        </w:rPr>
        <w:t>村级集体经济发展试点县，</w:t>
      </w:r>
      <w:r>
        <w:rPr>
          <w:rFonts w:eastAsia="仿宋_GB2312"/>
          <w:color w:val="000000"/>
          <w:sz w:val="32"/>
          <w:szCs w:val="32"/>
        </w:rPr>
        <w:t>将50个省定贫困村所获补助资金2500万元投资入股县城投公司，每村年可增收3.25万元。</w:t>
      </w:r>
      <w:r>
        <w:rPr>
          <w:rFonts w:eastAsia="仿宋_GB2312"/>
          <w:color w:val="000000"/>
          <w:kern w:val="0"/>
          <w:sz w:val="32"/>
          <w:szCs w:val="32"/>
        </w:rPr>
        <w:t>争取到将高阳村、有济村纳入一事一议财政奖补支持打造乡村振兴示范村，每个村</w:t>
      </w:r>
      <w:r>
        <w:rPr>
          <w:rFonts w:hint="eastAsia" w:eastAsia="仿宋_GB2312"/>
          <w:color w:val="000000"/>
          <w:kern w:val="0"/>
          <w:sz w:val="32"/>
          <w:szCs w:val="32"/>
        </w:rPr>
        <w:t>获</w:t>
      </w:r>
      <w:r>
        <w:rPr>
          <w:rFonts w:eastAsia="仿宋_GB2312"/>
          <w:color w:val="000000"/>
          <w:kern w:val="0"/>
          <w:sz w:val="32"/>
          <w:szCs w:val="32"/>
        </w:rPr>
        <w:t>补助300万元。</w:t>
      </w:r>
      <w:r>
        <w:rPr>
          <w:rFonts w:eastAsia="仿宋_GB2312"/>
          <w:b/>
          <w:bCs/>
          <w:color w:val="000000"/>
          <w:sz w:val="32"/>
          <w:szCs w:val="32"/>
        </w:rPr>
        <w:t>二是</w:t>
      </w:r>
      <w:r>
        <w:rPr>
          <w:rFonts w:eastAsia="仿宋_GB2312"/>
          <w:b/>
          <w:bCs/>
          <w:color w:val="000000"/>
          <w:kern w:val="0"/>
          <w:sz w:val="32"/>
          <w:szCs w:val="32"/>
        </w:rPr>
        <w:t>争取资金。</w:t>
      </w:r>
      <w:r>
        <w:rPr>
          <w:rFonts w:eastAsia="仿宋_GB2312"/>
          <w:color w:val="000000"/>
          <w:sz w:val="32"/>
          <w:szCs w:val="32"/>
        </w:rPr>
        <w:t>对接省财政取得2018年省级专项资金目录清单，明确资金规模和投向，为部门、乡镇提供向上争取信息；落实向上争取资金考评通报机制，全县向上争取补助资金15亿元，同口径增长10%</w:t>
      </w:r>
      <w:r>
        <w:rPr>
          <w:rFonts w:hint="eastAsia" w:eastAsia="仿宋_GB2312"/>
          <w:color w:val="000000"/>
          <w:sz w:val="32"/>
          <w:szCs w:val="32"/>
        </w:rPr>
        <w:t>；</w:t>
      </w:r>
      <w:r>
        <w:rPr>
          <w:rFonts w:eastAsia="仿宋_GB2312"/>
          <w:color w:val="000000"/>
          <w:sz w:val="32"/>
          <w:szCs w:val="32"/>
        </w:rPr>
        <w:t>财政单家向上争取到位资金2.8亿元，增长30%。</w:t>
      </w:r>
      <w:r>
        <w:rPr>
          <w:rFonts w:eastAsia="仿宋_GB2312"/>
          <w:b/>
          <w:bCs/>
          <w:color w:val="000000"/>
          <w:sz w:val="32"/>
          <w:szCs w:val="32"/>
        </w:rPr>
        <w:t>三是争取债券支持。</w:t>
      </w:r>
      <w:r>
        <w:rPr>
          <w:rFonts w:eastAsia="仿宋_GB2312"/>
          <w:color w:val="000000"/>
          <w:sz w:val="32"/>
          <w:szCs w:val="32"/>
        </w:rPr>
        <w:t>按照政府债券资金的主要投向，精准谋划和对接我县</w:t>
      </w:r>
      <w:r>
        <w:rPr>
          <w:rFonts w:eastAsia="仿宋_GB2312"/>
          <w:color w:val="000000"/>
          <w:spacing w:val="-6"/>
          <w:sz w:val="32"/>
          <w:szCs w:val="32"/>
        </w:rPr>
        <w:t>建设项目。争取</w:t>
      </w:r>
      <w:r>
        <w:rPr>
          <w:rFonts w:hint="eastAsia" w:eastAsia="仿宋_GB2312"/>
          <w:color w:val="000000"/>
          <w:spacing w:val="-6"/>
          <w:sz w:val="32"/>
          <w:szCs w:val="32"/>
          <w:lang w:eastAsia="zh-CN"/>
        </w:rPr>
        <w:t>到</w:t>
      </w:r>
      <w:r>
        <w:rPr>
          <w:rFonts w:eastAsia="仿宋_GB2312"/>
          <w:color w:val="000000"/>
          <w:spacing w:val="-6"/>
          <w:sz w:val="32"/>
          <w:szCs w:val="32"/>
        </w:rPr>
        <w:t>2018年新增债券资金6.38亿元，比上年增加</w:t>
      </w:r>
      <w:r>
        <w:rPr>
          <w:rFonts w:hint="eastAsia" w:ascii="仿宋_GB2312" w:hAnsi="仿宋_GB2312" w:eastAsia="仿宋_GB2312" w:cs="仿宋_GB2312"/>
          <w:spacing w:val="-6"/>
          <w:sz w:val="32"/>
          <w:szCs w:val="32"/>
        </w:rPr>
        <w:t>3.48亿元，增长120%，争取债券资金数额超过前3年的总和。</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pacing w:line="498" w:lineRule="exact"/>
        <w:ind w:firstLine="643"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4</w:t>
      </w:r>
      <w:r>
        <w:rPr>
          <w:rFonts w:hint="eastAsia" w:ascii="仿宋_GB2312" w:hAnsi="仿宋_GB2312" w:eastAsia="仿宋_GB2312" w:cs="仿宋_GB2312"/>
          <w:b/>
          <w:color w:val="000000"/>
          <w:sz w:val="32"/>
          <w:szCs w:val="32"/>
          <w:lang w:val="en-US" w:eastAsia="zh-CN"/>
        </w:rPr>
        <w:t>.</w:t>
      </w:r>
      <w:r>
        <w:rPr>
          <w:rFonts w:hint="eastAsia" w:ascii="仿宋_GB2312" w:hAnsi="仿宋_GB2312" w:eastAsia="仿宋_GB2312" w:cs="仿宋_GB2312"/>
          <w:b/>
          <w:color w:val="000000"/>
          <w:sz w:val="32"/>
          <w:szCs w:val="32"/>
        </w:rPr>
        <w:t>加大民生支出保障</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line="498" w:lineRule="exact"/>
        <w:ind w:firstLine="640" w:firstLineChars="200"/>
        <w:textAlignment w:val="auto"/>
        <w:rPr>
          <w:rFonts w:hint="eastAsia" w:ascii="仿宋_GB2312" w:eastAsia="仿宋_GB2312"/>
          <w:bCs/>
          <w:color w:val="000000"/>
          <w:kern w:val="0"/>
          <w:sz w:val="32"/>
          <w:szCs w:val="32"/>
        </w:rPr>
      </w:pPr>
      <w:r>
        <w:rPr>
          <w:rFonts w:eastAsia="仿宋_GB2312"/>
          <w:color w:val="000000"/>
          <w:sz w:val="32"/>
          <w:szCs w:val="32"/>
        </w:rPr>
        <w:t>统筹整合各项财政性资金，加大对三农、教育、医疗、卫生等民生领域和重点项目的财政投入。全县民生相关支出21.88亿元，占一般公共预算支出的81.7 %，增长</w:t>
      </w:r>
      <w:r>
        <w:rPr>
          <w:rFonts w:hint="eastAsia" w:eastAsia="仿宋_GB2312"/>
          <w:color w:val="000000"/>
          <w:sz w:val="32"/>
          <w:szCs w:val="32"/>
        </w:rPr>
        <w:t>5.3</w:t>
      </w:r>
      <w:r>
        <w:rPr>
          <w:rFonts w:eastAsia="仿宋_GB2312"/>
          <w:color w:val="000000"/>
          <w:sz w:val="32"/>
          <w:szCs w:val="32"/>
        </w:rPr>
        <w:t>%。</w:t>
      </w:r>
      <w:r>
        <w:rPr>
          <w:rFonts w:eastAsia="仿宋_GB2312"/>
          <w:b/>
          <w:color w:val="000000"/>
          <w:sz w:val="32"/>
          <w:szCs w:val="32"/>
        </w:rPr>
        <w:t>三农方面</w:t>
      </w:r>
      <w:r>
        <w:rPr>
          <w:rFonts w:hint="eastAsia" w:eastAsia="仿宋_GB2312"/>
          <w:b/>
          <w:color w:val="000000"/>
          <w:sz w:val="32"/>
          <w:szCs w:val="32"/>
          <w:lang w:eastAsia="zh-CN"/>
        </w:rPr>
        <w:t>，</w:t>
      </w:r>
      <w:r>
        <w:rPr>
          <w:rFonts w:eastAsia="仿宋_GB2312"/>
          <w:snapToGrid w:val="0"/>
          <w:color w:val="000000"/>
          <w:sz w:val="32"/>
          <w:szCs w:val="32"/>
        </w:rPr>
        <w:t>农林水</w:t>
      </w:r>
      <w:r>
        <w:rPr>
          <w:rFonts w:eastAsia="仿宋_GB2312"/>
          <w:color w:val="000000"/>
          <w:sz w:val="32"/>
          <w:szCs w:val="32"/>
        </w:rPr>
        <w:t>支出4.7</w:t>
      </w:r>
      <w:r>
        <w:rPr>
          <w:rFonts w:hint="eastAsia" w:eastAsia="仿宋_GB2312"/>
          <w:color w:val="000000"/>
          <w:sz w:val="32"/>
          <w:szCs w:val="32"/>
        </w:rPr>
        <w:t>8</w:t>
      </w:r>
      <w:r>
        <w:rPr>
          <w:rFonts w:eastAsia="仿宋_GB2312"/>
          <w:color w:val="000000"/>
          <w:sz w:val="32"/>
          <w:szCs w:val="32"/>
        </w:rPr>
        <w:t>亿元，增长</w:t>
      </w:r>
      <w:r>
        <w:rPr>
          <w:rFonts w:hint="eastAsia" w:eastAsia="仿宋_GB2312"/>
          <w:color w:val="000000"/>
          <w:sz w:val="32"/>
          <w:szCs w:val="32"/>
        </w:rPr>
        <w:t>3.8</w:t>
      </w:r>
      <w:r>
        <w:rPr>
          <w:rFonts w:eastAsia="仿宋_GB2312"/>
          <w:color w:val="000000"/>
          <w:sz w:val="32"/>
          <w:szCs w:val="32"/>
        </w:rPr>
        <w:t>%。</w:t>
      </w:r>
      <w:r>
        <w:rPr>
          <w:rFonts w:eastAsia="仿宋_GB2312"/>
          <w:snapToGrid w:val="0"/>
          <w:color w:val="000000"/>
          <w:sz w:val="32"/>
          <w:szCs w:val="32"/>
        </w:rPr>
        <w:t>实施</w:t>
      </w:r>
      <w:r>
        <w:rPr>
          <w:rFonts w:eastAsia="仿宋_GB2312"/>
          <w:color w:val="000000"/>
          <w:kern w:val="0"/>
          <w:sz w:val="32"/>
          <w:szCs w:val="32"/>
          <w:lang w:val="zh-CN"/>
        </w:rPr>
        <w:t>乡村振兴战略，坚持农业农村优先发展，</w:t>
      </w:r>
      <w:r>
        <w:rPr>
          <w:rFonts w:eastAsia="仿宋_GB2312"/>
          <w:snapToGrid w:val="0"/>
          <w:color w:val="000000"/>
          <w:sz w:val="32"/>
          <w:szCs w:val="32"/>
        </w:rPr>
        <w:t>支持</w:t>
      </w:r>
      <w:r>
        <w:rPr>
          <w:rFonts w:eastAsia="仿宋_GB2312"/>
          <w:color w:val="000000"/>
          <w:kern w:val="0"/>
          <w:sz w:val="32"/>
          <w:szCs w:val="32"/>
          <w:lang w:val="zh-CN"/>
        </w:rPr>
        <w:t>发展特色现代农业，建设美丽乡村，完善水利防洪设施，</w:t>
      </w:r>
      <w:r>
        <w:rPr>
          <w:rFonts w:eastAsia="仿宋_GB2312"/>
          <w:snapToGrid w:val="0"/>
          <w:color w:val="000000"/>
          <w:sz w:val="32"/>
          <w:szCs w:val="32"/>
        </w:rPr>
        <w:t>推进农业综合开发和农村综合改革，推动现代林业发展</w:t>
      </w:r>
      <w:r>
        <w:rPr>
          <w:rFonts w:eastAsia="仿宋_GB2312"/>
          <w:color w:val="000000"/>
          <w:sz w:val="32"/>
          <w:szCs w:val="32"/>
        </w:rPr>
        <w:t>。巩固提升脱贫成效，</w:t>
      </w:r>
      <w:r>
        <w:rPr>
          <w:rFonts w:eastAsia="仿宋_GB2312"/>
          <w:color w:val="000000"/>
          <w:kern w:val="0"/>
          <w:sz w:val="32"/>
          <w:szCs w:val="32"/>
          <w:lang w:val="zh-CN"/>
        </w:rPr>
        <w:t>落实就业、产业、搬迁、教育、医疗叠加保险等精准扶贫政策，全年县级扶贫支出</w:t>
      </w:r>
      <w:r>
        <w:rPr>
          <w:rFonts w:eastAsia="仿宋_GB2312"/>
          <w:color w:val="000000"/>
          <w:kern w:val="0"/>
          <w:sz w:val="32"/>
          <w:szCs w:val="32"/>
        </w:rPr>
        <w:t>2300</w:t>
      </w:r>
      <w:r>
        <w:rPr>
          <w:rFonts w:eastAsia="仿宋_GB2312"/>
          <w:color w:val="000000"/>
          <w:kern w:val="0"/>
          <w:sz w:val="32"/>
          <w:szCs w:val="32"/>
          <w:lang w:val="zh-CN"/>
        </w:rPr>
        <w:t>万元。</w:t>
      </w:r>
      <w:r>
        <w:rPr>
          <w:rFonts w:eastAsia="仿宋_GB2312"/>
          <w:b/>
          <w:bCs/>
          <w:color w:val="000000"/>
          <w:kern w:val="0"/>
          <w:sz w:val="32"/>
          <w:szCs w:val="32"/>
        </w:rPr>
        <w:t>教育方面</w:t>
      </w:r>
      <w:r>
        <w:rPr>
          <w:rFonts w:hint="eastAsia" w:eastAsia="仿宋_GB2312"/>
          <w:b/>
          <w:bCs/>
          <w:color w:val="000000"/>
          <w:kern w:val="0"/>
          <w:sz w:val="32"/>
          <w:szCs w:val="32"/>
          <w:lang w:eastAsia="zh-CN"/>
        </w:rPr>
        <w:t>，</w:t>
      </w:r>
      <w:r>
        <w:rPr>
          <w:rFonts w:eastAsia="仿宋_GB2312"/>
          <w:color w:val="000000"/>
          <w:sz w:val="32"/>
          <w:szCs w:val="32"/>
        </w:rPr>
        <w:t>教育支出6.54亿元，增长13.1%。</w:t>
      </w:r>
      <w:r>
        <w:rPr>
          <w:rFonts w:hint="eastAsia" w:eastAsia="仿宋_GB2312"/>
          <w:color w:val="000000"/>
          <w:sz w:val="32"/>
          <w:szCs w:val="32"/>
        </w:rPr>
        <w:t>落实义务教育经费保障机制和提高生均公用经费标准，</w:t>
      </w:r>
      <w:r>
        <w:rPr>
          <w:rFonts w:eastAsia="仿宋_GB2312"/>
          <w:color w:val="000000"/>
          <w:kern w:val="0"/>
          <w:sz w:val="32"/>
          <w:szCs w:val="32"/>
        </w:rPr>
        <w:t>实施高中阶段教育普及攻坚计划，</w:t>
      </w:r>
      <w:r>
        <w:rPr>
          <w:rFonts w:eastAsia="仿宋_GB2312"/>
          <w:color w:val="000000"/>
          <w:sz w:val="32"/>
          <w:szCs w:val="32"/>
        </w:rPr>
        <w:t>提升普惠性幼儿园覆盖率，扩大优质教育资源供给，提高职业教育与产业发展。</w:t>
      </w:r>
      <w:r>
        <w:rPr>
          <w:rFonts w:hint="eastAsia" w:eastAsia="仿宋_GB2312"/>
          <w:color w:val="000000"/>
          <w:sz w:val="32"/>
          <w:szCs w:val="32"/>
          <w:lang w:eastAsia="zh-CN"/>
        </w:rPr>
        <w:t>投入</w:t>
      </w:r>
      <w:r>
        <w:rPr>
          <w:rFonts w:hint="eastAsia" w:eastAsia="仿宋_GB2312"/>
          <w:color w:val="000000"/>
          <w:sz w:val="32"/>
          <w:szCs w:val="32"/>
          <w:lang w:val="en-US" w:eastAsia="zh-CN"/>
        </w:rPr>
        <w:t>3.7亿元，推进23个教育项目建设。</w:t>
      </w:r>
      <w:r>
        <w:rPr>
          <w:rFonts w:eastAsia="仿宋_GB2312"/>
          <w:b/>
          <w:bCs/>
          <w:color w:val="000000"/>
          <w:kern w:val="0"/>
          <w:sz w:val="32"/>
          <w:szCs w:val="32"/>
        </w:rPr>
        <w:t>医疗卫生方面</w:t>
      </w:r>
      <w:r>
        <w:rPr>
          <w:rFonts w:hint="eastAsia" w:eastAsia="仿宋_GB2312"/>
          <w:b/>
          <w:bCs/>
          <w:color w:val="000000"/>
          <w:kern w:val="0"/>
          <w:sz w:val="32"/>
          <w:szCs w:val="32"/>
          <w:lang w:eastAsia="zh-CN"/>
        </w:rPr>
        <w:t>，</w:t>
      </w:r>
      <w:r>
        <w:rPr>
          <w:rFonts w:eastAsia="仿宋_GB2312"/>
          <w:color w:val="000000"/>
          <w:sz w:val="32"/>
          <w:szCs w:val="32"/>
        </w:rPr>
        <w:t>医疗卫生与计划生育支出1.3亿元。深化医疗卫生体制改革，</w:t>
      </w:r>
      <w:r>
        <w:rPr>
          <w:rFonts w:eastAsia="仿宋_GB2312"/>
          <w:color w:val="000000"/>
          <w:kern w:val="0"/>
          <w:sz w:val="32"/>
          <w:szCs w:val="32"/>
        </w:rPr>
        <w:t>支持县医院等3个医疗项目建设。基本公共卫生服务项目政府补助标准从每人每年50 元提高到55 元，城乡居民医疗保险政府补助标准从每人每年450 元提高到490 元。</w:t>
      </w:r>
      <w:r>
        <w:rPr>
          <w:rFonts w:eastAsia="仿宋_GB2312"/>
          <w:bCs/>
          <w:color w:val="000000"/>
          <w:sz w:val="32"/>
          <w:szCs w:val="32"/>
        </w:rPr>
        <w:t>制定《公务员医疗补助实施意见》，</w:t>
      </w:r>
      <w:r>
        <w:rPr>
          <w:rFonts w:eastAsia="仿宋_GB2312"/>
          <w:color w:val="000000"/>
          <w:sz w:val="32"/>
          <w:szCs w:val="32"/>
        </w:rPr>
        <w:t>提高我县机关</w:t>
      </w:r>
      <w:r>
        <w:rPr>
          <w:rFonts w:hint="eastAsia" w:eastAsia="仿宋_GB2312"/>
          <w:color w:val="000000"/>
          <w:sz w:val="32"/>
          <w:szCs w:val="32"/>
          <w:lang w:eastAsia="zh-CN"/>
        </w:rPr>
        <w:t>事业</w:t>
      </w:r>
      <w:r>
        <w:rPr>
          <w:rFonts w:eastAsia="仿宋_GB2312"/>
          <w:color w:val="000000"/>
          <w:sz w:val="32"/>
          <w:szCs w:val="32"/>
        </w:rPr>
        <w:t>单位工作人员医疗保障水平</w:t>
      </w:r>
      <w:r>
        <w:rPr>
          <w:rFonts w:hint="eastAsia" w:eastAsia="仿宋_GB2312"/>
          <w:color w:val="000000"/>
          <w:sz w:val="32"/>
          <w:szCs w:val="32"/>
        </w:rPr>
        <w:t>。</w:t>
      </w:r>
      <w:r>
        <w:rPr>
          <w:rFonts w:eastAsia="仿宋_GB2312"/>
          <w:b/>
          <w:bCs/>
          <w:color w:val="000000"/>
          <w:kern w:val="0"/>
          <w:sz w:val="32"/>
          <w:szCs w:val="32"/>
        </w:rPr>
        <w:t>社会保障方面</w:t>
      </w:r>
      <w:r>
        <w:rPr>
          <w:rFonts w:hint="eastAsia" w:eastAsia="仿宋_GB2312"/>
          <w:b/>
          <w:bCs/>
          <w:color w:val="000000"/>
          <w:kern w:val="0"/>
          <w:sz w:val="32"/>
          <w:szCs w:val="32"/>
          <w:lang w:eastAsia="zh-CN"/>
        </w:rPr>
        <w:t>，</w:t>
      </w:r>
      <w:r>
        <w:rPr>
          <w:rFonts w:eastAsia="仿宋_GB2312"/>
          <w:color w:val="000000"/>
          <w:sz w:val="32"/>
          <w:szCs w:val="32"/>
        </w:rPr>
        <w:t>社会保障和就业支出1.56亿元，增长4.5%。</w:t>
      </w:r>
      <w:r>
        <w:rPr>
          <w:rFonts w:hint="eastAsia" w:eastAsia="仿宋_GB2312"/>
          <w:color w:val="000000"/>
          <w:sz w:val="32"/>
          <w:szCs w:val="32"/>
        </w:rPr>
        <w:t>按照每人每年7元的标准筹集临时救助资金234万元，安排</w:t>
      </w:r>
      <w:r>
        <w:rPr>
          <w:rFonts w:hint="eastAsia" w:eastAsia="仿宋_GB2312"/>
          <w:color w:val="000000"/>
          <w:sz w:val="32"/>
          <w:szCs w:val="32"/>
          <w:lang w:eastAsia="zh-CN"/>
        </w:rPr>
        <w:t>“</w:t>
      </w:r>
      <w:r>
        <w:rPr>
          <w:rFonts w:hint="eastAsia" w:eastAsia="仿宋_GB2312"/>
          <w:color w:val="000000"/>
          <w:sz w:val="32"/>
          <w:szCs w:val="32"/>
        </w:rPr>
        <w:t>救急难</w:t>
      </w:r>
      <w:r>
        <w:rPr>
          <w:rFonts w:hint="eastAsia" w:eastAsia="仿宋_GB2312"/>
          <w:color w:val="000000"/>
          <w:sz w:val="32"/>
          <w:szCs w:val="32"/>
          <w:lang w:eastAsia="zh-CN"/>
        </w:rPr>
        <w:t>”</w:t>
      </w:r>
      <w:r>
        <w:rPr>
          <w:rFonts w:hint="eastAsia" w:eastAsia="仿宋_GB2312"/>
          <w:color w:val="000000"/>
          <w:sz w:val="32"/>
          <w:szCs w:val="32"/>
        </w:rPr>
        <w:t>专项资金25万元，解决城乡群众突发性、紧迫性、临时性基本生活困难；</w:t>
      </w:r>
      <w:r>
        <w:rPr>
          <w:rFonts w:hint="eastAsia" w:eastAsia="仿宋_GB2312"/>
          <w:color w:val="000000"/>
          <w:kern w:val="0"/>
          <w:sz w:val="32"/>
          <w:szCs w:val="32"/>
        </w:rPr>
        <w:t>调整</w:t>
      </w:r>
      <w:r>
        <w:rPr>
          <w:rFonts w:eastAsia="仿宋_GB2312"/>
          <w:color w:val="000000"/>
          <w:kern w:val="0"/>
          <w:sz w:val="32"/>
          <w:szCs w:val="32"/>
        </w:rPr>
        <w:t>城乡居民养老保险基础养老金、被征地农民养老保障金标准，提高机关事业单位、企业退休人员待遇水平；</w:t>
      </w:r>
      <w:r>
        <w:rPr>
          <w:rFonts w:eastAsia="仿宋_GB2312"/>
          <w:bCs/>
          <w:color w:val="000000"/>
          <w:sz w:val="32"/>
          <w:szCs w:val="32"/>
        </w:rPr>
        <w:t>最低生活保障标准城市居民从每人每月516元提高到560元、农村居民从420元提高到460元，从2018年12月起，实施城乡低保标准一体化。支持平安创建活动，</w:t>
      </w:r>
      <w:r>
        <w:rPr>
          <w:rFonts w:eastAsia="仿宋_GB2312"/>
          <w:color w:val="000000"/>
          <w:sz w:val="32"/>
          <w:szCs w:val="32"/>
        </w:rPr>
        <w:t>拨付平安村（社区）基础养老金补贴、城乡居民医疗保险缴费补贴和大病统筹报销奖励资金316万元。</w:t>
      </w:r>
      <w:r>
        <w:rPr>
          <w:rFonts w:eastAsia="仿宋_GB2312"/>
          <w:b/>
          <w:color w:val="000000"/>
          <w:sz w:val="32"/>
          <w:szCs w:val="32"/>
        </w:rPr>
        <w:t>重点项目</w:t>
      </w:r>
      <w:r>
        <w:rPr>
          <w:rFonts w:hint="eastAsia" w:eastAsia="仿宋_GB2312"/>
          <w:b/>
          <w:color w:val="000000"/>
          <w:sz w:val="32"/>
          <w:szCs w:val="32"/>
        </w:rPr>
        <w:t>支出</w:t>
      </w:r>
      <w:r>
        <w:rPr>
          <w:rFonts w:eastAsia="仿宋_GB2312"/>
          <w:b/>
          <w:color w:val="000000"/>
          <w:sz w:val="32"/>
          <w:szCs w:val="32"/>
        </w:rPr>
        <w:t>方面</w:t>
      </w:r>
      <w:r>
        <w:rPr>
          <w:rFonts w:hint="eastAsia" w:eastAsia="仿宋_GB2312"/>
          <w:b/>
          <w:color w:val="000000"/>
          <w:sz w:val="32"/>
          <w:szCs w:val="32"/>
          <w:lang w:eastAsia="zh-CN"/>
        </w:rPr>
        <w:t>，</w:t>
      </w:r>
      <w:r>
        <w:rPr>
          <w:rFonts w:hint="eastAsia" w:ascii="仿宋_GB2312" w:hAnsi="Verdana" w:eastAsia="仿宋_GB2312"/>
          <w:color w:val="000000"/>
          <w:sz w:val="32"/>
          <w:szCs w:val="32"/>
          <w:shd w:val="clear" w:color="auto" w:fill="FFFFFF"/>
        </w:rPr>
        <w:t>采取盘活资产资源，争取上级补助、债券及棚改融资等多种方式，千方百计筹措整合资金，保障</w:t>
      </w:r>
      <w:r>
        <w:rPr>
          <w:rFonts w:eastAsia="仿宋_GB2312"/>
          <w:color w:val="000000"/>
          <w:sz w:val="32"/>
          <w:szCs w:val="32"/>
        </w:rPr>
        <w:t>城市品位提升、</w:t>
      </w:r>
      <w:r>
        <w:rPr>
          <w:rFonts w:hint="eastAsia" w:eastAsia="仿宋_GB2312"/>
          <w:color w:val="000000"/>
          <w:sz w:val="32"/>
          <w:szCs w:val="32"/>
        </w:rPr>
        <w:t>工业</w:t>
      </w:r>
      <w:r>
        <w:rPr>
          <w:rFonts w:eastAsia="仿宋_GB2312"/>
          <w:color w:val="000000"/>
          <w:sz w:val="32"/>
          <w:szCs w:val="32"/>
        </w:rPr>
        <w:t>园区、交通</w:t>
      </w:r>
      <w:r>
        <w:rPr>
          <w:rFonts w:hint="eastAsia" w:eastAsia="仿宋_GB2312"/>
          <w:color w:val="000000"/>
          <w:sz w:val="32"/>
          <w:szCs w:val="32"/>
        </w:rPr>
        <w:t>道路</w:t>
      </w:r>
      <w:r>
        <w:rPr>
          <w:rFonts w:eastAsia="仿宋_GB2312"/>
          <w:color w:val="000000"/>
          <w:sz w:val="32"/>
          <w:szCs w:val="32"/>
        </w:rPr>
        <w:t>、旅游、保障性住房、教育、医疗卫生等</w:t>
      </w:r>
      <w:r>
        <w:rPr>
          <w:rFonts w:hint="eastAsia" w:ascii="仿宋_GB2312" w:hAnsi="Verdana" w:eastAsia="仿宋_GB2312"/>
          <w:color w:val="000000"/>
          <w:sz w:val="32"/>
          <w:szCs w:val="32"/>
          <w:shd w:val="clear" w:color="auto" w:fill="FFFFFF"/>
        </w:rPr>
        <w:t>政府重点项目的建设需要。</w:t>
      </w:r>
      <w:r>
        <w:rPr>
          <w:rFonts w:hint="eastAsia" w:eastAsia="仿宋_GB2312"/>
          <w:bCs/>
          <w:color w:val="000000"/>
          <w:kern w:val="0"/>
          <w:sz w:val="32"/>
          <w:szCs w:val="32"/>
        </w:rPr>
        <w:t>全年重点项目支出</w:t>
      </w:r>
      <w:r>
        <w:rPr>
          <w:rFonts w:eastAsia="仿宋_GB2312"/>
          <w:color w:val="000000"/>
          <w:kern w:val="0"/>
          <w:sz w:val="32"/>
          <w:szCs w:val="32"/>
        </w:rPr>
        <w:t>35.73亿元，</w:t>
      </w:r>
      <w:r>
        <w:rPr>
          <w:rFonts w:eastAsia="仿宋_GB2312"/>
          <w:bCs/>
          <w:color w:val="000000"/>
          <w:kern w:val="0"/>
          <w:sz w:val="32"/>
          <w:szCs w:val="32"/>
        </w:rPr>
        <w:t>比</w:t>
      </w:r>
      <w:r>
        <w:rPr>
          <w:rFonts w:hint="eastAsia" w:eastAsia="仿宋_GB2312"/>
          <w:bCs/>
          <w:color w:val="000000"/>
          <w:kern w:val="0"/>
          <w:sz w:val="32"/>
          <w:szCs w:val="32"/>
        </w:rPr>
        <w:t>上</w:t>
      </w:r>
      <w:r>
        <w:rPr>
          <w:rFonts w:eastAsia="仿宋_GB2312"/>
          <w:bCs/>
          <w:color w:val="000000"/>
          <w:kern w:val="0"/>
          <w:sz w:val="32"/>
          <w:szCs w:val="32"/>
        </w:rPr>
        <w:t>年增加16.92亿元，增长89.95%</w:t>
      </w:r>
      <w:r>
        <w:rPr>
          <w:rFonts w:hint="eastAsia" w:eastAsia="仿宋_GB2312"/>
          <w:bCs/>
          <w:color w:val="000000"/>
          <w:kern w:val="0"/>
          <w:sz w:val="32"/>
          <w:szCs w:val="32"/>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pacing w:line="498" w:lineRule="exact"/>
        <w:ind w:firstLine="643"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5</w:t>
      </w:r>
      <w:r>
        <w:rPr>
          <w:rFonts w:hint="eastAsia" w:ascii="仿宋_GB2312" w:hAnsi="仿宋_GB2312" w:eastAsia="仿宋_GB2312" w:cs="仿宋_GB2312"/>
          <w:b/>
          <w:color w:val="000000"/>
          <w:sz w:val="32"/>
          <w:szCs w:val="32"/>
          <w:lang w:val="en-US" w:eastAsia="zh-CN"/>
        </w:rPr>
        <w:t>.</w:t>
      </w:r>
      <w:r>
        <w:rPr>
          <w:rFonts w:hint="eastAsia" w:ascii="仿宋_GB2312" w:hAnsi="仿宋_GB2312" w:eastAsia="仿宋_GB2312" w:cs="仿宋_GB2312"/>
          <w:b/>
          <w:color w:val="000000"/>
          <w:sz w:val="32"/>
          <w:szCs w:val="32"/>
        </w:rPr>
        <w:t>加强财政管理改革</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pacing w:line="498" w:lineRule="exact"/>
        <w:ind w:firstLine="643" w:firstLineChars="200"/>
        <w:textAlignment w:val="auto"/>
        <w:rPr>
          <w:rFonts w:eastAsia="仿宋_GB2312"/>
          <w:color w:val="000000"/>
          <w:sz w:val="32"/>
          <w:szCs w:val="32"/>
        </w:rPr>
      </w:pPr>
      <w:r>
        <w:rPr>
          <w:rFonts w:eastAsia="仿宋_GB2312"/>
          <w:b/>
          <w:color w:val="000000"/>
          <w:sz w:val="32"/>
          <w:szCs w:val="32"/>
        </w:rPr>
        <w:t>一是深化预算管理改革。</w:t>
      </w:r>
      <w:r>
        <w:rPr>
          <w:rFonts w:hint="eastAsia" w:eastAsia="仿宋_GB2312"/>
          <w:color w:val="000000"/>
          <w:sz w:val="32"/>
          <w:szCs w:val="32"/>
        </w:rPr>
        <w:t>扎实推进财政各项</w:t>
      </w:r>
      <w:r>
        <w:rPr>
          <w:rFonts w:hint="eastAsia" w:eastAsia="仿宋_GB2312"/>
          <w:color w:val="000000"/>
          <w:sz w:val="32"/>
          <w:szCs w:val="32"/>
          <w:lang w:eastAsia="zh-CN"/>
        </w:rPr>
        <w:t>改革</w:t>
      </w:r>
      <w:r>
        <w:rPr>
          <w:rFonts w:hint="eastAsia" w:eastAsia="仿宋_GB2312"/>
          <w:color w:val="000000"/>
          <w:sz w:val="32"/>
          <w:szCs w:val="32"/>
        </w:rPr>
        <w:t>，有效提高财政管理水平，</w:t>
      </w:r>
      <w:r>
        <w:rPr>
          <w:rFonts w:eastAsia="仿宋_GB2312"/>
          <w:color w:val="000000"/>
          <w:sz w:val="32"/>
          <w:szCs w:val="32"/>
        </w:rPr>
        <w:t xml:space="preserve"> 2018年</w:t>
      </w:r>
      <w:r>
        <w:rPr>
          <w:rFonts w:hint="eastAsia" w:eastAsia="仿宋_GB2312"/>
          <w:color w:val="000000"/>
          <w:sz w:val="32"/>
          <w:szCs w:val="32"/>
        </w:rPr>
        <w:t>在</w:t>
      </w:r>
      <w:r>
        <w:rPr>
          <w:rFonts w:hint="eastAsia" w:ascii="仿宋_GB2312" w:eastAsia="仿宋_GB2312"/>
          <w:color w:val="000000"/>
          <w:sz w:val="32"/>
          <w:szCs w:val="32"/>
        </w:rPr>
        <w:t>预算编制、预算执行、收入质量、优化收支、增强财政可持续性、加大预决算公开等6方面全省</w:t>
      </w:r>
      <w:r>
        <w:rPr>
          <w:rFonts w:eastAsia="仿宋_GB2312"/>
          <w:color w:val="000000"/>
          <w:sz w:val="32"/>
          <w:szCs w:val="32"/>
        </w:rPr>
        <w:t>管理绩效综合考评</w:t>
      </w:r>
      <w:r>
        <w:rPr>
          <w:rFonts w:hint="eastAsia" w:eastAsia="仿宋_GB2312"/>
          <w:color w:val="000000"/>
          <w:sz w:val="32"/>
          <w:szCs w:val="32"/>
        </w:rPr>
        <w:t>中，</w:t>
      </w:r>
      <w:r>
        <w:rPr>
          <w:rFonts w:eastAsia="仿宋_GB2312"/>
          <w:color w:val="000000"/>
          <w:sz w:val="32"/>
          <w:szCs w:val="32"/>
        </w:rPr>
        <w:t>我县首次进入全省前二十名，名列全市第一、全省第六，获奖励资金400万元。建立政府预决算公开平台，规范预决算公开，扩大预决算和三公经费公开范围，细化公开内容。完成全县100个县直预算单位国库集中支付电子化管理改革，实现财政资金支付业务在财政、人民银行、代理银行、预算单位之间</w:t>
      </w:r>
      <w:r>
        <w:rPr>
          <w:rFonts w:hint="eastAsia" w:eastAsia="仿宋_GB2312"/>
          <w:color w:val="000000"/>
          <w:sz w:val="32"/>
          <w:szCs w:val="32"/>
          <w:lang w:eastAsia="zh-CN"/>
        </w:rPr>
        <w:t>“</w:t>
      </w:r>
      <w:r>
        <w:rPr>
          <w:rFonts w:eastAsia="仿宋_GB2312"/>
          <w:color w:val="000000"/>
          <w:sz w:val="32"/>
          <w:szCs w:val="32"/>
        </w:rPr>
        <w:t>全闭环</w:t>
      </w:r>
      <w:r>
        <w:rPr>
          <w:rFonts w:hint="eastAsia" w:eastAsia="仿宋_GB2312"/>
          <w:color w:val="000000"/>
          <w:sz w:val="32"/>
          <w:szCs w:val="32"/>
          <w:lang w:eastAsia="zh-CN"/>
        </w:rPr>
        <w:t>”</w:t>
      </w:r>
      <w:r>
        <w:rPr>
          <w:rFonts w:eastAsia="仿宋_GB2312"/>
          <w:color w:val="000000"/>
          <w:sz w:val="32"/>
          <w:szCs w:val="32"/>
        </w:rPr>
        <w:t>流转和监控。规范银行账户管理，清理</w:t>
      </w:r>
      <w:r>
        <w:rPr>
          <w:rFonts w:eastAsia="仿宋_GB2312"/>
          <w:bCs/>
          <w:color w:val="000000"/>
          <w:kern w:val="0"/>
          <w:sz w:val="32"/>
          <w:szCs w:val="32"/>
        </w:rPr>
        <w:t>撤销全县行政事业单位多头开设</w:t>
      </w:r>
      <w:r>
        <w:rPr>
          <w:rFonts w:hint="eastAsia" w:eastAsia="仿宋_GB2312"/>
          <w:bCs/>
          <w:color w:val="000000"/>
          <w:kern w:val="0"/>
          <w:sz w:val="32"/>
          <w:szCs w:val="32"/>
        </w:rPr>
        <w:t>的</w:t>
      </w:r>
      <w:r>
        <w:rPr>
          <w:rFonts w:eastAsia="仿宋_GB2312"/>
          <w:color w:val="000000"/>
          <w:sz w:val="32"/>
          <w:szCs w:val="32"/>
        </w:rPr>
        <w:t>120个</w:t>
      </w:r>
      <w:r>
        <w:rPr>
          <w:rFonts w:eastAsia="仿宋_GB2312"/>
          <w:bCs/>
          <w:color w:val="000000"/>
          <w:kern w:val="0"/>
          <w:sz w:val="32"/>
          <w:szCs w:val="32"/>
        </w:rPr>
        <w:t>银行</w:t>
      </w:r>
      <w:r>
        <w:rPr>
          <w:rFonts w:eastAsia="仿宋_GB2312"/>
          <w:color w:val="000000"/>
          <w:sz w:val="32"/>
          <w:szCs w:val="32"/>
        </w:rPr>
        <w:t>账户。</w:t>
      </w:r>
    </w:p>
    <w:p>
      <w:pPr>
        <w:keepNext w:val="0"/>
        <w:keepLines w:val="0"/>
        <w:pageBreakBefore w:val="0"/>
        <w:widowControl w:val="0"/>
        <w:pBdr>
          <w:bottom w:val="single" w:color="FFFFFF" w:sz="4" w:space="31"/>
        </w:pBdr>
        <w:kinsoku/>
        <w:wordWrap/>
        <w:overflowPunct/>
        <w:topLinePunct w:val="0"/>
        <w:autoSpaceDE/>
        <w:autoSpaceDN/>
        <w:bidi w:val="0"/>
        <w:spacing w:line="498" w:lineRule="exact"/>
        <w:ind w:firstLine="645"/>
        <w:textAlignment w:val="auto"/>
        <w:rPr>
          <w:rFonts w:eastAsia="仿宋_GB2312"/>
          <w:color w:val="000000"/>
          <w:sz w:val="32"/>
          <w:szCs w:val="32"/>
        </w:rPr>
      </w:pPr>
      <w:r>
        <w:rPr>
          <w:rFonts w:hint="eastAsia" w:ascii="仿宋_GB2312" w:eastAsia="仿宋_GB2312"/>
          <w:b/>
          <w:color w:val="000000"/>
          <w:sz w:val="32"/>
          <w:szCs w:val="32"/>
        </w:rPr>
        <w:t>二是制定新一轮</w:t>
      </w:r>
      <w:r>
        <w:rPr>
          <w:rFonts w:hint="eastAsia" w:ascii="仿宋_GB2312" w:eastAsia="仿宋_GB2312"/>
          <w:b/>
          <w:color w:val="000000"/>
          <w:kern w:val="0"/>
          <w:sz w:val="32"/>
          <w:szCs w:val="32"/>
        </w:rPr>
        <w:t>县乡</w:t>
      </w:r>
      <w:r>
        <w:rPr>
          <w:rFonts w:hint="eastAsia" w:ascii="仿宋_GB2312" w:eastAsia="仿宋_GB2312"/>
          <w:b/>
          <w:color w:val="000000"/>
          <w:sz w:val="32"/>
          <w:szCs w:val="32"/>
        </w:rPr>
        <w:t>财政体制。</w:t>
      </w:r>
      <w:r>
        <w:rPr>
          <w:rFonts w:eastAsia="仿宋_GB2312"/>
          <w:color w:val="000000"/>
          <w:sz w:val="32"/>
          <w:szCs w:val="32"/>
        </w:rPr>
        <w:t>建立激励性、均衡性转移支付机制，采取差异性</w:t>
      </w:r>
      <w:r>
        <w:rPr>
          <w:rFonts w:hint="eastAsia" w:eastAsia="仿宋_GB2312"/>
          <w:color w:val="000000"/>
          <w:sz w:val="32"/>
          <w:szCs w:val="32"/>
        </w:rPr>
        <w:t>分类分档</w:t>
      </w:r>
      <w:r>
        <w:rPr>
          <w:rFonts w:eastAsia="仿宋_GB2312"/>
          <w:color w:val="000000"/>
          <w:sz w:val="32"/>
          <w:szCs w:val="32"/>
        </w:rPr>
        <w:t>财政补助政策，出台新一轮县对乡镇财政体制。在县财政较为困难的情况下，</w:t>
      </w:r>
      <w:r>
        <w:rPr>
          <w:rFonts w:hint="eastAsia" w:eastAsia="仿宋_GB2312"/>
          <w:color w:val="000000"/>
          <w:sz w:val="32"/>
          <w:szCs w:val="32"/>
        </w:rPr>
        <w:t>每年增加支出4005万元用于提高乡镇保障水平，充分</w:t>
      </w:r>
      <w:r>
        <w:rPr>
          <w:rFonts w:eastAsia="仿宋_GB2312"/>
          <w:color w:val="000000"/>
          <w:sz w:val="32"/>
          <w:szCs w:val="32"/>
        </w:rPr>
        <w:t>照顾乡镇利益，调动乡镇</w:t>
      </w:r>
      <w:r>
        <w:rPr>
          <w:rFonts w:hint="eastAsia" w:eastAsia="仿宋_GB2312"/>
          <w:color w:val="000000"/>
          <w:sz w:val="32"/>
          <w:szCs w:val="32"/>
        </w:rPr>
        <w:t>干部</w:t>
      </w:r>
      <w:r>
        <w:rPr>
          <w:rFonts w:eastAsia="仿宋_GB2312"/>
          <w:color w:val="000000"/>
          <w:sz w:val="32"/>
          <w:szCs w:val="32"/>
        </w:rPr>
        <w:t>干事创业积极性。</w:t>
      </w:r>
    </w:p>
    <w:p>
      <w:pPr>
        <w:keepNext w:val="0"/>
        <w:keepLines w:val="0"/>
        <w:pageBreakBefore w:val="0"/>
        <w:widowControl w:val="0"/>
        <w:pBdr>
          <w:bottom w:val="single" w:color="FFFFFF" w:sz="4" w:space="31"/>
        </w:pBdr>
        <w:kinsoku/>
        <w:wordWrap/>
        <w:overflowPunct/>
        <w:topLinePunct w:val="0"/>
        <w:autoSpaceDE/>
        <w:autoSpaceDN/>
        <w:bidi w:val="0"/>
        <w:spacing w:line="498" w:lineRule="exact"/>
        <w:ind w:firstLine="645"/>
        <w:textAlignment w:val="auto"/>
        <w:rPr>
          <w:rFonts w:eastAsia="仿宋_GB2312"/>
          <w:color w:val="000000"/>
          <w:sz w:val="32"/>
          <w:szCs w:val="32"/>
        </w:rPr>
      </w:pPr>
      <w:r>
        <w:rPr>
          <w:rFonts w:eastAsia="仿宋_GB2312"/>
          <w:b/>
          <w:bCs/>
          <w:color w:val="000000"/>
          <w:kern w:val="0"/>
          <w:sz w:val="32"/>
          <w:szCs w:val="32"/>
        </w:rPr>
        <w:t>三是加强支出管理。</w:t>
      </w:r>
      <w:r>
        <w:rPr>
          <w:rFonts w:eastAsia="仿宋_GB2312"/>
          <w:color w:val="000000"/>
          <w:kern w:val="0"/>
          <w:sz w:val="32"/>
          <w:szCs w:val="32"/>
        </w:rPr>
        <w:t>树立</w:t>
      </w:r>
      <w:r>
        <w:rPr>
          <w:rFonts w:hint="eastAsia" w:eastAsia="仿宋_GB2312"/>
          <w:color w:val="000000"/>
          <w:kern w:val="0"/>
          <w:sz w:val="32"/>
          <w:szCs w:val="32"/>
          <w:lang w:eastAsia="zh-CN"/>
        </w:rPr>
        <w:t>“</w:t>
      </w:r>
      <w:r>
        <w:rPr>
          <w:rFonts w:eastAsia="仿宋_GB2312"/>
          <w:color w:val="000000"/>
          <w:kern w:val="0"/>
          <w:sz w:val="32"/>
          <w:szCs w:val="32"/>
        </w:rPr>
        <w:t>过紧日子</w:t>
      </w:r>
      <w:r>
        <w:rPr>
          <w:rFonts w:hint="eastAsia" w:eastAsia="仿宋_GB2312"/>
          <w:color w:val="000000"/>
          <w:kern w:val="0"/>
          <w:sz w:val="32"/>
          <w:szCs w:val="32"/>
          <w:lang w:eastAsia="zh-CN"/>
        </w:rPr>
        <w:t>”</w:t>
      </w:r>
      <w:r>
        <w:rPr>
          <w:rFonts w:eastAsia="仿宋_GB2312"/>
          <w:color w:val="000000"/>
          <w:kern w:val="0"/>
          <w:sz w:val="32"/>
          <w:szCs w:val="32"/>
        </w:rPr>
        <w:t>思想，</w:t>
      </w:r>
      <w:r>
        <w:rPr>
          <w:rFonts w:eastAsia="仿宋_GB2312"/>
          <w:color w:val="000000"/>
          <w:sz w:val="32"/>
          <w:szCs w:val="32"/>
        </w:rPr>
        <w:t>严格控制一般性支出，压缩三公经费，做好</w:t>
      </w:r>
      <w:r>
        <w:rPr>
          <w:rFonts w:hint="eastAsia" w:eastAsia="仿宋_GB2312"/>
          <w:color w:val="000000"/>
          <w:sz w:val="32"/>
          <w:szCs w:val="32"/>
          <w:lang w:eastAsia="zh-CN"/>
        </w:rPr>
        <w:t>“</w:t>
      </w:r>
      <w:r>
        <w:rPr>
          <w:rFonts w:eastAsia="仿宋_GB2312"/>
          <w:color w:val="000000"/>
          <w:sz w:val="32"/>
          <w:szCs w:val="32"/>
        </w:rPr>
        <w:t>保工资、保运转、保民生</w:t>
      </w:r>
      <w:r>
        <w:rPr>
          <w:rFonts w:hint="eastAsia" w:eastAsia="仿宋_GB2312"/>
          <w:color w:val="000000"/>
          <w:sz w:val="32"/>
          <w:szCs w:val="32"/>
          <w:lang w:eastAsia="zh-CN"/>
        </w:rPr>
        <w:t>”</w:t>
      </w:r>
      <w:r>
        <w:rPr>
          <w:rFonts w:eastAsia="仿宋_GB2312"/>
          <w:color w:val="000000"/>
          <w:sz w:val="32"/>
          <w:szCs w:val="32"/>
        </w:rPr>
        <w:t>工作。优化支出结构，提高财政支出的公共性和普惠性，集中财力支持发展、推动创新、改善民生，</w:t>
      </w:r>
      <w:r>
        <w:rPr>
          <w:rFonts w:eastAsia="仿宋_GB2312"/>
          <w:color w:val="000000"/>
          <w:kern w:val="0"/>
          <w:sz w:val="32"/>
          <w:szCs w:val="32"/>
        </w:rPr>
        <w:t>推进项目早落实、早见效。建立</w:t>
      </w:r>
      <w:r>
        <w:rPr>
          <w:rFonts w:eastAsia="仿宋_GB2312"/>
          <w:color w:val="000000"/>
          <w:sz w:val="32"/>
          <w:szCs w:val="32"/>
        </w:rPr>
        <w:t>存量资金清理常态化机制，收回县直部门结余结转资金</w:t>
      </w:r>
      <w:r>
        <w:rPr>
          <w:rFonts w:hint="eastAsia" w:eastAsia="仿宋_GB2312"/>
          <w:color w:val="000000"/>
          <w:sz w:val="32"/>
          <w:szCs w:val="32"/>
        </w:rPr>
        <w:t>6410</w:t>
      </w:r>
      <w:r>
        <w:rPr>
          <w:rFonts w:eastAsia="仿宋_GB2312"/>
          <w:color w:val="000000"/>
          <w:sz w:val="32"/>
          <w:szCs w:val="32"/>
        </w:rPr>
        <w:t>万元统筹用于急需支出。</w:t>
      </w:r>
      <w:r>
        <w:rPr>
          <w:rFonts w:hint="eastAsia" w:eastAsia="仿宋_GB2312"/>
          <w:color w:val="000000"/>
          <w:sz w:val="32"/>
          <w:szCs w:val="32"/>
        </w:rPr>
        <w:t>提高建设单位对项目设计的参与度，从设计源头加强投资控制，避免分阶段设计招标，严格控制设计变更和工程经济签证；</w:t>
      </w:r>
      <w:r>
        <w:rPr>
          <w:rFonts w:eastAsia="仿宋_GB2312"/>
          <w:color w:val="000000"/>
          <w:sz w:val="32"/>
          <w:szCs w:val="32"/>
        </w:rPr>
        <w:t>进一步控制政府投资项目成本，全县财政投资预（结）算评审14</w:t>
      </w:r>
      <w:r>
        <w:rPr>
          <w:rFonts w:hint="eastAsia" w:eastAsia="仿宋_GB2312"/>
          <w:color w:val="000000"/>
          <w:sz w:val="32"/>
          <w:szCs w:val="32"/>
        </w:rPr>
        <w:t>1</w:t>
      </w:r>
      <w:r>
        <w:rPr>
          <w:rFonts w:eastAsia="仿宋_GB2312"/>
          <w:color w:val="000000"/>
          <w:sz w:val="32"/>
          <w:szCs w:val="32"/>
        </w:rPr>
        <w:t>个项目，送审金额2</w:t>
      </w:r>
      <w:r>
        <w:rPr>
          <w:rFonts w:hint="eastAsia" w:eastAsia="仿宋_GB2312"/>
          <w:color w:val="000000"/>
          <w:sz w:val="32"/>
          <w:szCs w:val="32"/>
        </w:rPr>
        <w:t>8.</w:t>
      </w:r>
      <w:r>
        <w:rPr>
          <w:rFonts w:eastAsia="仿宋_GB2312"/>
          <w:color w:val="000000"/>
          <w:sz w:val="32"/>
          <w:szCs w:val="32"/>
        </w:rPr>
        <w:t>9</w:t>
      </w:r>
      <w:r>
        <w:rPr>
          <w:rFonts w:hint="eastAsia" w:eastAsia="仿宋_GB2312"/>
          <w:color w:val="000000"/>
          <w:sz w:val="32"/>
          <w:szCs w:val="32"/>
        </w:rPr>
        <w:t>5</w:t>
      </w:r>
      <w:r>
        <w:rPr>
          <w:rFonts w:eastAsia="仿宋_GB2312"/>
          <w:color w:val="000000"/>
          <w:sz w:val="32"/>
          <w:szCs w:val="32"/>
        </w:rPr>
        <w:t>亿元，审定金额27.4亿元，核减金额1.</w:t>
      </w:r>
      <w:r>
        <w:rPr>
          <w:rFonts w:hint="eastAsia" w:eastAsia="仿宋_GB2312"/>
          <w:color w:val="000000"/>
          <w:sz w:val="32"/>
          <w:szCs w:val="32"/>
        </w:rPr>
        <w:t>55</w:t>
      </w:r>
      <w:r>
        <w:rPr>
          <w:rFonts w:eastAsia="仿宋_GB2312"/>
          <w:color w:val="000000"/>
          <w:sz w:val="32"/>
          <w:szCs w:val="32"/>
        </w:rPr>
        <w:t>亿元，核减率为5.</w:t>
      </w:r>
      <w:r>
        <w:rPr>
          <w:rFonts w:hint="eastAsia" w:eastAsia="仿宋_GB2312"/>
          <w:color w:val="000000"/>
          <w:sz w:val="32"/>
          <w:szCs w:val="32"/>
        </w:rPr>
        <w:t>35</w:t>
      </w:r>
      <w:r>
        <w:rPr>
          <w:rFonts w:eastAsia="仿宋_GB2312"/>
          <w:color w:val="000000"/>
          <w:sz w:val="32"/>
          <w:szCs w:val="32"/>
        </w:rPr>
        <w:t xml:space="preserve">%。 </w:t>
      </w:r>
    </w:p>
    <w:p>
      <w:pPr>
        <w:keepNext w:val="0"/>
        <w:keepLines w:val="0"/>
        <w:pageBreakBefore w:val="0"/>
        <w:widowControl w:val="0"/>
        <w:pBdr>
          <w:bottom w:val="single" w:color="FFFFFF" w:sz="4" w:space="31"/>
        </w:pBdr>
        <w:kinsoku/>
        <w:wordWrap/>
        <w:overflowPunct/>
        <w:topLinePunct w:val="0"/>
        <w:autoSpaceDE/>
        <w:autoSpaceDN/>
        <w:bidi w:val="0"/>
        <w:spacing w:line="498" w:lineRule="exact"/>
        <w:ind w:firstLine="645"/>
        <w:textAlignment w:val="auto"/>
        <w:rPr>
          <w:rFonts w:eastAsia="仿宋_GB2312"/>
          <w:color w:val="000000"/>
          <w:sz w:val="32"/>
          <w:szCs w:val="32"/>
        </w:rPr>
      </w:pPr>
      <w:r>
        <w:rPr>
          <w:rFonts w:eastAsia="仿宋_GB2312"/>
          <w:b/>
          <w:color w:val="000000"/>
          <w:sz w:val="32"/>
          <w:szCs w:val="32"/>
        </w:rPr>
        <w:t>四是全面加强预算绩效管理。</w:t>
      </w:r>
      <w:r>
        <w:rPr>
          <w:rFonts w:eastAsia="仿宋_GB2312"/>
          <w:color w:val="000000"/>
          <w:sz w:val="32"/>
          <w:szCs w:val="32"/>
        </w:rPr>
        <w:t>建立财政资金绩效管理考核机制，强化预算绩效对资金清理和安排的导向作用。开展1</w:t>
      </w:r>
      <w:r>
        <w:rPr>
          <w:rFonts w:hint="eastAsia" w:eastAsia="仿宋_GB2312"/>
          <w:color w:val="000000"/>
          <w:sz w:val="32"/>
          <w:szCs w:val="32"/>
        </w:rPr>
        <w:t>71</w:t>
      </w:r>
      <w:r>
        <w:rPr>
          <w:rFonts w:eastAsia="仿宋_GB2312"/>
          <w:color w:val="000000"/>
          <w:sz w:val="32"/>
          <w:szCs w:val="32"/>
        </w:rPr>
        <w:t>个项目2.6</w:t>
      </w:r>
      <w:r>
        <w:rPr>
          <w:rFonts w:hint="eastAsia" w:eastAsia="仿宋_GB2312"/>
          <w:color w:val="000000"/>
          <w:sz w:val="32"/>
          <w:szCs w:val="32"/>
        </w:rPr>
        <w:t>6</w:t>
      </w:r>
      <w:r>
        <w:rPr>
          <w:rFonts w:eastAsia="仿宋_GB2312"/>
          <w:color w:val="000000"/>
          <w:sz w:val="32"/>
          <w:szCs w:val="32"/>
        </w:rPr>
        <w:t>亿元预算绩效管理，占一般公共预算项目支出的9</w:t>
      </w:r>
      <w:r>
        <w:rPr>
          <w:rFonts w:hint="eastAsia" w:eastAsia="仿宋_GB2312"/>
          <w:color w:val="000000"/>
          <w:sz w:val="32"/>
          <w:szCs w:val="32"/>
        </w:rPr>
        <w:t>9</w:t>
      </w:r>
      <w:r>
        <w:rPr>
          <w:rFonts w:eastAsia="仿宋_GB2312"/>
          <w:color w:val="000000"/>
          <w:sz w:val="32"/>
          <w:szCs w:val="32"/>
        </w:rPr>
        <w:t>.</w:t>
      </w:r>
      <w:r>
        <w:rPr>
          <w:rFonts w:hint="eastAsia" w:eastAsia="仿宋_GB2312"/>
          <w:color w:val="000000"/>
          <w:sz w:val="32"/>
          <w:szCs w:val="32"/>
        </w:rPr>
        <w:t>3</w:t>
      </w:r>
      <w:r>
        <w:rPr>
          <w:rFonts w:eastAsia="仿宋_GB2312"/>
          <w:color w:val="000000"/>
          <w:sz w:val="32"/>
          <w:szCs w:val="32"/>
        </w:rPr>
        <w:t>7%；组织</w:t>
      </w:r>
      <w:r>
        <w:rPr>
          <w:rFonts w:hint="eastAsia" w:eastAsia="仿宋_GB2312"/>
          <w:color w:val="000000"/>
          <w:sz w:val="32"/>
          <w:szCs w:val="32"/>
        </w:rPr>
        <w:t>127</w:t>
      </w:r>
      <w:r>
        <w:rPr>
          <w:rFonts w:eastAsia="仿宋_GB2312"/>
          <w:color w:val="000000"/>
          <w:sz w:val="32"/>
          <w:szCs w:val="32"/>
        </w:rPr>
        <w:t>个项目2.</w:t>
      </w:r>
      <w:r>
        <w:rPr>
          <w:rFonts w:hint="eastAsia" w:eastAsia="仿宋_GB2312"/>
          <w:color w:val="000000"/>
          <w:sz w:val="32"/>
          <w:szCs w:val="32"/>
        </w:rPr>
        <w:t>54</w:t>
      </w:r>
      <w:r>
        <w:rPr>
          <w:rFonts w:eastAsia="仿宋_GB2312"/>
          <w:color w:val="000000"/>
          <w:sz w:val="32"/>
          <w:szCs w:val="32"/>
        </w:rPr>
        <w:t xml:space="preserve"> 亿元</w:t>
      </w:r>
      <w:r>
        <w:rPr>
          <w:rFonts w:hint="eastAsia" w:eastAsia="仿宋_GB2312"/>
          <w:color w:val="000000"/>
          <w:sz w:val="32"/>
          <w:szCs w:val="32"/>
        </w:rPr>
        <w:t>进行</w:t>
      </w:r>
      <w:r>
        <w:rPr>
          <w:rFonts w:eastAsia="仿宋_GB2312"/>
          <w:color w:val="000000"/>
          <w:sz w:val="32"/>
          <w:szCs w:val="32"/>
        </w:rPr>
        <w:t>预算绩效自评工作；开展金锁幼儿园智能化建设等5个项目重点评价。</w:t>
      </w:r>
    </w:p>
    <w:p>
      <w:pPr>
        <w:keepNext w:val="0"/>
        <w:keepLines w:val="0"/>
        <w:pageBreakBefore w:val="0"/>
        <w:widowControl w:val="0"/>
        <w:pBdr>
          <w:bottom w:val="single" w:color="FFFFFF" w:sz="4" w:space="31"/>
        </w:pBdr>
        <w:kinsoku/>
        <w:wordWrap/>
        <w:overflowPunct/>
        <w:topLinePunct w:val="0"/>
        <w:autoSpaceDE/>
        <w:autoSpaceDN/>
        <w:bidi w:val="0"/>
        <w:spacing w:line="498" w:lineRule="exact"/>
        <w:ind w:firstLine="643" w:firstLineChars="200"/>
        <w:textAlignment w:val="auto"/>
        <w:rPr>
          <w:rFonts w:eastAsia="仿宋_GB2312"/>
          <w:color w:val="000000"/>
          <w:sz w:val="32"/>
          <w:szCs w:val="32"/>
        </w:rPr>
      </w:pPr>
      <w:r>
        <w:rPr>
          <w:rFonts w:eastAsia="仿宋_GB2312"/>
          <w:b/>
          <w:color w:val="000000"/>
          <w:sz w:val="32"/>
          <w:szCs w:val="32"/>
        </w:rPr>
        <w:t>五是规范公共市场化交易管理。</w:t>
      </w:r>
      <w:r>
        <w:rPr>
          <w:rFonts w:eastAsia="仿宋_GB2312"/>
          <w:color w:val="000000"/>
          <w:sz w:val="32"/>
          <w:szCs w:val="32"/>
        </w:rPr>
        <w:t>规范公共资源平台交易，全县行政事业单位资产在交易平台进行转让、出租等交易79宗，标的物投标价3.37亿元，成交价6.43亿元，增值率91.24%。推进政府采购网上公开，实行网上超市采购，做到全过程电子化操作和监管，全年完成政府采购20.65亿元，比预算采购20.82亿元节约0.18亿元，节约率0.8%。</w:t>
      </w:r>
    </w:p>
    <w:p>
      <w:pPr>
        <w:keepNext w:val="0"/>
        <w:keepLines w:val="0"/>
        <w:pageBreakBefore w:val="0"/>
        <w:widowControl w:val="0"/>
        <w:pBdr>
          <w:bottom w:val="single" w:color="FFFFFF" w:sz="4" w:space="31"/>
        </w:pBdr>
        <w:kinsoku/>
        <w:wordWrap/>
        <w:overflowPunct/>
        <w:topLinePunct w:val="0"/>
        <w:autoSpaceDE/>
        <w:autoSpaceDN/>
        <w:bidi w:val="0"/>
        <w:spacing w:line="498" w:lineRule="exact"/>
        <w:ind w:firstLine="645"/>
        <w:textAlignment w:val="auto"/>
        <w:rPr>
          <w:rFonts w:eastAsia="仿宋_GB2312"/>
          <w:color w:val="000000"/>
          <w:sz w:val="32"/>
          <w:szCs w:val="32"/>
        </w:rPr>
      </w:pPr>
      <w:r>
        <w:rPr>
          <w:rFonts w:eastAsia="仿宋_GB2312"/>
          <w:b/>
          <w:color w:val="000000"/>
          <w:sz w:val="32"/>
          <w:szCs w:val="32"/>
        </w:rPr>
        <w:t>六是</w:t>
      </w:r>
      <w:r>
        <w:rPr>
          <w:rFonts w:hint="eastAsia" w:eastAsia="仿宋_GB2312"/>
          <w:b/>
          <w:color w:val="000000"/>
          <w:sz w:val="32"/>
          <w:szCs w:val="32"/>
        </w:rPr>
        <w:t>开展</w:t>
      </w:r>
      <w:r>
        <w:rPr>
          <w:rFonts w:eastAsia="仿宋_GB2312"/>
          <w:b/>
          <w:color w:val="000000"/>
          <w:sz w:val="32"/>
          <w:szCs w:val="32"/>
        </w:rPr>
        <w:t>事业单位公务用车制度改革工作。</w:t>
      </w:r>
      <w:r>
        <w:rPr>
          <w:rFonts w:eastAsia="仿宋_GB2312"/>
          <w:color w:val="000000"/>
          <w:sz w:val="32"/>
          <w:szCs w:val="32"/>
        </w:rPr>
        <w:t>出台《事业单位公务用车制度改革实施方案》，完成全县60个事业单位117辆公务用车改革，全部取消一般公务用车，保留必要的业务用车和特种专业技术用车94辆，处置车辆23辆。</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pacing w:line="498" w:lineRule="exact"/>
        <w:ind w:firstLine="643" w:firstLineChars="200"/>
        <w:textAlignment w:val="auto"/>
        <w:rPr>
          <w:rFonts w:eastAsia="仿宋_GB2312"/>
          <w:color w:val="000000"/>
          <w:sz w:val="32"/>
          <w:szCs w:val="32"/>
        </w:rPr>
      </w:pPr>
      <w:r>
        <w:rPr>
          <w:rFonts w:eastAsia="仿宋_GB2312"/>
          <w:b/>
          <w:color w:val="000000"/>
          <w:kern w:val="0"/>
          <w:sz w:val="32"/>
          <w:szCs w:val="32"/>
        </w:rPr>
        <w:t>七是推动内部控制建设。全县层面</w:t>
      </w:r>
      <w:r>
        <w:rPr>
          <w:rFonts w:hint="eastAsia" w:eastAsia="仿宋_GB2312"/>
          <w:b/>
          <w:color w:val="000000"/>
          <w:kern w:val="0"/>
          <w:sz w:val="32"/>
          <w:szCs w:val="32"/>
          <w:lang w:eastAsia="zh-CN"/>
        </w:rPr>
        <w:t>，</w:t>
      </w:r>
      <w:r>
        <w:rPr>
          <w:rFonts w:eastAsia="仿宋_GB2312"/>
          <w:color w:val="000000"/>
          <w:sz w:val="32"/>
          <w:szCs w:val="32"/>
        </w:rPr>
        <w:t>出台《行政事业单位财务内部控制管理制度》，修订</w:t>
      </w:r>
      <w:r>
        <w:rPr>
          <w:rFonts w:eastAsia="仿宋_GB2312"/>
          <w:color w:val="000000"/>
          <w:kern w:val="0"/>
          <w:sz w:val="32"/>
          <w:szCs w:val="32"/>
        </w:rPr>
        <w:t>培训费、</w:t>
      </w:r>
      <w:r>
        <w:rPr>
          <w:rFonts w:eastAsia="仿宋_GB2312"/>
          <w:color w:val="000000"/>
          <w:sz w:val="32"/>
          <w:szCs w:val="32"/>
        </w:rPr>
        <w:t>会议费等管理规定，明确办公用茶开支标准</w:t>
      </w:r>
      <w:r>
        <w:rPr>
          <w:rFonts w:hint="eastAsia" w:eastAsia="仿宋_GB2312"/>
          <w:color w:val="000000"/>
          <w:sz w:val="32"/>
          <w:szCs w:val="32"/>
        </w:rPr>
        <w:t>，</w:t>
      </w:r>
      <w:r>
        <w:rPr>
          <w:rFonts w:eastAsia="仿宋_GB2312"/>
          <w:color w:val="000000"/>
          <w:kern w:val="0"/>
          <w:sz w:val="32"/>
          <w:szCs w:val="32"/>
        </w:rPr>
        <w:t>规范</w:t>
      </w:r>
      <w:r>
        <w:rPr>
          <w:rFonts w:eastAsia="仿宋_GB2312"/>
          <w:color w:val="000000"/>
          <w:sz w:val="32"/>
          <w:szCs w:val="32"/>
        </w:rPr>
        <w:t>县直机关工作人员缴纳差旅伙食费有关事项，</w:t>
      </w:r>
      <w:r>
        <w:rPr>
          <w:rFonts w:hint="eastAsia" w:eastAsia="仿宋_GB2312"/>
          <w:color w:val="000000"/>
          <w:sz w:val="32"/>
          <w:szCs w:val="32"/>
        </w:rPr>
        <w:t>通过</w:t>
      </w:r>
      <w:r>
        <w:rPr>
          <w:rFonts w:eastAsia="仿宋_GB2312"/>
          <w:color w:val="000000"/>
          <w:sz w:val="32"/>
          <w:szCs w:val="32"/>
        </w:rPr>
        <w:t>建章立制，进一步规范行政事业单位财务管理；组织教育培训，邀请厦门会计学院专家开设《预防财务职务犯罪暨加强内部控制建设》讲座，和县纪委联合举办《政府会计制度和财务管理培训班》，对全县行政事业单位领导和财务人员进行财政财务管理知识培训。</w:t>
      </w:r>
      <w:r>
        <w:rPr>
          <w:rFonts w:hint="eastAsia" w:eastAsia="仿宋_GB2312"/>
          <w:b/>
          <w:color w:val="000000"/>
          <w:sz w:val="32"/>
          <w:szCs w:val="32"/>
        </w:rPr>
        <w:t>系统</w:t>
      </w:r>
      <w:r>
        <w:rPr>
          <w:rFonts w:eastAsia="仿宋_GB2312"/>
          <w:b/>
          <w:color w:val="000000"/>
          <w:sz w:val="32"/>
          <w:szCs w:val="32"/>
        </w:rPr>
        <w:t>层面</w:t>
      </w:r>
      <w:r>
        <w:rPr>
          <w:rFonts w:hint="eastAsia" w:eastAsia="仿宋_GB2312"/>
          <w:b/>
          <w:color w:val="000000"/>
          <w:sz w:val="32"/>
          <w:szCs w:val="32"/>
          <w:lang w:eastAsia="zh-CN"/>
        </w:rPr>
        <w:t>，</w:t>
      </w:r>
      <w:r>
        <w:rPr>
          <w:rFonts w:eastAsia="仿宋_GB2312"/>
          <w:color w:val="000000"/>
          <w:sz w:val="32"/>
          <w:szCs w:val="32"/>
        </w:rPr>
        <w:t>认真履行管党治党政治责任，不断强化</w:t>
      </w:r>
      <w:r>
        <w:rPr>
          <w:rFonts w:hint="eastAsia" w:eastAsia="仿宋_GB2312"/>
          <w:color w:val="000000"/>
          <w:sz w:val="32"/>
          <w:szCs w:val="32"/>
          <w:lang w:eastAsia="zh-CN"/>
        </w:rPr>
        <w:t>“</w:t>
      </w:r>
      <w:r>
        <w:rPr>
          <w:rFonts w:eastAsia="仿宋_GB2312"/>
          <w:color w:val="000000"/>
          <w:sz w:val="32"/>
          <w:szCs w:val="32"/>
        </w:rPr>
        <w:t>财</w:t>
      </w:r>
      <w:r>
        <w:rPr>
          <w:rFonts w:hint="eastAsia" w:eastAsia="仿宋_GB2312"/>
          <w:color w:val="000000"/>
          <w:sz w:val="32"/>
          <w:szCs w:val="32"/>
          <w:lang w:eastAsia="zh-CN"/>
        </w:rPr>
        <w:t>”</w:t>
      </w:r>
      <w:r>
        <w:rPr>
          <w:rFonts w:eastAsia="仿宋_GB2312"/>
          <w:color w:val="000000"/>
          <w:sz w:val="32"/>
          <w:szCs w:val="32"/>
        </w:rPr>
        <w:t>必须自觉服从于</w:t>
      </w:r>
      <w:r>
        <w:rPr>
          <w:rFonts w:hint="eastAsia" w:eastAsia="仿宋_GB2312"/>
          <w:color w:val="000000"/>
          <w:sz w:val="32"/>
          <w:szCs w:val="32"/>
          <w:lang w:eastAsia="zh-CN"/>
        </w:rPr>
        <w:t>“</w:t>
      </w:r>
      <w:r>
        <w:rPr>
          <w:rFonts w:eastAsia="仿宋_GB2312"/>
          <w:color w:val="000000"/>
          <w:sz w:val="32"/>
          <w:szCs w:val="32"/>
        </w:rPr>
        <w:t>政</w:t>
      </w:r>
      <w:r>
        <w:rPr>
          <w:rFonts w:hint="eastAsia" w:eastAsia="仿宋_GB2312"/>
          <w:color w:val="000000"/>
          <w:sz w:val="32"/>
          <w:szCs w:val="32"/>
          <w:lang w:eastAsia="zh-CN"/>
        </w:rPr>
        <w:t>”</w:t>
      </w:r>
      <w:r>
        <w:rPr>
          <w:rFonts w:eastAsia="仿宋_GB2312"/>
          <w:color w:val="000000"/>
          <w:sz w:val="32"/>
          <w:szCs w:val="32"/>
        </w:rPr>
        <w:t>的意识，分类推进党建业务融合，推动财政系统全面从严治党向纵深发展</w:t>
      </w:r>
      <w:r>
        <w:rPr>
          <w:rFonts w:eastAsia="仿宋_GB2312"/>
          <w:color w:val="000000"/>
          <w:kern w:val="0"/>
          <w:sz w:val="32"/>
          <w:szCs w:val="32"/>
        </w:rPr>
        <w:t>；出台印章使用、财务管理、督查督办等</w:t>
      </w:r>
      <w:r>
        <w:rPr>
          <w:rFonts w:hint="eastAsia" w:eastAsia="仿宋_GB2312"/>
          <w:color w:val="000000"/>
          <w:kern w:val="0"/>
          <w:sz w:val="32"/>
          <w:szCs w:val="32"/>
          <w:lang w:eastAsia="zh-CN"/>
        </w:rPr>
        <w:t>“</w:t>
      </w:r>
      <w:r>
        <w:rPr>
          <w:rFonts w:eastAsia="仿宋_GB2312"/>
          <w:color w:val="000000"/>
          <w:kern w:val="0"/>
          <w:sz w:val="32"/>
          <w:szCs w:val="32"/>
        </w:rPr>
        <w:t>8+1</w:t>
      </w:r>
      <w:r>
        <w:rPr>
          <w:rFonts w:hint="eastAsia" w:eastAsia="仿宋_GB2312"/>
          <w:color w:val="000000"/>
          <w:kern w:val="0"/>
          <w:sz w:val="32"/>
          <w:szCs w:val="32"/>
          <w:lang w:eastAsia="zh-CN"/>
        </w:rPr>
        <w:t>”</w:t>
      </w:r>
      <w:r>
        <w:rPr>
          <w:rFonts w:eastAsia="仿宋_GB2312"/>
          <w:color w:val="000000"/>
          <w:kern w:val="0"/>
          <w:sz w:val="32"/>
          <w:szCs w:val="32"/>
        </w:rPr>
        <w:t>工作制度，</w:t>
      </w:r>
      <w:r>
        <w:rPr>
          <w:rFonts w:eastAsia="仿宋_GB2312"/>
          <w:color w:val="000000"/>
          <w:sz w:val="32"/>
          <w:szCs w:val="32"/>
        </w:rPr>
        <w:t>组织乡镇财务互审，</w:t>
      </w:r>
      <w:r>
        <w:rPr>
          <w:rFonts w:eastAsia="仿宋_GB2312"/>
          <w:color w:val="000000"/>
          <w:kern w:val="0"/>
          <w:sz w:val="32"/>
          <w:szCs w:val="32"/>
        </w:rPr>
        <w:t>开展内部审计，从源头上防范财政管理风险。</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pacing w:line="498" w:lineRule="exact"/>
        <w:ind w:firstLine="643" w:firstLineChars="200"/>
        <w:textAlignment w:val="auto"/>
        <w:rPr>
          <w:rFonts w:eastAsia="仿宋_GB2312"/>
          <w:color w:val="000000"/>
          <w:sz w:val="32"/>
          <w:szCs w:val="32"/>
        </w:rPr>
      </w:pPr>
      <w:r>
        <w:rPr>
          <w:rFonts w:eastAsia="仿宋_GB2312"/>
          <w:b/>
          <w:color w:val="000000"/>
          <w:kern w:val="0"/>
          <w:sz w:val="32"/>
          <w:szCs w:val="32"/>
        </w:rPr>
        <w:t>八是强化财政监督。</w:t>
      </w:r>
      <w:r>
        <w:rPr>
          <w:rFonts w:eastAsia="仿宋_GB2312"/>
          <w:color w:val="000000"/>
          <w:kern w:val="0"/>
          <w:sz w:val="32"/>
          <w:szCs w:val="32"/>
        </w:rPr>
        <w:t>重点抓好资金安全、支出规范。</w:t>
      </w:r>
      <w:r>
        <w:rPr>
          <w:rFonts w:eastAsia="仿宋_GB2312"/>
          <w:color w:val="000000"/>
          <w:sz w:val="32"/>
          <w:szCs w:val="32"/>
        </w:rPr>
        <w:t>加大对</w:t>
      </w:r>
      <w:r>
        <w:rPr>
          <w:rFonts w:eastAsia="仿宋_GB2312"/>
          <w:color w:val="000000"/>
          <w:kern w:val="0"/>
          <w:sz w:val="32"/>
          <w:szCs w:val="32"/>
        </w:rPr>
        <w:t>涉农和涉企等社会关注度较高的专项资金</w:t>
      </w:r>
      <w:r>
        <w:rPr>
          <w:rFonts w:eastAsia="仿宋_GB2312"/>
          <w:color w:val="000000"/>
          <w:sz w:val="32"/>
          <w:szCs w:val="32"/>
        </w:rPr>
        <w:t>监督检查力度，持续开展</w:t>
      </w:r>
      <w:r>
        <w:rPr>
          <w:rFonts w:eastAsia="仿宋_GB2312"/>
          <w:color w:val="000000"/>
          <w:kern w:val="0"/>
          <w:sz w:val="32"/>
          <w:szCs w:val="32"/>
        </w:rPr>
        <w:t>政府采购在线监管、落实中央八项规定精神</w:t>
      </w:r>
      <w:r>
        <w:rPr>
          <w:rFonts w:hint="eastAsia" w:eastAsia="仿宋_GB2312"/>
          <w:color w:val="000000"/>
          <w:kern w:val="0"/>
          <w:sz w:val="32"/>
          <w:szCs w:val="32"/>
          <w:lang w:eastAsia="zh-CN"/>
        </w:rPr>
        <w:t>“</w:t>
      </w:r>
      <w:r>
        <w:rPr>
          <w:rFonts w:eastAsia="仿宋_GB2312"/>
          <w:color w:val="000000"/>
          <w:kern w:val="0"/>
          <w:sz w:val="32"/>
          <w:szCs w:val="32"/>
        </w:rPr>
        <w:t>1+X</w:t>
      </w:r>
      <w:r>
        <w:rPr>
          <w:rFonts w:hint="eastAsia" w:eastAsia="仿宋_GB2312"/>
          <w:color w:val="000000"/>
          <w:kern w:val="0"/>
          <w:sz w:val="32"/>
          <w:szCs w:val="32"/>
          <w:lang w:eastAsia="zh-CN"/>
        </w:rPr>
        <w:t>”</w:t>
      </w:r>
      <w:r>
        <w:rPr>
          <w:rFonts w:eastAsia="仿宋_GB2312"/>
          <w:color w:val="000000"/>
          <w:kern w:val="0"/>
          <w:sz w:val="32"/>
          <w:szCs w:val="32"/>
        </w:rPr>
        <w:t>专项督查</w:t>
      </w:r>
      <w:r>
        <w:rPr>
          <w:rFonts w:eastAsia="仿宋_GB2312"/>
          <w:color w:val="000000"/>
          <w:sz w:val="32"/>
          <w:szCs w:val="32"/>
        </w:rPr>
        <w:t>；加强扶贫资金监管，将</w:t>
      </w:r>
      <w:r>
        <w:rPr>
          <w:rFonts w:eastAsia="仿宋_GB2312"/>
          <w:color w:val="000000"/>
          <w:kern w:val="0"/>
          <w:sz w:val="32"/>
          <w:szCs w:val="32"/>
        </w:rPr>
        <w:t>中央级42项、省级67项、市级59项、县级28项</w:t>
      </w:r>
      <w:r>
        <w:rPr>
          <w:rFonts w:eastAsia="仿宋_GB2312"/>
          <w:color w:val="000000"/>
          <w:sz w:val="32"/>
          <w:szCs w:val="32"/>
        </w:rPr>
        <w:t>资金共计</w:t>
      </w:r>
      <w:r>
        <w:rPr>
          <w:rFonts w:hint="eastAsia" w:eastAsia="仿宋_GB2312"/>
          <w:color w:val="000000"/>
          <w:sz w:val="32"/>
          <w:szCs w:val="32"/>
        </w:rPr>
        <w:t>6</w:t>
      </w:r>
      <w:r>
        <w:rPr>
          <w:rFonts w:eastAsia="仿宋_GB2312"/>
          <w:color w:val="000000"/>
          <w:sz w:val="32"/>
          <w:szCs w:val="32"/>
        </w:rPr>
        <w:t>.</w:t>
      </w:r>
      <w:r>
        <w:rPr>
          <w:rFonts w:hint="eastAsia" w:eastAsia="仿宋_GB2312"/>
          <w:color w:val="000000"/>
          <w:sz w:val="32"/>
          <w:szCs w:val="32"/>
        </w:rPr>
        <w:t>05</w:t>
      </w:r>
      <w:r>
        <w:rPr>
          <w:rFonts w:eastAsia="仿宋_GB2312"/>
          <w:color w:val="000000"/>
          <w:sz w:val="32"/>
          <w:szCs w:val="32"/>
        </w:rPr>
        <w:t>亿元纳入扶贫资金动态监控系统，对18个乡镇6大类资金2080万元进行专项检查；</w:t>
      </w:r>
      <w:r>
        <w:rPr>
          <w:rFonts w:eastAsia="仿宋_GB2312"/>
          <w:color w:val="000000"/>
          <w:kern w:val="0"/>
          <w:sz w:val="32"/>
          <w:szCs w:val="32"/>
        </w:rPr>
        <w:t>紧盯扶贫工作中存在的形式主义、官僚主义等作风问题，</w:t>
      </w:r>
      <w:r>
        <w:rPr>
          <w:rFonts w:eastAsia="仿宋_GB2312"/>
          <w:color w:val="000000"/>
          <w:sz w:val="32"/>
          <w:szCs w:val="32"/>
        </w:rPr>
        <w:t>扎实开展财政系统扶贫工作作风督查。</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pacing w:line="498" w:lineRule="exact"/>
        <w:ind w:firstLine="640" w:firstLineChars="200"/>
        <w:textAlignment w:val="auto"/>
        <w:rPr>
          <w:rFonts w:eastAsia="仿宋_GB2312"/>
          <w:color w:val="000000"/>
          <w:sz w:val="32"/>
          <w:szCs w:val="32"/>
        </w:rPr>
      </w:pPr>
      <w:r>
        <w:rPr>
          <w:rFonts w:eastAsia="仿宋_GB2312"/>
          <w:color w:val="000000"/>
          <w:sz w:val="32"/>
          <w:szCs w:val="32"/>
        </w:rPr>
        <w:t>过去一年，我县财政经济实现了平稳运行，这是县委科学决策、正确领导的结果，是县人大依法监督和县政协民主监督、</w:t>
      </w:r>
      <w:r>
        <w:rPr>
          <w:rFonts w:eastAsia="仿宋_GB2312"/>
          <w:snapToGrid w:val="0"/>
          <w:color w:val="000000"/>
          <w:sz w:val="32"/>
          <w:szCs w:val="32"/>
        </w:rPr>
        <w:t>有力指导</w:t>
      </w:r>
      <w:r>
        <w:rPr>
          <w:rFonts w:eastAsia="仿宋_GB2312"/>
          <w:color w:val="000000"/>
          <w:sz w:val="32"/>
          <w:szCs w:val="32"/>
        </w:rPr>
        <w:t>的结果，也是全县各级各部门共同努力和支持的结果。在看到成绩的同时，我们也清醒地认识到财政运行中仍然存在着一些困难和问题</w:t>
      </w:r>
      <w:r>
        <w:rPr>
          <w:rFonts w:hint="eastAsia" w:eastAsia="仿宋_GB2312"/>
          <w:color w:val="000000"/>
          <w:sz w:val="32"/>
          <w:szCs w:val="32"/>
          <w:lang w:eastAsia="zh-CN"/>
        </w:rPr>
        <w:t>：</w:t>
      </w:r>
      <w:r>
        <w:rPr>
          <w:rFonts w:eastAsia="仿宋_GB2312"/>
          <w:b/>
          <w:bCs w:val="0"/>
          <w:color w:val="000000"/>
          <w:sz w:val="32"/>
          <w:szCs w:val="32"/>
        </w:rPr>
        <w:t>一是财政增收后劲不足。</w:t>
      </w:r>
      <w:r>
        <w:rPr>
          <w:rFonts w:eastAsia="仿宋_GB2312"/>
          <w:color w:val="000000"/>
          <w:sz w:val="32"/>
          <w:szCs w:val="32"/>
        </w:rPr>
        <w:t>政策性减收影响较大</w:t>
      </w:r>
      <w:r>
        <w:rPr>
          <w:rFonts w:hint="eastAsia" w:eastAsia="仿宋_GB2312"/>
          <w:color w:val="000000"/>
          <w:sz w:val="32"/>
          <w:szCs w:val="32"/>
        </w:rPr>
        <w:t>，</w:t>
      </w:r>
      <w:r>
        <w:rPr>
          <w:rFonts w:eastAsia="仿宋_GB2312"/>
          <w:color w:val="000000"/>
          <w:sz w:val="32"/>
          <w:szCs w:val="32"/>
        </w:rPr>
        <w:t>财政增收基础不稳固</w:t>
      </w:r>
      <w:r>
        <w:rPr>
          <w:rFonts w:hint="eastAsia" w:eastAsia="仿宋_GB2312"/>
          <w:color w:val="000000"/>
          <w:sz w:val="32"/>
          <w:szCs w:val="32"/>
        </w:rPr>
        <w:t>。</w:t>
      </w:r>
      <w:r>
        <w:rPr>
          <w:rFonts w:eastAsia="仿宋_GB2312"/>
          <w:b/>
          <w:bCs w:val="0"/>
          <w:color w:val="000000"/>
          <w:sz w:val="32"/>
          <w:szCs w:val="32"/>
        </w:rPr>
        <w:t>二是支出和还款压力大。</w:t>
      </w:r>
      <w:r>
        <w:rPr>
          <w:rFonts w:eastAsia="仿宋_GB2312"/>
          <w:color w:val="000000"/>
          <w:sz w:val="32"/>
          <w:szCs w:val="32"/>
        </w:rPr>
        <w:t>刚性支出、重点领域和项目资金需求不断增加，财政收支矛盾较为突出；</w:t>
      </w:r>
      <w:r>
        <w:rPr>
          <w:rFonts w:eastAsia="仿宋_GB2312"/>
          <w:snapToGrid w:val="0"/>
          <w:color w:val="000000"/>
          <w:sz w:val="32"/>
          <w:szCs w:val="32"/>
        </w:rPr>
        <w:t>政府债务</w:t>
      </w:r>
      <w:r>
        <w:rPr>
          <w:rFonts w:eastAsia="仿宋_GB2312"/>
          <w:color w:val="000000"/>
          <w:sz w:val="32"/>
          <w:szCs w:val="32"/>
        </w:rPr>
        <w:t>还本付息压力逐年</w:t>
      </w:r>
      <w:r>
        <w:rPr>
          <w:rFonts w:hint="eastAsia" w:eastAsia="仿宋_GB2312"/>
          <w:color w:val="000000"/>
          <w:sz w:val="32"/>
          <w:szCs w:val="32"/>
        </w:rPr>
        <w:t>加大</w:t>
      </w:r>
      <w:r>
        <w:rPr>
          <w:rFonts w:eastAsia="仿宋_GB2312"/>
          <w:color w:val="000000"/>
          <w:sz w:val="32"/>
          <w:szCs w:val="32"/>
        </w:rPr>
        <w:t>，进一步加剧财政困难</w:t>
      </w:r>
      <w:r>
        <w:rPr>
          <w:rFonts w:eastAsia="仿宋_GB2312"/>
          <w:color w:val="000000"/>
          <w:sz w:val="32"/>
          <w:szCs w:val="32"/>
          <w:shd w:val="clear" w:color="auto" w:fill="FFFFFF"/>
        </w:rPr>
        <w:t>。</w:t>
      </w:r>
      <w:r>
        <w:rPr>
          <w:rFonts w:eastAsia="仿宋_GB2312"/>
          <w:b/>
          <w:bCs w:val="0"/>
          <w:color w:val="000000"/>
          <w:sz w:val="32"/>
          <w:szCs w:val="32"/>
        </w:rPr>
        <w:t>三是财政管理有待提升。</w:t>
      </w:r>
      <w:r>
        <w:rPr>
          <w:rFonts w:eastAsia="仿宋_GB2312"/>
          <w:color w:val="000000"/>
          <w:sz w:val="32"/>
          <w:szCs w:val="32"/>
        </w:rPr>
        <w:t>部分专项资金精准使用还需</w:t>
      </w:r>
      <w:r>
        <w:rPr>
          <w:rFonts w:hint="eastAsia" w:eastAsia="仿宋_GB2312"/>
          <w:color w:val="000000"/>
          <w:sz w:val="32"/>
          <w:szCs w:val="32"/>
        </w:rPr>
        <w:t>加强</w:t>
      </w:r>
      <w:r>
        <w:rPr>
          <w:rFonts w:eastAsia="仿宋_GB2312"/>
          <w:color w:val="000000"/>
          <w:sz w:val="32"/>
          <w:szCs w:val="32"/>
        </w:rPr>
        <w:t>，统筹盘活财政存量资金</w:t>
      </w:r>
      <w:r>
        <w:rPr>
          <w:rFonts w:hint="eastAsia" w:eastAsia="仿宋_GB2312"/>
          <w:color w:val="000000"/>
          <w:sz w:val="32"/>
          <w:szCs w:val="32"/>
        </w:rPr>
        <w:t>力度还需加</w:t>
      </w:r>
      <w:r>
        <w:rPr>
          <w:rFonts w:eastAsia="仿宋_GB2312"/>
          <w:color w:val="000000"/>
          <w:sz w:val="32"/>
          <w:szCs w:val="32"/>
        </w:rPr>
        <w:t>大。对此，我们将高度重视，积极采取有力措施加以解决。</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pacing w:line="498" w:lineRule="exact"/>
        <w:ind w:firstLine="640" w:firstLineChars="200"/>
        <w:textAlignment w:val="auto"/>
        <w:rPr>
          <w:rFonts w:eastAsia="黑体"/>
          <w:color w:val="000000"/>
          <w:sz w:val="32"/>
          <w:szCs w:val="32"/>
        </w:rPr>
      </w:pPr>
      <w:r>
        <w:rPr>
          <w:rFonts w:eastAsia="黑体"/>
          <w:color w:val="000000"/>
          <w:sz w:val="32"/>
          <w:szCs w:val="32"/>
        </w:rPr>
        <w:t>二、2019年预算草案</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498" w:lineRule="exact"/>
        <w:ind w:firstLine="640" w:firstLineChars="200"/>
        <w:textAlignment w:val="auto"/>
        <w:rPr>
          <w:rFonts w:eastAsia="仿宋_GB2312"/>
          <w:color w:val="000000"/>
          <w:sz w:val="32"/>
          <w:szCs w:val="32"/>
        </w:rPr>
      </w:pPr>
      <w:r>
        <w:rPr>
          <w:rFonts w:eastAsia="仿宋_GB2312"/>
          <w:color w:val="000000"/>
          <w:sz w:val="32"/>
          <w:szCs w:val="32"/>
        </w:rPr>
        <w:t>2019年是新中国成立70周年，是决胜全面建成小康社会的关键一年，我们将</w:t>
      </w:r>
      <w:r>
        <w:rPr>
          <w:rFonts w:hint="eastAsia" w:eastAsia="仿宋_GB2312"/>
          <w:color w:val="000000"/>
          <w:sz w:val="32"/>
          <w:szCs w:val="32"/>
        </w:rPr>
        <w:t>以</w:t>
      </w:r>
      <w:r>
        <w:rPr>
          <w:rFonts w:eastAsia="仿宋_GB2312"/>
          <w:color w:val="000000"/>
          <w:sz w:val="32"/>
          <w:szCs w:val="32"/>
        </w:rPr>
        <w:t>习近平新时代中国特色社会主义思想</w:t>
      </w:r>
      <w:r>
        <w:rPr>
          <w:rFonts w:hint="eastAsia" w:eastAsia="仿宋_GB2312"/>
          <w:color w:val="000000"/>
          <w:sz w:val="32"/>
          <w:szCs w:val="32"/>
        </w:rPr>
        <w:t>为指导，</w:t>
      </w:r>
      <w:r>
        <w:rPr>
          <w:rFonts w:eastAsia="仿宋_GB2312"/>
          <w:color w:val="000000"/>
          <w:sz w:val="32"/>
          <w:szCs w:val="32"/>
        </w:rPr>
        <w:t>全面贯彻党的十九大</w:t>
      </w:r>
      <w:r>
        <w:rPr>
          <w:rFonts w:hint="eastAsia" w:eastAsia="仿宋_GB2312"/>
          <w:color w:val="000000"/>
          <w:sz w:val="32"/>
          <w:szCs w:val="32"/>
        </w:rPr>
        <w:t>和</w:t>
      </w:r>
      <w:r>
        <w:rPr>
          <w:rFonts w:eastAsia="仿宋_GB2312"/>
          <w:color w:val="000000"/>
          <w:sz w:val="32"/>
          <w:szCs w:val="32"/>
        </w:rPr>
        <w:t>十九届二中、三中全会</w:t>
      </w:r>
      <w:r>
        <w:rPr>
          <w:rFonts w:hint="eastAsia" w:eastAsia="仿宋_GB2312"/>
          <w:color w:val="000000"/>
          <w:sz w:val="32"/>
          <w:szCs w:val="32"/>
        </w:rPr>
        <w:t>及中央经济工作会议</w:t>
      </w:r>
      <w:r>
        <w:rPr>
          <w:rFonts w:eastAsia="仿宋_GB2312"/>
          <w:color w:val="000000"/>
          <w:sz w:val="32"/>
          <w:szCs w:val="32"/>
        </w:rPr>
        <w:t>精神，坚持党对财政工作的全面领导，主动适应新时代、聚焦新目标、落实新部署，推动高质量发展落实赶超。</w:t>
      </w:r>
    </w:p>
    <w:p>
      <w:pPr>
        <w:keepNext w:val="0"/>
        <w:keepLines w:val="0"/>
        <w:pageBreakBefore w:val="0"/>
        <w:widowControl w:val="0"/>
        <w:pBdr>
          <w:bottom w:val="single" w:color="FFFFFF" w:sz="4" w:space="31"/>
        </w:pBdr>
        <w:tabs>
          <w:tab w:val="left" w:pos="1440"/>
        </w:tabs>
        <w:kinsoku/>
        <w:wordWrap/>
        <w:overflowPunct/>
        <w:topLinePunct w:val="0"/>
        <w:autoSpaceDE/>
        <w:autoSpaceDN/>
        <w:bidi w:val="0"/>
        <w:spacing w:line="498" w:lineRule="exact"/>
        <w:ind w:firstLine="640" w:firstLineChars="200"/>
        <w:textAlignment w:val="auto"/>
        <w:rPr>
          <w:rFonts w:eastAsia="楷体_GB2312"/>
          <w:color w:val="000000"/>
          <w:sz w:val="32"/>
          <w:szCs w:val="32"/>
        </w:rPr>
      </w:pPr>
      <w:r>
        <w:rPr>
          <w:rFonts w:eastAsia="楷体_GB2312"/>
          <w:color w:val="000000"/>
          <w:sz w:val="32"/>
          <w:szCs w:val="32"/>
        </w:rPr>
        <w:t>（一）预算安排总体情况</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pacing w:line="498" w:lineRule="exact"/>
        <w:ind w:firstLine="640" w:firstLineChars="200"/>
        <w:textAlignment w:val="auto"/>
        <w:rPr>
          <w:rFonts w:eastAsia="仿宋_GB2312"/>
          <w:color w:val="000000"/>
          <w:sz w:val="32"/>
          <w:szCs w:val="32"/>
        </w:rPr>
      </w:pPr>
      <w:r>
        <w:rPr>
          <w:rFonts w:eastAsia="仿宋_GB2312"/>
          <w:color w:val="000000"/>
          <w:sz w:val="32"/>
          <w:szCs w:val="32"/>
        </w:rPr>
        <w:t>按照</w:t>
      </w:r>
      <w:r>
        <w:rPr>
          <w:rFonts w:hint="eastAsia" w:eastAsia="仿宋_GB2312"/>
          <w:color w:val="000000"/>
          <w:sz w:val="32"/>
          <w:szCs w:val="32"/>
          <w:lang w:eastAsia="zh-CN"/>
        </w:rPr>
        <w:t>“</w:t>
      </w:r>
      <w:r>
        <w:rPr>
          <w:rFonts w:eastAsia="仿宋_GB2312"/>
          <w:color w:val="000000"/>
          <w:sz w:val="32"/>
          <w:szCs w:val="32"/>
        </w:rPr>
        <w:t>统筹兼顾、量力而行、讲求绩效、收支平衡</w:t>
      </w:r>
      <w:r>
        <w:rPr>
          <w:rFonts w:hint="eastAsia" w:eastAsia="仿宋_GB2312"/>
          <w:color w:val="000000"/>
          <w:sz w:val="32"/>
          <w:szCs w:val="32"/>
          <w:lang w:eastAsia="zh-CN"/>
        </w:rPr>
        <w:t>”</w:t>
      </w:r>
      <w:r>
        <w:rPr>
          <w:rFonts w:eastAsia="仿宋_GB2312"/>
          <w:color w:val="000000"/>
          <w:sz w:val="32"/>
          <w:szCs w:val="32"/>
        </w:rPr>
        <w:t>的原则编制2019年收支预算。</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pacing w:line="498" w:lineRule="exact"/>
        <w:ind w:firstLine="643" w:firstLineChars="200"/>
        <w:textAlignment w:val="auto"/>
        <w:rPr>
          <w:rFonts w:eastAsia="仿宋_GB2312"/>
          <w:color w:val="000000"/>
          <w:sz w:val="32"/>
          <w:szCs w:val="32"/>
        </w:rPr>
      </w:pPr>
      <w:r>
        <w:rPr>
          <w:rFonts w:hint="eastAsia" w:ascii="仿宋_GB2312" w:hAnsi="仿宋_GB2312" w:eastAsia="仿宋_GB2312" w:cs="仿宋_GB2312"/>
          <w:b/>
          <w:color w:val="000000"/>
          <w:sz w:val="32"/>
          <w:szCs w:val="32"/>
        </w:rPr>
        <w:t>1.一般公共预算：</w:t>
      </w:r>
      <w:r>
        <w:rPr>
          <w:rFonts w:eastAsia="仿宋_GB2312"/>
          <w:color w:val="000000"/>
          <w:sz w:val="32"/>
          <w:szCs w:val="32"/>
        </w:rPr>
        <w:t>全县一般公共预算总收入</w:t>
      </w:r>
      <w:r>
        <w:rPr>
          <w:rFonts w:hint="eastAsia" w:eastAsia="仿宋_GB2312"/>
          <w:color w:val="000000"/>
          <w:sz w:val="32"/>
          <w:szCs w:val="32"/>
        </w:rPr>
        <w:t>18.63</w:t>
      </w:r>
      <w:r>
        <w:rPr>
          <w:rFonts w:eastAsia="仿宋_GB2312"/>
          <w:color w:val="000000"/>
          <w:sz w:val="32"/>
          <w:szCs w:val="32"/>
        </w:rPr>
        <w:t>亿元</w:t>
      </w:r>
      <w:r>
        <w:rPr>
          <w:rFonts w:eastAsia="仿宋_GB2312"/>
          <w:color w:val="000000"/>
          <w:spacing w:val="-6"/>
          <w:sz w:val="32"/>
          <w:szCs w:val="32"/>
        </w:rPr>
        <w:t>，</w:t>
      </w:r>
      <w:r>
        <w:rPr>
          <w:rFonts w:eastAsia="仿宋_GB2312"/>
          <w:color w:val="000000"/>
          <w:sz w:val="32"/>
          <w:szCs w:val="32"/>
        </w:rPr>
        <w:t>增长</w:t>
      </w:r>
      <w:r>
        <w:rPr>
          <w:rFonts w:hint="eastAsia" w:eastAsia="仿宋_GB2312"/>
          <w:color w:val="000000"/>
          <w:sz w:val="32"/>
          <w:szCs w:val="32"/>
        </w:rPr>
        <w:t>5</w:t>
      </w:r>
      <w:r>
        <w:rPr>
          <w:rFonts w:eastAsia="仿宋_GB2312"/>
          <w:color w:val="000000"/>
          <w:sz w:val="32"/>
          <w:szCs w:val="32"/>
        </w:rPr>
        <w:t>%。其中一般公共预算收入</w:t>
      </w:r>
      <w:r>
        <w:rPr>
          <w:rFonts w:hint="eastAsia" w:eastAsia="仿宋_GB2312"/>
          <w:color w:val="000000"/>
          <w:sz w:val="32"/>
          <w:szCs w:val="32"/>
        </w:rPr>
        <w:t>12.29</w:t>
      </w:r>
      <w:r>
        <w:rPr>
          <w:rFonts w:eastAsia="仿宋_GB2312"/>
          <w:color w:val="000000"/>
          <w:sz w:val="32"/>
          <w:szCs w:val="32"/>
        </w:rPr>
        <w:t>亿元，增长</w:t>
      </w:r>
      <w:r>
        <w:rPr>
          <w:rFonts w:hint="eastAsia" w:eastAsia="仿宋_GB2312"/>
          <w:color w:val="000000"/>
          <w:sz w:val="32"/>
          <w:szCs w:val="32"/>
        </w:rPr>
        <w:t>4</w:t>
      </w:r>
      <w:r>
        <w:rPr>
          <w:rFonts w:eastAsia="仿宋_GB2312"/>
          <w:color w:val="000000"/>
          <w:sz w:val="32"/>
          <w:szCs w:val="32"/>
        </w:rPr>
        <w:t>%。按照收支平衡的原则，支出主要由一般公共预算收入、一般性转移支付、专项补助资金等构成，相应安排2019年一般公共预算支出</w:t>
      </w:r>
      <w:r>
        <w:rPr>
          <w:rFonts w:hint="eastAsia" w:eastAsia="仿宋_GB2312"/>
          <w:color w:val="000000"/>
          <w:sz w:val="32"/>
          <w:szCs w:val="32"/>
        </w:rPr>
        <w:t>17.63</w:t>
      </w:r>
      <w:r>
        <w:rPr>
          <w:rFonts w:eastAsia="仿宋_GB2312"/>
          <w:color w:val="000000"/>
          <w:sz w:val="32"/>
          <w:szCs w:val="32"/>
        </w:rPr>
        <w:t>亿元，</w:t>
      </w:r>
      <w:r>
        <w:rPr>
          <w:rFonts w:hint="eastAsia" w:eastAsia="仿宋_GB2312"/>
          <w:color w:val="000000"/>
          <w:sz w:val="32"/>
          <w:szCs w:val="32"/>
        </w:rPr>
        <w:t>同口径</w:t>
      </w:r>
      <w:r>
        <w:rPr>
          <w:rFonts w:eastAsia="仿宋_GB2312"/>
          <w:color w:val="000000"/>
          <w:sz w:val="32"/>
          <w:szCs w:val="32"/>
        </w:rPr>
        <w:t>增长</w:t>
      </w:r>
      <w:r>
        <w:rPr>
          <w:rFonts w:hint="eastAsia" w:eastAsia="仿宋_GB2312"/>
          <w:color w:val="000000"/>
          <w:sz w:val="32"/>
          <w:szCs w:val="32"/>
        </w:rPr>
        <w:t>16.6</w:t>
      </w:r>
      <w:r>
        <w:rPr>
          <w:rFonts w:eastAsia="仿宋_GB2312"/>
          <w:color w:val="000000"/>
          <w:sz w:val="32"/>
          <w:szCs w:val="32"/>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pacing w:line="498" w:lineRule="exact"/>
        <w:ind w:firstLine="643" w:firstLineChars="200"/>
        <w:textAlignment w:val="auto"/>
        <w:rPr>
          <w:rFonts w:eastAsia="仿宋_GB2312"/>
          <w:color w:val="000000"/>
          <w:sz w:val="32"/>
          <w:szCs w:val="32"/>
        </w:rPr>
      </w:pPr>
      <w:r>
        <w:rPr>
          <w:rFonts w:hint="eastAsia" w:ascii="仿宋_GB2312" w:hAnsi="仿宋_GB2312" w:eastAsia="仿宋_GB2312" w:cs="仿宋_GB2312"/>
          <w:b/>
          <w:color w:val="000000"/>
          <w:sz w:val="32"/>
          <w:szCs w:val="32"/>
        </w:rPr>
        <w:t>2.政府性基金预算：</w:t>
      </w:r>
      <w:r>
        <w:rPr>
          <w:rFonts w:eastAsia="仿宋_GB2312"/>
          <w:color w:val="000000"/>
          <w:sz w:val="32"/>
          <w:szCs w:val="32"/>
        </w:rPr>
        <w:t>全县政府性基金收入</w:t>
      </w:r>
      <w:r>
        <w:rPr>
          <w:rFonts w:hint="eastAsia" w:eastAsia="仿宋_GB2312"/>
          <w:color w:val="000000"/>
          <w:sz w:val="32"/>
          <w:szCs w:val="32"/>
        </w:rPr>
        <w:t>8.17</w:t>
      </w:r>
      <w:r>
        <w:rPr>
          <w:rFonts w:eastAsia="仿宋_GB2312"/>
          <w:color w:val="000000"/>
          <w:sz w:val="32"/>
          <w:szCs w:val="32"/>
        </w:rPr>
        <w:t>亿元，政府性基金支出</w:t>
      </w:r>
      <w:r>
        <w:rPr>
          <w:rFonts w:hint="eastAsia" w:eastAsia="仿宋_GB2312"/>
          <w:color w:val="000000"/>
          <w:sz w:val="32"/>
          <w:szCs w:val="32"/>
        </w:rPr>
        <w:t>8.21</w:t>
      </w:r>
      <w:r>
        <w:rPr>
          <w:rFonts w:eastAsia="仿宋_GB2312"/>
          <w:color w:val="000000"/>
          <w:sz w:val="32"/>
          <w:szCs w:val="32"/>
        </w:rPr>
        <w:t>亿元。</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pacing w:line="498" w:lineRule="exact"/>
        <w:ind w:firstLine="643" w:firstLineChars="200"/>
        <w:textAlignment w:val="auto"/>
        <w:rPr>
          <w:rFonts w:eastAsia="仿宋_GB2312"/>
          <w:color w:val="000000"/>
          <w:sz w:val="32"/>
          <w:szCs w:val="32"/>
        </w:rPr>
      </w:pPr>
      <w:r>
        <w:rPr>
          <w:rFonts w:hint="eastAsia" w:ascii="仿宋_GB2312" w:hAnsi="仿宋_GB2312" w:eastAsia="仿宋_GB2312" w:cs="仿宋_GB2312"/>
          <w:b/>
          <w:color w:val="000000"/>
          <w:sz w:val="32"/>
          <w:szCs w:val="32"/>
        </w:rPr>
        <w:t>3.国有资本经营预算：</w:t>
      </w:r>
      <w:r>
        <w:rPr>
          <w:rFonts w:eastAsia="仿宋_GB2312"/>
          <w:color w:val="000000"/>
          <w:sz w:val="32"/>
          <w:szCs w:val="32"/>
        </w:rPr>
        <w:t>全县国有资本经营收入0.03亿元</w:t>
      </w:r>
      <w:r>
        <w:rPr>
          <w:rFonts w:hint="eastAsia" w:eastAsia="仿宋_GB2312"/>
          <w:color w:val="000000"/>
          <w:sz w:val="32"/>
          <w:szCs w:val="32"/>
        </w:rPr>
        <w:t>，</w:t>
      </w:r>
      <w:r>
        <w:rPr>
          <w:rFonts w:eastAsia="仿宋_GB2312"/>
          <w:color w:val="000000"/>
          <w:sz w:val="32"/>
          <w:szCs w:val="32"/>
        </w:rPr>
        <w:t>国有资本经营支出0.03亿元。</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pacing w:line="498" w:lineRule="exact"/>
        <w:ind w:firstLine="643" w:firstLineChars="200"/>
        <w:textAlignment w:val="auto"/>
        <w:rPr>
          <w:rFonts w:eastAsia="仿宋_GB2312"/>
          <w:color w:val="000000"/>
          <w:sz w:val="32"/>
          <w:szCs w:val="32"/>
        </w:rPr>
      </w:pPr>
      <w:r>
        <w:rPr>
          <w:rFonts w:hint="eastAsia" w:ascii="仿宋_GB2312" w:hAnsi="仿宋_GB2312" w:eastAsia="仿宋_GB2312" w:cs="仿宋_GB2312"/>
          <w:b/>
          <w:color w:val="000000"/>
          <w:sz w:val="32"/>
          <w:szCs w:val="32"/>
        </w:rPr>
        <w:t>4.社会保险基金预算：</w:t>
      </w:r>
      <w:r>
        <w:rPr>
          <w:rFonts w:eastAsia="仿宋_GB2312"/>
          <w:color w:val="000000"/>
          <w:sz w:val="32"/>
          <w:szCs w:val="32"/>
        </w:rPr>
        <w:t>全县社会保险基金收入</w:t>
      </w:r>
      <w:r>
        <w:rPr>
          <w:rFonts w:hint="eastAsia" w:eastAsia="仿宋_GB2312"/>
          <w:color w:val="000000"/>
          <w:sz w:val="32"/>
          <w:szCs w:val="32"/>
        </w:rPr>
        <w:t>2.16</w:t>
      </w:r>
      <w:r>
        <w:rPr>
          <w:rFonts w:eastAsia="仿宋_GB2312"/>
          <w:color w:val="000000"/>
          <w:sz w:val="32"/>
          <w:szCs w:val="32"/>
        </w:rPr>
        <w:t>亿元</w:t>
      </w:r>
      <w:r>
        <w:rPr>
          <w:rFonts w:hint="eastAsia" w:eastAsia="仿宋_GB2312"/>
          <w:color w:val="000000"/>
          <w:sz w:val="32"/>
          <w:szCs w:val="32"/>
        </w:rPr>
        <w:t>，</w:t>
      </w:r>
      <w:r>
        <w:rPr>
          <w:rFonts w:eastAsia="仿宋_GB2312"/>
          <w:color w:val="000000"/>
          <w:sz w:val="32"/>
          <w:szCs w:val="32"/>
        </w:rPr>
        <w:t>社会保险基金支出</w:t>
      </w:r>
      <w:r>
        <w:rPr>
          <w:rFonts w:hint="eastAsia" w:eastAsia="仿宋_GB2312"/>
          <w:color w:val="000000"/>
          <w:sz w:val="32"/>
          <w:szCs w:val="32"/>
        </w:rPr>
        <w:t>2.02</w:t>
      </w:r>
      <w:r>
        <w:rPr>
          <w:rFonts w:eastAsia="仿宋_GB2312"/>
          <w:color w:val="000000"/>
          <w:sz w:val="32"/>
          <w:szCs w:val="32"/>
        </w:rPr>
        <w:t>亿元。</w:t>
      </w:r>
    </w:p>
    <w:p>
      <w:pPr>
        <w:keepNext w:val="0"/>
        <w:keepLines w:val="0"/>
        <w:pageBreakBefore w:val="0"/>
        <w:widowControl w:val="0"/>
        <w:pBdr>
          <w:bottom w:val="single" w:color="FFFFFF" w:sz="4" w:space="31"/>
        </w:pBdr>
        <w:tabs>
          <w:tab w:val="left" w:pos="1440"/>
        </w:tabs>
        <w:kinsoku/>
        <w:wordWrap/>
        <w:overflowPunct/>
        <w:topLinePunct w:val="0"/>
        <w:autoSpaceDE/>
        <w:autoSpaceDN/>
        <w:bidi w:val="0"/>
        <w:spacing w:line="498" w:lineRule="exact"/>
        <w:ind w:firstLine="640" w:firstLineChars="200"/>
        <w:textAlignment w:val="auto"/>
        <w:rPr>
          <w:rFonts w:eastAsia="楷体_GB2312"/>
          <w:color w:val="000000"/>
          <w:sz w:val="32"/>
          <w:szCs w:val="32"/>
        </w:rPr>
      </w:pPr>
      <w:r>
        <w:rPr>
          <w:rFonts w:eastAsia="楷体_GB2312"/>
          <w:color w:val="000000"/>
          <w:sz w:val="32"/>
          <w:szCs w:val="32"/>
        </w:rPr>
        <w:t>（二）主要工作安排</w:t>
      </w:r>
    </w:p>
    <w:p>
      <w:pPr>
        <w:keepNext w:val="0"/>
        <w:keepLines w:val="0"/>
        <w:pageBreakBefore w:val="0"/>
        <w:widowControl w:val="0"/>
        <w:pBdr>
          <w:bottom w:val="single" w:color="FFFFFF" w:sz="4" w:space="31"/>
        </w:pBdr>
        <w:tabs>
          <w:tab w:val="left" w:pos="1440"/>
        </w:tabs>
        <w:kinsoku/>
        <w:wordWrap/>
        <w:overflowPunct/>
        <w:topLinePunct w:val="0"/>
        <w:autoSpaceDE/>
        <w:autoSpaceDN/>
        <w:bidi w:val="0"/>
        <w:spacing w:line="498" w:lineRule="exact"/>
        <w:ind w:firstLine="643" w:firstLineChars="200"/>
        <w:textAlignment w:val="auto"/>
        <w:rPr>
          <w:rFonts w:eastAsia="仿宋_GB2312"/>
          <w:color w:val="000000"/>
          <w:sz w:val="32"/>
          <w:szCs w:val="32"/>
        </w:rPr>
      </w:pPr>
      <w:r>
        <w:rPr>
          <w:rFonts w:hint="eastAsia" w:ascii="仿宋_GB2312" w:hAnsi="仿宋_GB2312" w:eastAsia="仿宋_GB2312" w:cs="仿宋_GB2312"/>
          <w:b/>
          <w:color w:val="000000"/>
          <w:sz w:val="32"/>
          <w:szCs w:val="32"/>
        </w:rPr>
        <w:t>1</w:t>
      </w:r>
      <w:r>
        <w:rPr>
          <w:rFonts w:hint="eastAsia" w:ascii="仿宋_GB2312" w:hAnsi="仿宋_GB2312" w:eastAsia="仿宋_GB2312" w:cs="仿宋_GB2312"/>
          <w:b/>
          <w:color w:val="000000"/>
          <w:sz w:val="32"/>
          <w:szCs w:val="32"/>
          <w:lang w:val="en-US" w:eastAsia="zh-CN"/>
        </w:rPr>
        <w:t>.</w:t>
      </w:r>
      <w:r>
        <w:rPr>
          <w:rFonts w:hint="eastAsia" w:ascii="仿宋_GB2312" w:hAnsi="仿宋_GB2312" w:eastAsia="仿宋_GB2312" w:cs="仿宋_GB2312"/>
          <w:b/>
          <w:color w:val="000000"/>
          <w:sz w:val="32"/>
          <w:szCs w:val="32"/>
        </w:rPr>
        <w:t>落实财税扶持政策。</w:t>
      </w:r>
      <w:r>
        <w:rPr>
          <w:rFonts w:eastAsia="仿宋_GB2312"/>
          <w:b/>
          <w:bCs/>
          <w:color w:val="000000"/>
          <w:kern w:val="0"/>
          <w:sz w:val="32"/>
          <w:szCs w:val="32"/>
        </w:rPr>
        <w:t>一是</w:t>
      </w:r>
      <w:r>
        <w:rPr>
          <w:rFonts w:eastAsia="仿宋_GB2312"/>
          <w:color w:val="000000"/>
          <w:kern w:val="0"/>
          <w:sz w:val="32"/>
          <w:szCs w:val="32"/>
        </w:rPr>
        <w:t>贯彻中央、省、市</w:t>
      </w:r>
      <w:r>
        <w:rPr>
          <w:rFonts w:hint="eastAsia" w:ascii="仿宋_GB2312" w:hAnsi="微软雅黑" w:eastAsia="仿宋_GB2312" w:cs="宋体"/>
          <w:color w:val="000000"/>
          <w:kern w:val="0"/>
          <w:sz w:val="32"/>
          <w:szCs w:val="32"/>
        </w:rPr>
        <w:t>实施更大规模减税降费</w:t>
      </w:r>
      <w:r>
        <w:rPr>
          <w:rFonts w:eastAsia="仿宋_GB2312"/>
          <w:color w:val="000000"/>
          <w:kern w:val="0"/>
          <w:sz w:val="32"/>
          <w:szCs w:val="32"/>
        </w:rPr>
        <w:t>政策。推进增值税简并税率改革，落实扩大小微企业所得税减半征收优惠范围等税收优惠政策，清理和规范涉企收费，进一步减轻企业负担。</w:t>
      </w:r>
      <w:r>
        <w:rPr>
          <w:rFonts w:eastAsia="仿宋_GB2312"/>
          <w:color w:val="000000"/>
          <w:sz w:val="32"/>
          <w:szCs w:val="32"/>
        </w:rPr>
        <w:t>密切关注</w:t>
      </w:r>
      <w:r>
        <w:rPr>
          <w:rFonts w:hint="eastAsia" w:eastAsia="仿宋_GB2312"/>
          <w:color w:val="000000"/>
          <w:sz w:val="32"/>
          <w:szCs w:val="32"/>
        </w:rPr>
        <w:t>车辆购置税、</w:t>
      </w:r>
      <w:r>
        <w:rPr>
          <w:rFonts w:eastAsia="仿宋_GB2312"/>
          <w:color w:val="000000"/>
          <w:sz w:val="32"/>
          <w:szCs w:val="32"/>
        </w:rPr>
        <w:t>房地产税、耕地占用税等税种改革动态，提前做好改革应对工作。</w:t>
      </w:r>
      <w:r>
        <w:rPr>
          <w:rFonts w:eastAsia="仿宋_GB2312"/>
          <w:b/>
          <w:bCs w:val="0"/>
          <w:color w:val="000000"/>
          <w:kern w:val="0"/>
          <w:sz w:val="32"/>
          <w:szCs w:val="32"/>
        </w:rPr>
        <w:t>二是</w:t>
      </w:r>
      <w:r>
        <w:rPr>
          <w:rFonts w:eastAsia="仿宋_GB2312"/>
          <w:color w:val="000000"/>
          <w:kern w:val="0"/>
          <w:sz w:val="32"/>
          <w:szCs w:val="32"/>
        </w:rPr>
        <w:t>发挥财政资金引导作用。聚焦财源增收潜力，支持发展前景广阔的新产业、新业态、新模式，壮大特色产业。</w:t>
      </w:r>
      <w:r>
        <w:rPr>
          <w:rFonts w:eastAsia="仿宋_GB2312"/>
          <w:color w:val="000000"/>
          <w:sz w:val="32"/>
          <w:szCs w:val="32"/>
        </w:rPr>
        <w:t>推出更多针对性政策和举措</w:t>
      </w:r>
      <w:r>
        <w:rPr>
          <w:rFonts w:eastAsia="仿宋_GB2312"/>
          <w:color w:val="000000"/>
          <w:kern w:val="0"/>
          <w:sz w:val="32"/>
          <w:szCs w:val="32"/>
        </w:rPr>
        <w:t>，</w:t>
      </w:r>
      <w:r>
        <w:rPr>
          <w:rFonts w:eastAsia="仿宋_GB2312"/>
          <w:color w:val="000000"/>
          <w:sz w:val="32"/>
          <w:szCs w:val="32"/>
        </w:rPr>
        <w:t>引导企业扩展销售渠道，组织企业参加各类知名展销活动，鼓励企业抓商机、抢订单、拓市场，</w:t>
      </w:r>
      <w:r>
        <w:rPr>
          <w:rFonts w:eastAsia="仿宋_GB2312"/>
          <w:color w:val="000000"/>
          <w:kern w:val="0"/>
          <w:sz w:val="32"/>
          <w:szCs w:val="32"/>
        </w:rPr>
        <w:t>利用</w:t>
      </w:r>
      <w:r>
        <w:rPr>
          <w:rFonts w:hint="eastAsia" w:eastAsia="仿宋_GB2312"/>
          <w:color w:val="000000"/>
          <w:kern w:val="0"/>
          <w:sz w:val="32"/>
          <w:szCs w:val="32"/>
        </w:rPr>
        <w:t>部分</w:t>
      </w:r>
      <w:r>
        <w:rPr>
          <w:rFonts w:eastAsia="仿宋_GB2312"/>
          <w:color w:val="000000"/>
          <w:sz w:val="32"/>
          <w:szCs w:val="32"/>
        </w:rPr>
        <w:t>陶瓷出口退税率13%提至16%利好政策，推动陶瓷业高质量发展；鼓励矿山企业探矿增储，力促矿业稳产增效；强化龙头引领，促进旅游产业全域发展；推动电子商务等产业协调发展，尽快形成新的经济增长点。</w:t>
      </w:r>
    </w:p>
    <w:p>
      <w:pPr>
        <w:keepNext w:val="0"/>
        <w:keepLines w:val="0"/>
        <w:pageBreakBefore w:val="0"/>
        <w:widowControl w:val="0"/>
        <w:pBdr>
          <w:bottom w:val="single" w:color="FFFFFF" w:sz="4" w:space="31"/>
        </w:pBdr>
        <w:tabs>
          <w:tab w:val="left" w:pos="1440"/>
        </w:tabs>
        <w:kinsoku/>
        <w:wordWrap/>
        <w:overflowPunct/>
        <w:topLinePunct w:val="0"/>
        <w:autoSpaceDE/>
        <w:autoSpaceDN/>
        <w:bidi w:val="0"/>
        <w:spacing w:line="498" w:lineRule="exact"/>
        <w:ind w:firstLine="643" w:firstLineChars="200"/>
        <w:textAlignment w:val="auto"/>
        <w:rPr>
          <w:rFonts w:eastAsia="仿宋_GB2312"/>
          <w:color w:val="000000"/>
          <w:sz w:val="32"/>
          <w:szCs w:val="32"/>
        </w:rPr>
      </w:pPr>
      <w:r>
        <w:rPr>
          <w:rFonts w:hint="eastAsia" w:ascii="仿宋_GB2312" w:hAnsi="仿宋_GB2312" w:eastAsia="仿宋_GB2312" w:cs="仿宋_GB2312"/>
          <w:b/>
          <w:color w:val="000000"/>
          <w:sz w:val="32"/>
          <w:szCs w:val="32"/>
        </w:rPr>
        <w:t>2</w:t>
      </w:r>
      <w:bookmarkStart w:id="4" w:name="_GoBack"/>
      <w:bookmarkEnd w:id="4"/>
      <w:r>
        <w:rPr>
          <w:rFonts w:hint="eastAsia" w:ascii="仿宋_GB2312" w:hAnsi="仿宋_GB2312" w:eastAsia="仿宋_GB2312" w:cs="仿宋_GB2312"/>
          <w:b/>
          <w:color w:val="000000"/>
          <w:sz w:val="32"/>
          <w:szCs w:val="32"/>
          <w:lang w:val="en-US" w:eastAsia="zh-CN"/>
        </w:rPr>
        <w:t>.</w:t>
      </w:r>
      <w:r>
        <w:rPr>
          <w:rFonts w:hint="eastAsia" w:ascii="仿宋_GB2312" w:hAnsi="仿宋_GB2312" w:eastAsia="仿宋_GB2312" w:cs="仿宋_GB2312"/>
          <w:b/>
          <w:color w:val="000000"/>
          <w:sz w:val="32"/>
          <w:szCs w:val="32"/>
        </w:rPr>
        <w:t>强化收入组织协调。</w:t>
      </w:r>
      <w:r>
        <w:rPr>
          <w:rFonts w:eastAsia="仿宋_GB2312"/>
          <w:b/>
          <w:color w:val="000000"/>
          <w:sz w:val="32"/>
          <w:szCs w:val="32"/>
        </w:rPr>
        <w:t>一是</w:t>
      </w:r>
      <w:r>
        <w:rPr>
          <w:rFonts w:eastAsia="仿宋_GB2312"/>
          <w:color w:val="000000"/>
          <w:sz w:val="32"/>
          <w:szCs w:val="32"/>
        </w:rPr>
        <w:t>围绕全年收入计划，加强预测、研判和分析，摸清摸实财政收入主要支撑点，强化工作措施，加大对征收部门收入督导力度，优化征管提升服务，提高财政收入质量。</w:t>
      </w:r>
      <w:r>
        <w:rPr>
          <w:rFonts w:eastAsia="仿宋_GB2312"/>
          <w:b/>
          <w:color w:val="000000"/>
          <w:sz w:val="32"/>
          <w:szCs w:val="32"/>
        </w:rPr>
        <w:t>二是</w:t>
      </w:r>
      <w:r>
        <w:rPr>
          <w:rFonts w:eastAsia="仿宋_GB2312"/>
          <w:color w:val="000000"/>
          <w:sz w:val="32"/>
          <w:szCs w:val="32"/>
        </w:rPr>
        <w:t>加大对重点行业、重点企业、主体税种的跟踪监控力度，</w:t>
      </w:r>
      <w:r>
        <w:rPr>
          <w:rFonts w:eastAsia="仿宋_GB2312"/>
          <w:color w:val="000000"/>
          <w:sz w:val="32"/>
          <w:szCs w:val="32"/>
          <w:lang w:val="zh-CN"/>
        </w:rPr>
        <w:t>加强外地施工企业管理，引导和鼓励外地施工企业在我县落户纳税，</w:t>
      </w:r>
      <w:r>
        <w:rPr>
          <w:rFonts w:eastAsia="仿宋_GB2312"/>
          <w:color w:val="000000"/>
          <w:sz w:val="32"/>
          <w:szCs w:val="32"/>
        </w:rPr>
        <w:t>增强财政增收后劲。</w:t>
      </w:r>
      <w:r>
        <w:rPr>
          <w:rFonts w:eastAsia="仿宋_GB2312"/>
          <w:b/>
          <w:color w:val="000000"/>
          <w:sz w:val="32"/>
          <w:szCs w:val="32"/>
        </w:rPr>
        <w:t>三是</w:t>
      </w:r>
      <w:r>
        <w:rPr>
          <w:rFonts w:eastAsia="仿宋_GB2312"/>
          <w:color w:val="000000"/>
          <w:sz w:val="32"/>
          <w:szCs w:val="32"/>
        </w:rPr>
        <w:t>结合非税收入征管职责划转，</w:t>
      </w:r>
      <w:r>
        <w:rPr>
          <w:rFonts w:eastAsia="仿宋_GB2312"/>
          <w:color w:val="000000"/>
          <w:kern w:val="0"/>
          <w:sz w:val="32"/>
          <w:szCs w:val="32"/>
        </w:rPr>
        <w:t>挖掘非税收入潜力，有效盘活政府资源资产，促进财政收入平稳增长。</w:t>
      </w:r>
    </w:p>
    <w:p>
      <w:pPr>
        <w:keepNext w:val="0"/>
        <w:keepLines w:val="0"/>
        <w:pageBreakBefore w:val="0"/>
        <w:widowControl w:val="0"/>
        <w:pBdr>
          <w:bottom w:val="single" w:color="FFFFFF" w:sz="4" w:space="31"/>
        </w:pBdr>
        <w:kinsoku/>
        <w:wordWrap/>
        <w:overflowPunct/>
        <w:topLinePunct w:val="0"/>
        <w:autoSpaceDE/>
        <w:autoSpaceDN/>
        <w:bidi w:val="0"/>
        <w:spacing w:line="498" w:lineRule="exact"/>
        <w:ind w:firstLine="645"/>
        <w:textAlignment w:val="auto"/>
        <w:rPr>
          <w:rFonts w:eastAsia="仿宋_GB2312"/>
          <w:color w:val="000000"/>
          <w:sz w:val="32"/>
          <w:szCs w:val="32"/>
        </w:rPr>
      </w:pPr>
      <w:r>
        <w:rPr>
          <w:rFonts w:hint="eastAsia" w:ascii="仿宋_GB2312" w:hAnsi="仿宋_GB2312" w:eastAsia="仿宋_GB2312" w:cs="仿宋_GB2312"/>
          <w:b/>
          <w:color w:val="000000"/>
          <w:sz w:val="32"/>
          <w:szCs w:val="32"/>
        </w:rPr>
        <w:t>3</w:t>
      </w:r>
      <w:r>
        <w:rPr>
          <w:rFonts w:hint="eastAsia" w:ascii="仿宋_GB2312" w:hAnsi="仿宋_GB2312" w:eastAsia="仿宋_GB2312" w:cs="仿宋_GB2312"/>
          <w:b/>
          <w:color w:val="000000"/>
          <w:sz w:val="32"/>
          <w:szCs w:val="32"/>
          <w:lang w:val="en-US" w:eastAsia="zh-CN"/>
        </w:rPr>
        <w:t>.</w:t>
      </w:r>
      <w:r>
        <w:rPr>
          <w:rFonts w:hint="eastAsia" w:ascii="仿宋_GB2312" w:hAnsi="仿宋_GB2312" w:eastAsia="仿宋_GB2312" w:cs="仿宋_GB2312"/>
          <w:b/>
          <w:color w:val="000000"/>
          <w:sz w:val="32"/>
          <w:szCs w:val="32"/>
        </w:rPr>
        <w:t>加强保障和改善民生。</w:t>
      </w:r>
      <w:r>
        <w:rPr>
          <w:rFonts w:eastAsia="仿宋_GB2312"/>
          <w:b/>
          <w:color w:val="000000"/>
          <w:kern w:val="0"/>
          <w:sz w:val="32"/>
          <w:szCs w:val="32"/>
        </w:rPr>
        <w:t>一是</w:t>
      </w:r>
      <w:r>
        <w:rPr>
          <w:rFonts w:hint="eastAsia" w:ascii="仿宋_GB2312" w:hAnsi="微软雅黑" w:eastAsia="仿宋_GB2312" w:cs="宋体"/>
          <w:color w:val="000000"/>
          <w:kern w:val="0"/>
          <w:sz w:val="32"/>
          <w:szCs w:val="32"/>
        </w:rPr>
        <w:t>坚持经济发展和民生改善相协调，积极促进就业创业，支持发展公平优质教育，提高社会保障水平，强化民生兜底保障，促进文化事业发展。</w:t>
      </w:r>
      <w:r>
        <w:rPr>
          <w:rFonts w:eastAsia="仿宋_GB2312"/>
          <w:b/>
          <w:color w:val="000000"/>
          <w:kern w:val="0"/>
          <w:sz w:val="32"/>
          <w:szCs w:val="32"/>
        </w:rPr>
        <w:t>二是</w:t>
      </w:r>
      <w:r>
        <w:rPr>
          <w:rFonts w:eastAsia="仿宋_GB2312"/>
          <w:color w:val="000000"/>
          <w:sz w:val="32"/>
          <w:szCs w:val="32"/>
        </w:rPr>
        <w:t>完善结转资金清理机制，加强结转资金预算管理，两年以上结转</w:t>
      </w:r>
      <w:r>
        <w:rPr>
          <w:rFonts w:hint="eastAsia" w:eastAsia="仿宋_GB2312"/>
          <w:color w:val="000000"/>
          <w:sz w:val="32"/>
          <w:szCs w:val="32"/>
        </w:rPr>
        <w:t>结余</w:t>
      </w:r>
      <w:r>
        <w:rPr>
          <w:rFonts w:eastAsia="仿宋_GB2312"/>
          <w:color w:val="000000"/>
          <w:sz w:val="32"/>
          <w:szCs w:val="32"/>
        </w:rPr>
        <w:t>资金由财政统一收回统筹用于重点急需领域，集中支持高质量发展。</w:t>
      </w:r>
      <w:r>
        <w:rPr>
          <w:rFonts w:eastAsia="仿宋_GB2312"/>
          <w:b/>
          <w:color w:val="000000"/>
          <w:sz w:val="32"/>
          <w:szCs w:val="32"/>
        </w:rPr>
        <w:t>三是</w:t>
      </w:r>
      <w:r>
        <w:rPr>
          <w:rFonts w:hint="eastAsia" w:ascii="仿宋_GB2312" w:hAnsi="微软雅黑" w:eastAsia="仿宋_GB2312" w:cs="宋体"/>
          <w:color w:val="000000"/>
          <w:kern w:val="0"/>
          <w:sz w:val="32"/>
          <w:szCs w:val="32"/>
        </w:rPr>
        <w:t>贯彻实施乡村振兴战略，巩固发展</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三农</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持续向好形势。</w:t>
      </w:r>
      <w:r>
        <w:rPr>
          <w:rFonts w:eastAsia="仿宋_GB2312"/>
          <w:color w:val="000000"/>
          <w:sz w:val="32"/>
          <w:szCs w:val="32"/>
        </w:rPr>
        <w:t>积极与省、市对接，做好我县涉农专项资金统筹整合的各项准备工作，适时出台我县的涉农资金整合方案，推动支持方向、用途相同或相近的专项资金跨部门实质性整合，逐步减少使用绩效较差及支出进度滞后的专项资金。</w:t>
      </w:r>
      <w:r>
        <w:rPr>
          <w:rFonts w:eastAsia="仿宋_GB2312"/>
          <w:b/>
          <w:color w:val="000000"/>
          <w:sz w:val="32"/>
          <w:szCs w:val="32"/>
        </w:rPr>
        <w:t>四是</w:t>
      </w:r>
      <w:r>
        <w:rPr>
          <w:rFonts w:eastAsia="仿宋_GB2312"/>
          <w:color w:val="000000"/>
          <w:sz w:val="32"/>
          <w:szCs w:val="32"/>
        </w:rPr>
        <w:t>强化部门预算执行主体责任，进一步加快财政支出进度，</w:t>
      </w:r>
      <w:r>
        <w:rPr>
          <w:rFonts w:eastAsia="仿宋_GB2312"/>
          <w:color w:val="000000"/>
          <w:kern w:val="0"/>
          <w:sz w:val="32"/>
          <w:szCs w:val="32"/>
        </w:rPr>
        <w:t>提升预算管理水平和政策实施效果。</w:t>
      </w:r>
      <w:r>
        <w:rPr>
          <w:rFonts w:eastAsia="仿宋_GB2312"/>
          <w:b/>
          <w:color w:val="000000"/>
          <w:sz w:val="32"/>
          <w:szCs w:val="32"/>
        </w:rPr>
        <w:t>五是</w:t>
      </w:r>
      <w:r>
        <w:rPr>
          <w:rFonts w:eastAsia="仿宋_GB2312"/>
          <w:color w:val="000000"/>
          <w:kern w:val="0"/>
          <w:sz w:val="32"/>
          <w:szCs w:val="32"/>
        </w:rPr>
        <w:t>坚持政府节用裕民，</w:t>
      </w:r>
      <w:r>
        <w:rPr>
          <w:rFonts w:eastAsia="仿宋_GB2312"/>
          <w:color w:val="000000"/>
          <w:sz w:val="32"/>
          <w:szCs w:val="32"/>
        </w:rPr>
        <w:t>优化支出结构，</w:t>
      </w:r>
      <w:r>
        <w:rPr>
          <w:rFonts w:eastAsia="仿宋_GB2312"/>
          <w:color w:val="000000"/>
          <w:kern w:val="0"/>
          <w:sz w:val="32"/>
          <w:szCs w:val="32"/>
        </w:rPr>
        <w:t>严格控制一般性和新增支出。</w:t>
      </w:r>
      <w:r>
        <w:rPr>
          <w:rFonts w:eastAsia="仿宋_GB2312"/>
          <w:color w:val="000000"/>
          <w:sz w:val="32"/>
          <w:szCs w:val="32"/>
        </w:rPr>
        <w:t>规范机构改革期间部门预算执行，保障预算资金和国有资产安全。</w:t>
      </w:r>
    </w:p>
    <w:p>
      <w:pPr>
        <w:keepNext w:val="0"/>
        <w:keepLines w:val="0"/>
        <w:pageBreakBefore w:val="0"/>
        <w:widowControl w:val="0"/>
        <w:pBdr>
          <w:bottom w:val="single" w:color="FFFFFF" w:sz="4" w:space="31"/>
        </w:pBdr>
        <w:kinsoku/>
        <w:wordWrap/>
        <w:overflowPunct/>
        <w:topLinePunct w:val="0"/>
        <w:autoSpaceDE/>
        <w:autoSpaceDN/>
        <w:bidi w:val="0"/>
        <w:spacing w:line="498" w:lineRule="exact"/>
        <w:ind w:firstLine="645"/>
        <w:textAlignment w:val="auto"/>
        <w:rPr>
          <w:rFonts w:eastAsia="仿宋_GB2312"/>
          <w:color w:val="000000"/>
          <w:kern w:val="0"/>
          <w:sz w:val="32"/>
          <w:szCs w:val="32"/>
        </w:rPr>
      </w:pPr>
      <w:r>
        <w:rPr>
          <w:rFonts w:hint="eastAsia" w:ascii="仿宋_GB2312" w:hAnsi="仿宋_GB2312" w:eastAsia="仿宋_GB2312" w:cs="仿宋_GB2312"/>
          <w:b/>
          <w:color w:val="000000"/>
          <w:sz w:val="32"/>
          <w:szCs w:val="32"/>
        </w:rPr>
        <w:t>4</w:t>
      </w:r>
      <w:r>
        <w:rPr>
          <w:rFonts w:hint="eastAsia" w:ascii="仿宋_GB2312" w:hAnsi="仿宋_GB2312" w:eastAsia="仿宋_GB2312" w:cs="仿宋_GB2312"/>
          <w:b/>
          <w:color w:val="000000"/>
          <w:sz w:val="32"/>
          <w:szCs w:val="32"/>
          <w:lang w:val="en-US" w:eastAsia="zh-CN"/>
        </w:rPr>
        <w:t>.</w:t>
      </w:r>
      <w:r>
        <w:rPr>
          <w:rFonts w:hint="eastAsia" w:ascii="仿宋_GB2312" w:hAnsi="仿宋_GB2312" w:eastAsia="仿宋_GB2312" w:cs="仿宋_GB2312"/>
          <w:b/>
          <w:color w:val="000000"/>
          <w:sz w:val="32"/>
          <w:szCs w:val="32"/>
        </w:rPr>
        <w:t>提升财政管理效能。</w:t>
      </w:r>
      <w:r>
        <w:rPr>
          <w:rFonts w:eastAsia="仿宋_GB2312"/>
          <w:b/>
          <w:color w:val="000000"/>
          <w:kern w:val="0"/>
          <w:sz w:val="32"/>
          <w:szCs w:val="32"/>
        </w:rPr>
        <w:t>一是</w:t>
      </w:r>
      <w:r>
        <w:rPr>
          <w:rFonts w:eastAsia="仿宋_GB2312"/>
          <w:color w:val="000000"/>
          <w:kern w:val="0"/>
          <w:sz w:val="32"/>
          <w:szCs w:val="32"/>
        </w:rPr>
        <w:t>持续</w:t>
      </w:r>
      <w:r>
        <w:rPr>
          <w:rFonts w:eastAsia="仿宋_GB2312"/>
          <w:color w:val="000000"/>
          <w:sz w:val="32"/>
          <w:szCs w:val="32"/>
        </w:rPr>
        <w:t>推进预算管理改革。</w:t>
      </w:r>
      <w:r>
        <w:rPr>
          <w:rFonts w:eastAsia="仿宋_GB2312"/>
          <w:color w:val="000000"/>
          <w:kern w:val="0"/>
          <w:sz w:val="32"/>
          <w:szCs w:val="32"/>
        </w:rPr>
        <w:t>全面落实修改后的预算法实施条例，</w:t>
      </w:r>
      <w:r>
        <w:rPr>
          <w:rFonts w:eastAsia="仿宋_GB2312"/>
          <w:color w:val="000000"/>
          <w:sz w:val="32"/>
          <w:szCs w:val="32"/>
        </w:rPr>
        <w:t>实施新《政府会计制度》，启用部门预算软件系统。</w:t>
      </w:r>
      <w:r>
        <w:rPr>
          <w:rFonts w:eastAsia="仿宋_GB2312"/>
          <w:color w:val="000000"/>
          <w:kern w:val="0"/>
          <w:sz w:val="32"/>
          <w:szCs w:val="32"/>
        </w:rPr>
        <w:t>增强预算法治意识，硬化预算约束，</w:t>
      </w:r>
      <w:r>
        <w:rPr>
          <w:rFonts w:eastAsia="仿宋_GB2312"/>
          <w:color w:val="000000"/>
          <w:sz w:val="32"/>
          <w:szCs w:val="32"/>
        </w:rPr>
        <w:t>完善全口径预算编制，提高预算编制准确性和到位率。建立健全预决算公开考核机制，进一步推进预决算公开。</w:t>
      </w:r>
      <w:r>
        <w:rPr>
          <w:rFonts w:eastAsia="仿宋_GB2312"/>
          <w:b/>
          <w:color w:val="000000"/>
          <w:sz w:val="32"/>
          <w:szCs w:val="32"/>
        </w:rPr>
        <w:t>二是</w:t>
      </w:r>
      <w:r>
        <w:rPr>
          <w:rFonts w:eastAsia="仿宋_GB2312"/>
          <w:color w:val="000000"/>
          <w:sz w:val="32"/>
          <w:szCs w:val="32"/>
        </w:rPr>
        <w:t>深化国库集中</w:t>
      </w:r>
      <w:r>
        <w:rPr>
          <w:rFonts w:hint="eastAsia" w:eastAsia="仿宋_GB2312"/>
          <w:color w:val="000000"/>
          <w:sz w:val="32"/>
          <w:szCs w:val="32"/>
        </w:rPr>
        <w:t>支</w:t>
      </w:r>
      <w:r>
        <w:rPr>
          <w:rFonts w:eastAsia="仿宋_GB2312"/>
          <w:color w:val="000000"/>
          <w:sz w:val="32"/>
          <w:szCs w:val="32"/>
        </w:rPr>
        <w:t>付改革。推进支付电子化管理，开展政府财务报告编制试点工作。</w:t>
      </w:r>
      <w:r>
        <w:rPr>
          <w:rFonts w:eastAsia="仿宋_GB2312"/>
          <w:b/>
          <w:color w:val="000000"/>
          <w:sz w:val="32"/>
          <w:szCs w:val="32"/>
        </w:rPr>
        <w:t>三是</w:t>
      </w:r>
      <w:r>
        <w:rPr>
          <w:rFonts w:eastAsia="仿宋_GB2312"/>
          <w:color w:val="000000"/>
          <w:sz w:val="32"/>
          <w:szCs w:val="32"/>
        </w:rPr>
        <w:t>规范举债行为。落实政府债务限额管理和预算约束</w:t>
      </w:r>
      <w:r>
        <w:rPr>
          <w:rFonts w:eastAsia="仿宋_GB2312"/>
          <w:bCs/>
          <w:snapToGrid w:val="0"/>
          <w:color w:val="000000"/>
          <w:spacing w:val="6"/>
          <w:kern w:val="0"/>
          <w:sz w:val="32"/>
          <w:szCs w:val="32"/>
        </w:rPr>
        <w:t>，</w:t>
      </w:r>
      <w:r>
        <w:rPr>
          <w:rFonts w:eastAsia="仿宋_GB2312"/>
          <w:color w:val="000000"/>
          <w:sz w:val="32"/>
          <w:szCs w:val="32"/>
        </w:rPr>
        <w:t>明确政府举债融资的政策边界和负面清单，全面排查政府隐性债务，防范化解政府债务风险。</w:t>
      </w:r>
      <w:r>
        <w:rPr>
          <w:rFonts w:eastAsia="仿宋_GB2312"/>
          <w:b/>
          <w:color w:val="000000"/>
          <w:kern w:val="0"/>
          <w:sz w:val="32"/>
          <w:szCs w:val="32"/>
        </w:rPr>
        <w:t>四</w:t>
      </w:r>
      <w:r>
        <w:rPr>
          <w:rFonts w:eastAsia="仿宋_GB2312"/>
          <w:b/>
          <w:color w:val="000000"/>
          <w:sz w:val="32"/>
          <w:szCs w:val="32"/>
        </w:rPr>
        <w:t>是</w:t>
      </w:r>
      <w:r>
        <w:rPr>
          <w:rFonts w:eastAsia="仿宋_GB2312"/>
          <w:color w:val="000000"/>
          <w:sz w:val="32"/>
          <w:szCs w:val="32"/>
        </w:rPr>
        <w:t>全面实施预算绩效管理。</w:t>
      </w:r>
      <w:r>
        <w:rPr>
          <w:rFonts w:hint="eastAsia" w:ascii="仿宋_GB2312" w:hAnsi="微软雅黑" w:eastAsia="仿宋_GB2312" w:cs="宋体"/>
          <w:color w:val="000000"/>
          <w:kern w:val="0"/>
          <w:sz w:val="32"/>
          <w:szCs w:val="32"/>
        </w:rPr>
        <w:t>加快建成全方位、全过程、全覆盖的预算绩效管理体系</w:t>
      </w:r>
      <w:r>
        <w:rPr>
          <w:rFonts w:eastAsia="仿宋_GB2312"/>
          <w:color w:val="000000"/>
          <w:sz w:val="32"/>
          <w:szCs w:val="32"/>
        </w:rPr>
        <w:t>，实行预算执行与绩效目标</w:t>
      </w:r>
      <w:r>
        <w:rPr>
          <w:rFonts w:hint="eastAsia" w:eastAsia="仿宋_GB2312"/>
          <w:color w:val="000000"/>
          <w:sz w:val="32"/>
          <w:szCs w:val="32"/>
          <w:lang w:eastAsia="zh-CN"/>
        </w:rPr>
        <w:t>“</w:t>
      </w:r>
      <w:r>
        <w:rPr>
          <w:rFonts w:eastAsia="仿宋_GB2312"/>
          <w:color w:val="000000"/>
          <w:sz w:val="32"/>
          <w:szCs w:val="32"/>
        </w:rPr>
        <w:t>双监控</w:t>
      </w:r>
      <w:r>
        <w:rPr>
          <w:rFonts w:hint="eastAsia" w:eastAsia="仿宋_GB2312"/>
          <w:color w:val="000000"/>
          <w:sz w:val="32"/>
          <w:szCs w:val="32"/>
          <w:lang w:eastAsia="zh-CN"/>
        </w:rPr>
        <w:t>”</w:t>
      </w:r>
      <w:r>
        <w:rPr>
          <w:rFonts w:eastAsia="仿宋_GB2312"/>
          <w:color w:val="000000"/>
          <w:sz w:val="32"/>
          <w:szCs w:val="32"/>
        </w:rPr>
        <w:t>。强化预算绩效对资金安排和使用效果的激励、约束导向作用，打通资金管理的</w:t>
      </w:r>
      <w:r>
        <w:rPr>
          <w:rFonts w:hint="eastAsia" w:eastAsia="仿宋_GB2312"/>
          <w:color w:val="000000"/>
          <w:sz w:val="32"/>
          <w:szCs w:val="32"/>
          <w:lang w:eastAsia="zh-CN"/>
        </w:rPr>
        <w:t>“</w:t>
      </w:r>
      <w:r>
        <w:rPr>
          <w:rFonts w:eastAsia="仿宋_GB2312"/>
          <w:color w:val="000000"/>
          <w:sz w:val="32"/>
          <w:szCs w:val="32"/>
        </w:rPr>
        <w:t>最后一公里</w:t>
      </w:r>
      <w:r>
        <w:rPr>
          <w:rFonts w:hint="eastAsia" w:eastAsia="仿宋_GB2312"/>
          <w:color w:val="000000"/>
          <w:sz w:val="32"/>
          <w:szCs w:val="32"/>
          <w:lang w:eastAsia="zh-CN"/>
        </w:rPr>
        <w:t>”</w:t>
      </w:r>
      <w:r>
        <w:rPr>
          <w:rFonts w:eastAsia="仿宋_GB2312"/>
          <w:color w:val="000000"/>
          <w:sz w:val="32"/>
          <w:szCs w:val="32"/>
        </w:rPr>
        <w:t>。</w:t>
      </w:r>
      <w:r>
        <w:rPr>
          <w:rFonts w:eastAsia="仿宋_GB2312"/>
          <w:b/>
          <w:snapToGrid w:val="0"/>
          <w:color w:val="000000"/>
          <w:sz w:val="32"/>
          <w:szCs w:val="32"/>
        </w:rPr>
        <w:t>五是</w:t>
      </w:r>
      <w:r>
        <w:rPr>
          <w:rFonts w:eastAsia="仿宋_GB2312"/>
          <w:color w:val="000000"/>
          <w:sz w:val="32"/>
          <w:szCs w:val="32"/>
        </w:rPr>
        <w:t>完善财政资金常态化监管机制。加强会计信息质量检查，开展</w:t>
      </w:r>
      <w:r>
        <w:rPr>
          <w:rFonts w:hint="eastAsia" w:eastAsia="仿宋_GB2312"/>
          <w:color w:val="000000"/>
          <w:sz w:val="32"/>
          <w:szCs w:val="32"/>
          <w:lang w:eastAsia="zh-CN"/>
        </w:rPr>
        <w:t>“</w:t>
      </w:r>
      <w:r>
        <w:rPr>
          <w:rFonts w:eastAsia="仿宋_GB2312"/>
          <w:color w:val="000000"/>
          <w:sz w:val="32"/>
          <w:szCs w:val="32"/>
        </w:rPr>
        <w:t>1+X</w:t>
      </w:r>
      <w:r>
        <w:rPr>
          <w:rFonts w:hint="eastAsia" w:eastAsia="仿宋_GB2312"/>
          <w:color w:val="000000"/>
          <w:sz w:val="32"/>
          <w:szCs w:val="32"/>
          <w:lang w:eastAsia="zh-CN"/>
        </w:rPr>
        <w:t>”</w:t>
      </w:r>
      <w:r>
        <w:rPr>
          <w:rFonts w:eastAsia="仿宋_GB2312"/>
          <w:color w:val="000000"/>
          <w:sz w:val="32"/>
          <w:szCs w:val="32"/>
        </w:rPr>
        <w:t>专项督查，扩大并加强涉及扶贫、惠农、救灾、社保等民生领域资金监管。</w:t>
      </w:r>
    </w:p>
    <w:p>
      <w:pPr>
        <w:keepNext w:val="0"/>
        <w:keepLines w:val="0"/>
        <w:pageBreakBefore w:val="0"/>
        <w:widowControl w:val="0"/>
        <w:pBdr>
          <w:bottom w:val="single" w:color="FFFFFF" w:sz="4" w:space="31"/>
        </w:pBdr>
        <w:kinsoku/>
        <w:wordWrap/>
        <w:overflowPunct/>
        <w:topLinePunct w:val="0"/>
        <w:autoSpaceDE/>
        <w:autoSpaceDN/>
        <w:bidi w:val="0"/>
        <w:adjustRightInd/>
        <w:snapToGrid/>
        <w:spacing w:line="498" w:lineRule="exact"/>
        <w:ind w:firstLine="646"/>
        <w:textAlignment w:val="auto"/>
        <w:rPr>
          <w:rFonts w:eastAsia="仿宋_GB2312"/>
          <w:color w:val="000000"/>
          <w:sz w:val="32"/>
          <w:szCs w:val="32"/>
        </w:rPr>
      </w:pPr>
      <w:r>
        <w:rPr>
          <w:rFonts w:eastAsia="仿宋_GB2312"/>
          <w:color w:val="000000"/>
          <w:sz w:val="32"/>
          <w:szCs w:val="32"/>
        </w:rPr>
        <w:t>各位代表，新的一年我们将在县委的坚强领导下，自觉接受人大的法律监督，虚心听取政协的意见建议，锐意进取，埋头苦干，</w:t>
      </w:r>
      <w:r>
        <w:rPr>
          <w:rFonts w:eastAsia="仿宋_GB2312"/>
          <w:color w:val="000000"/>
          <w:kern w:val="0"/>
          <w:sz w:val="32"/>
          <w:szCs w:val="32"/>
        </w:rPr>
        <w:t>扎扎实实做好财政各项工作，</w:t>
      </w:r>
      <w:r>
        <w:rPr>
          <w:rFonts w:eastAsia="仿宋_GB2312"/>
          <w:color w:val="000000"/>
          <w:sz w:val="32"/>
          <w:szCs w:val="32"/>
        </w:rPr>
        <w:t>努力完成全年目标任务，</w:t>
      </w:r>
      <w:r>
        <w:rPr>
          <w:rFonts w:eastAsia="仿宋_GB2312"/>
          <w:color w:val="000000"/>
          <w:kern w:val="0"/>
          <w:sz w:val="32"/>
          <w:szCs w:val="32"/>
        </w:rPr>
        <w:t>为</w:t>
      </w:r>
      <w:r>
        <w:rPr>
          <w:rFonts w:eastAsia="仿宋_GB2312"/>
          <w:color w:val="000000"/>
          <w:sz w:val="32"/>
          <w:szCs w:val="32"/>
        </w:rPr>
        <w:t>打造海丝路上具有国际影响力的现代化世界瓷都作出更大的贡献。</w:t>
      </w:r>
    </w:p>
    <w:p>
      <w:pPr>
        <w:keepNext w:val="0"/>
        <w:keepLines w:val="0"/>
        <w:pageBreakBefore w:val="0"/>
        <w:widowControl w:val="0"/>
        <w:pBdr>
          <w:bottom w:val="single" w:color="FFFFFF" w:sz="4" w:space="31"/>
        </w:pBdr>
        <w:kinsoku/>
        <w:wordWrap/>
        <w:overflowPunct/>
        <w:topLinePunct w:val="0"/>
        <w:autoSpaceDE/>
        <w:autoSpaceDN/>
        <w:bidi w:val="0"/>
        <w:spacing w:line="538" w:lineRule="exact"/>
        <w:ind w:firstLine="645"/>
        <w:textAlignment w:val="auto"/>
        <w:rPr>
          <w:rFonts w:eastAsia="仿宋_GB2312"/>
          <w:color w:val="000000"/>
          <w:sz w:val="32"/>
          <w:szCs w:val="32"/>
        </w:rPr>
      </w:pPr>
    </w:p>
    <w:p>
      <w:pPr>
        <w:keepNext w:val="0"/>
        <w:keepLines w:val="0"/>
        <w:pageBreakBefore w:val="0"/>
        <w:widowControl w:val="0"/>
        <w:pBdr>
          <w:bottom w:val="single" w:color="FFFFFF" w:sz="4" w:space="31"/>
        </w:pBdr>
        <w:kinsoku/>
        <w:wordWrap/>
        <w:overflowPunct/>
        <w:topLinePunct w:val="0"/>
        <w:autoSpaceDE/>
        <w:autoSpaceDN/>
        <w:bidi w:val="0"/>
        <w:spacing w:line="538" w:lineRule="exact"/>
        <w:ind w:firstLine="645"/>
        <w:textAlignment w:val="auto"/>
        <w:rPr>
          <w:rFonts w:eastAsia="仿宋_GB2312"/>
          <w:color w:val="000000"/>
          <w:sz w:val="32"/>
          <w:szCs w:val="32"/>
        </w:rPr>
      </w:pPr>
    </w:p>
    <w:p>
      <w:pPr>
        <w:keepNext w:val="0"/>
        <w:keepLines w:val="0"/>
        <w:pageBreakBefore w:val="0"/>
        <w:widowControl w:val="0"/>
        <w:pBdr>
          <w:bottom w:val="single" w:color="FFFFFF" w:sz="4" w:space="31"/>
        </w:pBdr>
        <w:kinsoku/>
        <w:wordWrap/>
        <w:overflowPunct/>
        <w:topLinePunct w:val="0"/>
        <w:autoSpaceDE/>
        <w:autoSpaceDN/>
        <w:bidi w:val="0"/>
        <w:spacing w:line="538" w:lineRule="exact"/>
        <w:ind w:firstLine="645"/>
        <w:textAlignment w:val="auto"/>
        <w:rPr>
          <w:rFonts w:eastAsia="仿宋_GB2312"/>
          <w:color w:val="000000"/>
          <w:sz w:val="32"/>
          <w:szCs w:val="32"/>
        </w:rPr>
      </w:pPr>
    </w:p>
    <w:p>
      <w:pPr>
        <w:keepNext w:val="0"/>
        <w:keepLines w:val="0"/>
        <w:pageBreakBefore w:val="0"/>
        <w:widowControl w:val="0"/>
        <w:pBdr>
          <w:bottom w:val="single" w:color="FFFFFF" w:sz="4" w:space="31"/>
        </w:pBdr>
        <w:kinsoku/>
        <w:wordWrap/>
        <w:overflowPunct/>
        <w:topLinePunct w:val="0"/>
        <w:autoSpaceDE/>
        <w:autoSpaceDN/>
        <w:bidi w:val="0"/>
        <w:spacing w:line="538" w:lineRule="exact"/>
        <w:ind w:firstLine="645"/>
        <w:textAlignment w:val="auto"/>
        <w:rPr>
          <w:rFonts w:eastAsia="仿宋_GB2312"/>
          <w:color w:val="000000"/>
          <w:sz w:val="32"/>
          <w:szCs w:val="32"/>
        </w:rPr>
      </w:pPr>
    </w:p>
    <w:p>
      <w:pPr>
        <w:keepNext w:val="0"/>
        <w:keepLines w:val="0"/>
        <w:pageBreakBefore w:val="0"/>
        <w:widowControl w:val="0"/>
        <w:pBdr>
          <w:bottom w:val="single" w:color="FFFFFF" w:sz="4" w:space="31"/>
        </w:pBdr>
        <w:kinsoku/>
        <w:wordWrap/>
        <w:overflowPunct/>
        <w:topLinePunct w:val="0"/>
        <w:autoSpaceDE/>
        <w:autoSpaceDN/>
        <w:bidi w:val="0"/>
        <w:spacing w:line="538" w:lineRule="exact"/>
        <w:ind w:firstLine="645"/>
        <w:textAlignment w:val="auto"/>
        <w:rPr>
          <w:rFonts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38"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表一</w:t>
      </w:r>
    </w:p>
    <w:p>
      <w:pPr>
        <w:keepNext w:val="0"/>
        <w:keepLines w:val="0"/>
        <w:pageBreakBefore w:val="0"/>
        <w:widowControl w:val="0"/>
        <w:kinsoku/>
        <w:wordWrap/>
        <w:overflowPunct/>
        <w:topLinePunct w:val="0"/>
        <w:autoSpaceDE/>
        <w:autoSpaceDN/>
        <w:bidi w:val="0"/>
        <w:adjustRightInd/>
        <w:snapToGrid/>
        <w:spacing w:line="538" w:lineRule="exact"/>
        <w:jc w:val="center"/>
        <w:textAlignment w:val="auto"/>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rPr>
        <w:t>2018年德化县一般公共预算收入情况表</w:t>
      </w:r>
    </w:p>
    <w:p>
      <w:pPr>
        <w:keepNext w:val="0"/>
        <w:keepLines w:val="0"/>
        <w:pageBreakBefore w:val="0"/>
        <w:widowControl w:val="0"/>
        <w:kinsoku/>
        <w:wordWrap/>
        <w:overflowPunct/>
        <w:topLinePunct w:val="0"/>
        <w:autoSpaceDE/>
        <w:autoSpaceDN/>
        <w:bidi w:val="0"/>
        <w:adjustRightInd/>
        <w:snapToGrid/>
        <w:spacing w:line="538" w:lineRule="exact"/>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单位：万元</w:t>
      </w:r>
    </w:p>
    <w:tbl>
      <w:tblPr>
        <w:tblStyle w:val="8"/>
        <w:tblW w:w="92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6"/>
        <w:gridCol w:w="997"/>
        <w:gridCol w:w="997"/>
        <w:gridCol w:w="997"/>
        <w:gridCol w:w="842"/>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4446"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科</w:t>
            </w:r>
            <w:r>
              <w:rPr>
                <w:rFonts w:eastAsia="仿宋_GB2312"/>
                <w:color w:val="000000"/>
                <w:kern w:val="0"/>
                <w:sz w:val="24"/>
              </w:rPr>
              <w:t xml:space="preserve">   </w:t>
            </w:r>
            <w:r>
              <w:rPr>
                <w:rFonts w:hint="eastAsia" w:ascii="仿宋_GB2312" w:hAnsi="Arial" w:eastAsia="仿宋_GB2312" w:cs="Arial"/>
                <w:color w:val="000000"/>
                <w:kern w:val="0"/>
                <w:sz w:val="24"/>
              </w:rPr>
              <w:t>目</w:t>
            </w:r>
          </w:p>
        </w:tc>
        <w:tc>
          <w:tcPr>
            <w:tcW w:w="997"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2017</w:t>
            </w:r>
            <w:r>
              <w:rPr>
                <w:rFonts w:hint="eastAsia" w:ascii="仿宋_GB2312" w:eastAsia="仿宋_GB2312"/>
                <w:color w:val="000000"/>
                <w:kern w:val="0"/>
                <w:sz w:val="24"/>
              </w:rPr>
              <w:t>年收入数</w:t>
            </w:r>
          </w:p>
        </w:tc>
        <w:tc>
          <w:tcPr>
            <w:tcW w:w="997"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2018</w:t>
            </w:r>
            <w:r>
              <w:rPr>
                <w:rFonts w:hint="eastAsia" w:ascii="仿宋_GB2312" w:eastAsia="仿宋_GB2312"/>
                <w:color w:val="000000"/>
                <w:kern w:val="0"/>
                <w:sz w:val="24"/>
              </w:rPr>
              <w:t>年调整预算数</w:t>
            </w:r>
          </w:p>
        </w:tc>
        <w:tc>
          <w:tcPr>
            <w:tcW w:w="2801"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2018</w:t>
            </w:r>
            <w:r>
              <w:rPr>
                <w:rFonts w:hint="eastAsia" w:ascii="仿宋_GB2312" w:eastAsia="仿宋_GB2312"/>
                <w:color w:val="000000"/>
                <w:kern w:val="0"/>
                <w:sz w:val="24"/>
              </w:rPr>
              <w:t>年收入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4446"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Arial" w:eastAsia="仿宋_GB2312" w:cs="Arial"/>
                <w:color w:val="000000"/>
                <w:kern w:val="0"/>
                <w:sz w:val="24"/>
              </w:rPr>
            </w:pPr>
          </w:p>
        </w:tc>
        <w:tc>
          <w:tcPr>
            <w:tcW w:w="99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color w:val="000000"/>
                <w:kern w:val="0"/>
                <w:sz w:val="24"/>
              </w:rPr>
            </w:pPr>
          </w:p>
        </w:tc>
        <w:tc>
          <w:tcPr>
            <w:tcW w:w="99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color w:val="000000"/>
                <w:kern w:val="0"/>
                <w:sz w:val="24"/>
              </w:rPr>
            </w:pP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预计数</w:t>
            </w:r>
          </w:p>
        </w:tc>
        <w:tc>
          <w:tcPr>
            <w:tcW w:w="84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占预算</w:t>
            </w:r>
            <w:r>
              <w:rPr>
                <w:rFonts w:eastAsia="仿宋_GB2312"/>
                <w:color w:val="000000"/>
                <w:kern w:val="0"/>
                <w:sz w:val="24"/>
              </w:rPr>
              <w:t>%</w:t>
            </w:r>
          </w:p>
        </w:tc>
        <w:tc>
          <w:tcPr>
            <w:tcW w:w="9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lang w:eastAsia="zh-CN"/>
              </w:rPr>
              <w:t>比上年</w:t>
            </w:r>
            <w:r>
              <w:rPr>
                <w:rFonts w:hint="eastAsia" w:ascii="仿宋_GB2312" w:hAnsi="Arial" w:eastAsia="仿宋_GB2312" w:cs="Arial"/>
                <w:color w:val="000000"/>
                <w:kern w:val="0"/>
                <w:sz w:val="24"/>
              </w:rPr>
              <w:t>增长</w:t>
            </w:r>
            <w:r>
              <w:rPr>
                <w:rFonts w:eastAsia="仿宋_GB2312"/>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44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一、一般公共预算收入</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110,166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117,900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118,164 </w:t>
            </w:r>
          </w:p>
        </w:tc>
        <w:tc>
          <w:tcPr>
            <w:tcW w:w="84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100.2 </w:t>
            </w:r>
          </w:p>
        </w:tc>
        <w:tc>
          <w:tcPr>
            <w:tcW w:w="9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44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（一）税收收入</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76,898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85,400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85,311 </w:t>
            </w:r>
          </w:p>
        </w:tc>
        <w:tc>
          <w:tcPr>
            <w:tcW w:w="84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99.9 </w:t>
            </w:r>
          </w:p>
        </w:tc>
        <w:tc>
          <w:tcPr>
            <w:tcW w:w="9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44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color w:val="000000"/>
                <w:kern w:val="0"/>
                <w:sz w:val="24"/>
              </w:rPr>
            </w:pPr>
            <w:r>
              <w:rPr>
                <w:color w:val="000000"/>
                <w:kern w:val="0"/>
                <w:sz w:val="24"/>
              </w:rPr>
              <w:t xml:space="preserve">      1.</w:t>
            </w:r>
            <w:r>
              <w:rPr>
                <w:rFonts w:hint="eastAsia" w:ascii="仿宋_GB2312" w:eastAsia="仿宋_GB2312"/>
                <w:color w:val="000000"/>
                <w:kern w:val="0"/>
                <w:sz w:val="24"/>
              </w:rPr>
              <w:t>增值税</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33,484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36,460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31,839 </w:t>
            </w:r>
          </w:p>
        </w:tc>
        <w:tc>
          <w:tcPr>
            <w:tcW w:w="84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87.3 </w:t>
            </w:r>
          </w:p>
        </w:tc>
        <w:tc>
          <w:tcPr>
            <w:tcW w:w="9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44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color w:val="000000"/>
                <w:kern w:val="0"/>
                <w:sz w:val="24"/>
              </w:rPr>
            </w:pPr>
            <w:r>
              <w:rPr>
                <w:color w:val="000000"/>
                <w:kern w:val="0"/>
                <w:sz w:val="24"/>
              </w:rPr>
              <w:t xml:space="preserve">      2.</w:t>
            </w:r>
            <w:r>
              <w:rPr>
                <w:rFonts w:hint="eastAsia" w:ascii="仿宋_GB2312" w:eastAsia="仿宋_GB2312"/>
                <w:color w:val="000000"/>
                <w:kern w:val="0"/>
                <w:sz w:val="24"/>
              </w:rPr>
              <w:t>企业所得税</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9,174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10,260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13,534 </w:t>
            </w:r>
          </w:p>
        </w:tc>
        <w:tc>
          <w:tcPr>
            <w:tcW w:w="84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131.9 </w:t>
            </w:r>
          </w:p>
        </w:tc>
        <w:tc>
          <w:tcPr>
            <w:tcW w:w="9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47.5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44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color w:val="000000"/>
                <w:kern w:val="0"/>
                <w:sz w:val="24"/>
              </w:rPr>
            </w:pPr>
            <w:r>
              <w:rPr>
                <w:color w:val="000000"/>
                <w:kern w:val="0"/>
                <w:sz w:val="24"/>
              </w:rPr>
              <w:t xml:space="preserve">      3.</w:t>
            </w:r>
            <w:r>
              <w:rPr>
                <w:rFonts w:hint="eastAsia" w:ascii="仿宋_GB2312" w:eastAsia="仿宋_GB2312"/>
                <w:color w:val="000000"/>
                <w:kern w:val="0"/>
                <w:sz w:val="24"/>
              </w:rPr>
              <w:t>个人所得税</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4,722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4,796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4,748 </w:t>
            </w:r>
          </w:p>
        </w:tc>
        <w:tc>
          <w:tcPr>
            <w:tcW w:w="84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99.0 </w:t>
            </w:r>
          </w:p>
        </w:tc>
        <w:tc>
          <w:tcPr>
            <w:tcW w:w="9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44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color w:val="000000"/>
                <w:kern w:val="0"/>
                <w:sz w:val="24"/>
              </w:rPr>
            </w:pPr>
            <w:r>
              <w:rPr>
                <w:color w:val="000000"/>
                <w:kern w:val="0"/>
                <w:sz w:val="24"/>
              </w:rPr>
              <w:t xml:space="preserve">      4.</w:t>
            </w:r>
            <w:r>
              <w:rPr>
                <w:rFonts w:hint="eastAsia" w:ascii="仿宋_GB2312" w:eastAsia="仿宋_GB2312"/>
                <w:color w:val="000000"/>
                <w:kern w:val="0"/>
                <w:sz w:val="24"/>
              </w:rPr>
              <w:t>资源税</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1,396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1,483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1,551 </w:t>
            </w:r>
          </w:p>
        </w:tc>
        <w:tc>
          <w:tcPr>
            <w:tcW w:w="84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104.6 </w:t>
            </w:r>
          </w:p>
        </w:tc>
        <w:tc>
          <w:tcPr>
            <w:tcW w:w="9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44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color w:val="000000"/>
                <w:kern w:val="0"/>
                <w:sz w:val="24"/>
              </w:rPr>
            </w:pPr>
            <w:r>
              <w:rPr>
                <w:color w:val="000000"/>
                <w:kern w:val="0"/>
                <w:sz w:val="24"/>
              </w:rPr>
              <w:t xml:space="preserve">      5.</w:t>
            </w:r>
            <w:r>
              <w:rPr>
                <w:rFonts w:hint="eastAsia" w:ascii="仿宋_GB2312" w:eastAsia="仿宋_GB2312"/>
                <w:color w:val="000000"/>
                <w:kern w:val="0"/>
                <w:sz w:val="24"/>
              </w:rPr>
              <w:t>城市维护建设税</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3,791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3,816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3,871 </w:t>
            </w:r>
          </w:p>
        </w:tc>
        <w:tc>
          <w:tcPr>
            <w:tcW w:w="84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101.4 </w:t>
            </w:r>
          </w:p>
        </w:tc>
        <w:tc>
          <w:tcPr>
            <w:tcW w:w="9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44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color w:val="000000"/>
                <w:kern w:val="0"/>
                <w:sz w:val="24"/>
              </w:rPr>
            </w:pPr>
            <w:r>
              <w:rPr>
                <w:color w:val="000000"/>
                <w:kern w:val="0"/>
                <w:sz w:val="24"/>
              </w:rPr>
              <w:t xml:space="preserve">      6.</w:t>
            </w:r>
            <w:r>
              <w:rPr>
                <w:rFonts w:hint="eastAsia" w:ascii="仿宋_GB2312" w:eastAsia="仿宋_GB2312"/>
                <w:color w:val="000000"/>
                <w:kern w:val="0"/>
                <w:sz w:val="24"/>
              </w:rPr>
              <w:t>房产税</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4,474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4,915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4,696 </w:t>
            </w:r>
          </w:p>
        </w:tc>
        <w:tc>
          <w:tcPr>
            <w:tcW w:w="84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95.5 </w:t>
            </w:r>
          </w:p>
        </w:tc>
        <w:tc>
          <w:tcPr>
            <w:tcW w:w="9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44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color w:val="000000"/>
                <w:kern w:val="0"/>
                <w:sz w:val="24"/>
              </w:rPr>
            </w:pPr>
            <w:r>
              <w:rPr>
                <w:color w:val="000000"/>
                <w:kern w:val="0"/>
                <w:sz w:val="24"/>
              </w:rPr>
              <w:t xml:space="preserve">      7.</w:t>
            </w:r>
            <w:r>
              <w:rPr>
                <w:rFonts w:hint="eastAsia" w:ascii="仿宋_GB2312" w:eastAsia="仿宋_GB2312"/>
                <w:color w:val="000000"/>
                <w:kern w:val="0"/>
                <w:sz w:val="24"/>
              </w:rPr>
              <w:t>印花税</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839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840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972 </w:t>
            </w:r>
          </w:p>
        </w:tc>
        <w:tc>
          <w:tcPr>
            <w:tcW w:w="84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115.7 </w:t>
            </w:r>
          </w:p>
        </w:tc>
        <w:tc>
          <w:tcPr>
            <w:tcW w:w="9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44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color w:val="000000"/>
                <w:kern w:val="0"/>
                <w:sz w:val="24"/>
              </w:rPr>
            </w:pPr>
            <w:r>
              <w:rPr>
                <w:color w:val="000000"/>
                <w:kern w:val="0"/>
                <w:sz w:val="24"/>
              </w:rPr>
              <w:t xml:space="preserve">      8.</w:t>
            </w:r>
            <w:r>
              <w:rPr>
                <w:rFonts w:hint="eastAsia" w:ascii="仿宋_GB2312" w:eastAsia="仿宋_GB2312"/>
                <w:color w:val="000000"/>
                <w:kern w:val="0"/>
                <w:sz w:val="24"/>
              </w:rPr>
              <w:t>城镇土地使用税</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2,730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2,988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2,910 </w:t>
            </w:r>
          </w:p>
        </w:tc>
        <w:tc>
          <w:tcPr>
            <w:tcW w:w="84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97.4 </w:t>
            </w:r>
          </w:p>
        </w:tc>
        <w:tc>
          <w:tcPr>
            <w:tcW w:w="9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44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color w:val="000000"/>
                <w:kern w:val="0"/>
                <w:sz w:val="24"/>
              </w:rPr>
            </w:pPr>
            <w:r>
              <w:rPr>
                <w:color w:val="000000"/>
                <w:kern w:val="0"/>
                <w:sz w:val="24"/>
              </w:rPr>
              <w:t xml:space="preserve">      9.</w:t>
            </w:r>
            <w:r>
              <w:rPr>
                <w:rFonts w:hint="eastAsia" w:ascii="仿宋_GB2312" w:eastAsia="仿宋_GB2312"/>
                <w:color w:val="000000"/>
                <w:kern w:val="0"/>
                <w:sz w:val="24"/>
              </w:rPr>
              <w:t>土地增值税</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9,525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10,195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10,942 </w:t>
            </w:r>
          </w:p>
        </w:tc>
        <w:tc>
          <w:tcPr>
            <w:tcW w:w="84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107.3 </w:t>
            </w:r>
          </w:p>
        </w:tc>
        <w:tc>
          <w:tcPr>
            <w:tcW w:w="9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44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color w:val="000000"/>
                <w:kern w:val="0"/>
                <w:sz w:val="24"/>
              </w:rPr>
            </w:pPr>
            <w:r>
              <w:rPr>
                <w:color w:val="000000"/>
                <w:kern w:val="0"/>
                <w:sz w:val="24"/>
              </w:rPr>
              <w:t xml:space="preserve">      10.</w:t>
            </w:r>
            <w:r>
              <w:rPr>
                <w:rFonts w:hint="eastAsia" w:ascii="仿宋_GB2312" w:eastAsia="仿宋_GB2312"/>
                <w:color w:val="000000"/>
                <w:kern w:val="0"/>
                <w:sz w:val="24"/>
              </w:rPr>
              <w:t>车船税</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1,041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1,062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1,256 </w:t>
            </w:r>
          </w:p>
        </w:tc>
        <w:tc>
          <w:tcPr>
            <w:tcW w:w="84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118.3 </w:t>
            </w:r>
          </w:p>
        </w:tc>
        <w:tc>
          <w:tcPr>
            <w:tcW w:w="9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20.7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44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color w:val="000000"/>
                <w:kern w:val="0"/>
                <w:sz w:val="24"/>
              </w:rPr>
            </w:pPr>
            <w:r>
              <w:rPr>
                <w:color w:val="000000"/>
                <w:kern w:val="0"/>
                <w:sz w:val="24"/>
              </w:rPr>
              <w:t xml:space="preserve">      11.</w:t>
            </w:r>
            <w:r>
              <w:rPr>
                <w:rFonts w:hint="eastAsia" w:ascii="仿宋_GB2312" w:eastAsia="仿宋_GB2312"/>
                <w:color w:val="000000"/>
                <w:kern w:val="0"/>
                <w:sz w:val="24"/>
              </w:rPr>
              <w:t>耕地占用税</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2,336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2,000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1,990 </w:t>
            </w:r>
          </w:p>
        </w:tc>
        <w:tc>
          <w:tcPr>
            <w:tcW w:w="84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99.5 </w:t>
            </w:r>
          </w:p>
        </w:tc>
        <w:tc>
          <w:tcPr>
            <w:tcW w:w="9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44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color w:val="000000"/>
                <w:kern w:val="0"/>
                <w:sz w:val="24"/>
              </w:rPr>
            </w:pPr>
            <w:r>
              <w:rPr>
                <w:color w:val="000000"/>
                <w:kern w:val="0"/>
                <w:sz w:val="24"/>
              </w:rPr>
              <w:t xml:space="preserve">      12.</w:t>
            </w:r>
            <w:r>
              <w:rPr>
                <w:rFonts w:hint="eastAsia" w:ascii="仿宋_GB2312" w:eastAsia="仿宋_GB2312"/>
                <w:color w:val="000000"/>
                <w:kern w:val="0"/>
                <w:sz w:val="24"/>
              </w:rPr>
              <w:t>契税</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3,386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6,435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6,878 </w:t>
            </w:r>
          </w:p>
        </w:tc>
        <w:tc>
          <w:tcPr>
            <w:tcW w:w="84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106.9 </w:t>
            </w:r>
          </w:p>
        </w:tc>
        <w:tc>
          <w:tcPr>
            <w:tcW w:w="9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103.1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44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color w:val="000000"/>
                <w:kern w:val="0"/>
                <w:sz w:val="24"/>
              </w:rPr>
            </w:pPr>
            <w:r>
              <w:rPr>
                <w:color w:val="000000"/>
                <w:kern w:val="0"/>
                <w:sz w:val="24"/>
              </w:rPr>
              <w:t xml:space="preserve">      13.</w:t>
            </w:r>
            <w:r>
              <w:rPr>
                <w:rFonts w:hint="eastAsia" w:ascii="仿宋_GB2312" w:eastAsia="仿宋_GB2312"/>
                <w:color w:val="000000"/>
                <w:kern w:val="0"/>
                <w:sz w:val="24"/>
              </w:rPr>
              <w:t>环境保护税</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150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124 </w:t>
            </w:r>
          </w:p>
        </w:tc>
        <w:tc>
          <w:tcPr>
            <w:tcW w:w="84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82.7 </w:t>
            </w:r>
          </w:p>
        </w:tc>
        <w:tc>
          <w:tcPr>
            <w:tcW w:w="9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44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（二）非税收入</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33,268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32,500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32,853 </w:t>
            </w:r>
          </w:p>
        </w:tc>
        <w:tc>
          <w:tcPr>
            <w:tcW w:w="84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101.1 </w:t>
            </w:r>
          </w:p>
        </w:tc>
        <w:tc>
          <w:tcPr>
            <w:tcW w:w="9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44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color w:val="000000"/>
                <w:kern w:val="0"/>
                <w:sz w:val="24"/>
              </w:rPr>
            </w:pPr>
            <w:r>
              <w:rPr>
                <w:color w:val="000000"/>
                <w:kern w:val="0"/>
                <w:sz w:val="24"/>
              </w:rPr>
              <w:t xml:space="preserve">      1.</w:t>
            </w:r>
            <w:r>
              <w:rPr>
                <w:rFonts w:hint="eastAsia" w:ascii="仿宋_GB2312" w:eastAsia="仿宋_GB2312"/>
                <w:color w:val="000000"/>
                <w:kern w:val="0"/>
                <w:sz w:val="24"/>
              </w:rPr>
              <w:t>专项收入</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5,903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5,543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6,782 </w:t>
            </w:r>
          </w:p>
        </w:tc>
        <w:tc>
          <w:tcPr>
            <w:tcW w:w="84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122.4 </w:t>
            </w:r>
          </w:p>
        </w:tc>
        <w:tc>
          <w:tcPr>
            <w:tcW w:w="9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44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color w:val="000000"/>
                <w:kern w:val="0"/>
                <w:sz w:val="24"/>
              </w:rPr>
            </w:pPr>
            <w:r>
              <w:rPr>
                <w:color w:val="000000"/>
                <w:kern w:val="0"/>
                <w:sz w:val="24"/>
              </w:rPr>
              <w:t xml:space="preserve">      2.</w:t>
            </w:r>
            <w:r>
              <w:rPr>
                <w:rFonts w:hint="eastAsia" w:ascii="仿宋_GB2312" w:eastAsia="仿宋_GB2312"/>
                <w:color w:val="000000"/>
                <w:kern w:val="0"/>
                <w:sz w:val="24"/>
              </w:rPr>
              <w:t>行政事业性收费收入</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9,208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6,058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5,426 </w:t>
            </w:r>
          </w:p>
        </w:tc>
        <w:tc>
          <w:tcPr>
            <w:tcW w:w="84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89.6 </w:t>
            </w:r>
          </w:p>
        </w:tc>
        <w:tc>
          <w:tcPr>
            <w:tcW w:w="9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-41.1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44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color w:val="000000"/>
                <w:kern w:val="0"/>
                <w:sz w:val="24"/>
              </w:rPr>
            </w:pPr>
            <w:r>
              <w:rPr>
                <w:color w:val="000000"/>
                <w:kern w:val="0"/>
                <w:sz w:val="24"/>
              </w:rPr>
              <w:t xml:space="preserve">      3.</w:t>
            </w:r>
            <w:r>
              <w:rPr>
                <w:rFonts w:hint="eastAsia" w:ascii="仿宋_GB2312" w:eastAsia="仿宋_GB2312"/>
                <w:color w:val="000000"/>
                <w:kern w:val="0"/>
                <w:sz w:val="24"/>
              </w:rPr>
              <w:t>罚没收入</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4,203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3,532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3,489 </w:t>
            </w:r>
          </w:p>
        </w:tc>
        <w:tc>
          <w:tcPr>
            <w:tcW w:w="84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98.8 </w:t>
            </w:r>
          </w:p>
        </w:tc>
        <w:tc>
          <w:tcPr>
            <w:tcW w:w="9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44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color w:val="000000"/>
                <w:kern w:val="0"/>
                <w:sz w:val="24"/>
              </w:rPr>
            </w:pPr>
            <w:r>
              <w:rPr>
                <w:color w:val="000000"/>
                <w:kern w:val="0"/>
                <w:sz w:val="24"/>
              </w:rPr>
              <w:t xml:space="preserve">      4.</w:t>
            </w:r>
            <w:r>
              <w:rPr>
                <w:rFonts w:hint="eastAsia" w:ascii="仿宋_GB2312" w:eastAsia="仿宋_GB2312"/>
                <w:color w:val="000000"/>
                <w:kern w:val="0"/>
                <w:sz w:val="24"/>
              </w:rPr>
              <w:t>国有资本经营收入</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7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w:t>
            </w:r>
          </w:p>
        </w:tc>
        <w:tc>
          <w:tcPr>
            <w:tcW w:w="84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w:t>
            </w:r>
          </w:p>
        </w:tc>
        <w:tc>
          <w:tcPr>
            <w:tcW w:w="9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4446"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color w:val="000000"/>
                <w:kern w:val="0"/>
                <w:sz w:val="24"/>
              </w:rPr>
            </w:pPr>
            <w:r>
              <w:rPr>
                <w:color w:val="000000"/>
                <w:kern w:val="0"/>
                <w:sz w:val="24"/>
              </w:rPr>
              <w:t xml:space="preserve">      5.</w:t>
            </w:r>
            <w:r>
              <w:rPr>
                <w:rFonts w:hint="eastAsia" w:ascii="仿宋_GB2312" w:eastAsia="仿宋_GB2312"/>
                <w:color w:val="000000"/>
                <w:kern w:val="0"/>
                <w:sz w:val="24"/>
              </w:rPr>
              <w:t>国有资源（资产）有偿使用收入</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13,692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17,162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16,955 </w:t>
            </w:r>
          </w:p>
        </w:tc>
        <w:tc>
          <w:tcPr>
            <w:tcW w:w="84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98.8 </w:t>
            </w:r>
          </w:p>
        </w:tc>
        <w:tc>
          <w:tcPr>
            <w:tcW w:w="9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23.8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44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color w:val="000000"/>
                <w:kern w:val="0"/>
                <w:sz w:val="24"/>
              </w:rPr>
            </w:pPr>
            <w:r>
              <w:rPr>
                <w:color w:val="000000"/>
                <w:kern w:val="0"/>
                <w:sz w:val="24"/>
              </w:rPr>
              <w:t xml:space="preserve">      6.</w:t>
            </w:r>
            <w:r>
              <w:rPr>
                <w:rFonts w:hint="eastAsia" w:ascii="仿宋_GB2312" w:eastAsia="仿宋_GB2312"/>
                <w:color w:val="000000"/>
                <w:kern w:val="0"/>
                <w:sz w:val="24"/>
              </w:rPr>
              <w:t>政府住房基金收入</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80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76 </w:t>
            </w:r>
          </w:p>
        </w:tc>
        <w:tc>
          <w:tcPr>
            <w:tcW w:w="84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95.0 </w:t>
            </w:r>
          </w:p>
        </w:tc>
        <w:tc>
          <w:tcPr>
            <w:tcW w:w="9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44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color w:val="000000"/>
                <w:kern w:val="0"/>
                <w:sz w:val="24"/>
              </w:rPr>
            </w:pPr>
            <w:r>
              <w:rPr>
                <w:color w:val="000000"/>
                <w:kern w:val="0"/>
                <w:sz w:val="24"/>
              </w:rPr>
              <w:t xml:space="preserve">      7.</w:t>
            </w:r>
            <w:r>
              <w:rPr>
                <w:rFonts w:hint="eastAsia" w:ascii="仿宋_GB2312" w:eastAsia="仿宋_GB2312"/>
                <w:color w:val="000000"/>
                <w:kern w:val="0"/>
                <w:sz w:val="24"/>
              </w:rPr>
              <w:t>其他收入</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255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125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125 </w:t>
            </w:r>
          </w:p>
        </w:tc>
        <w:tc>
          <w:tcPr>
            <w:tcW w:w="84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100.0 </w:t>
            </w:r>
          </w:p>
        </w:tc>
        <w:tc>
          <w:tcPr>
            <w:tcW w:w="9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-51.0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4446"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二、上划中央收入</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54,375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59,100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59,304 </w:t>
            </w:r>
          </w:p>
        </w:tc>
        <w:tc>
          <w:tcPr>
            <w:tcW w:w="84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100.3 </w:t>
            </w:r>
          </w:p>
        </w:tc>
        <w:tc>
          <w:tcPr>
            <w:tcW w:w="9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4446"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color w:val="000000"/>
                <w:kern w:val="0"/>
                <w:sz w:val="24"/>
              </w:rPr>
            </w:pPr>
            <w:r>
              <w:rPr>
                <w:color w:val="000000"/>
                <w:kern w:val="0"/>
                <w:sz w:val="24"/>
              </w:rPr>
              <w:t xml:space="preserve">      1.</w:t>
            </w:r>
            <w:r>
              <w:rPr>
                <w:rFonts w:hint="eastAsia" w:ascii="仿宋_GB2312" w:eastAsia="仿宋_GB2312"/>
                <w:color w:val="000000"/>
                <w:kern w:val="0"/>
                <w:sz w:val="24"/>
              </w:rPr>
              <w:t>增值税</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33,483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36,460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31,839 </w:t>
            </w:r>
          </w:p>
        </w:tc>
        <w:tc>
          <w:tcPr>
            <w:tcW w:w="84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87.3 </w:t>
            </w:r>
          </w:p>
        </w:tc>
        <w:tc>
          <w:tcPr>
            <w:tcW w:w="9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4446"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color w:val="000000"/>
                <w:kern w:val="0"/>
                <w:sz w:val="24"/>
              </w:rPr>
            </w:pPr>
            <w:r>
              <w:rPr>
                <w:color w:val="000000"/>
                <w:kern w:val="0"/>
                <w:sz w:val="24"/>
              </w:rPr>
              <w:t xml:space="preserve">      2.</w:t>
            </w:r>
            <w:r>
              <w:rPr>
                <w:rFonts w:hint="eastAsia" w:ascii="仿宋_GB2312" w:eastAsia="仿宋_GB2312"/>
                <w:color w:val="000000"/>
                <w:kern w:val="0"/>
                <w:sz w:val="24"/>
              </w:rPr>
              <w:t>消费税</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48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56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42 </w:t>
            </w:r>
          </w:p>
        </w:tc>
        <w:tc>
          <w:tcPr>
            <w:tcW w:w="84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75.0 </w:t>
            </w:r>
          </w:p>
        </w:tc>
        <w:tc>
          <w:tcPr>
            <w:tcW w:w="9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4446"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color w:val="000000"/>
                <w:kern w:val="0"/>
                <w:sz w:val="24"/>
              </w:rPr>
            </w:pPr>
            <w:r>
              <w:rPr>
                <w:color w:val="000000"/>
                <w:kern w:val="0"/>
                <w:sz w:val="24"/>
              </w:rPr>
              <w:t xml:space="preserve">      3.</w:t>
            </w:r>
            <w:r>
              <w:rPr>
                <w:rFonts w:hint="eastAsia" w:ascii="仿宋_GB2312" w:eastAsia="仿宋_GB2312"/>
                <w:color w:val="000000"/>
                <w:kern w:val="0"/>
                <w:sz w:val="24"/>
              </w:rPr>
              <w:t>企业所得税</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13,761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15,390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20,301 </w:t>
            </w:r>
          </w:p>
        </w:tc>
        <w:tc>
          <w:tcPr>
            <w:tcW w:w="84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131.9 </w:t>
            </w:r>
          </w:p>
        </w:tc>
        <w:tc>
          <w:tcPr>
            <w:tcW w:w="9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47.5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4446"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color w:val="000000"/>
                <w:kern w:val="0"/>
                <w:sz w:val="24"/>
              </w:rPr>
            </w:pPr>
            <w:r>
              <w:rPr>
                <w:color w:val="000000"/>
                <w:kern w:val="0"/>
                <w:sz w:val="24"/>
              </w:rPr>
              <w:t xml:space="preserve">      4.</w:t>
            </w:r>
            <w:r>
              <w:rPr>
                <w:rFonts w:hint="eastAsia" w:ascii="仿宋_GB2312" w:eastAsia="仿宋_GB2312"/>
                <w:color w:val="000000"/>
                <w:kern w:val="0"/>
                <w:sz w:val="24"/>
              </w:rPr>
              <w:t>个人所得税</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7,083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7,194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7,122 </w:t>
            </w:r>
          </w:p>
        </w:tc>
        <w:tc>
          <w:tcPr>
            <w:tcW w:w="84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99.0 </w:t>
            </w:r>
          </w:p>
        </w:tc>
        <w:tc>
          <w:tcPr>
            <w:tcW w:w="9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4446"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三、一般公共预算总收入</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164,541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177,000 </w:t>
            </w:r>
          </w:p>
        </w:tc>
        <w:tc>
          <w:tcPr>
            <w:tcW w:w="99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177,468 </w:t>
            </w:r>
          </w:p>
        </w:tc>
        <w:tc>
          <w:tcPr>
            <w:tcW w:w="84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100.3 </w:t>
            </w:r>
          </w:p>
        </w:tc>
        <w:tc>
          <w:tcPr>
            <w:tcW w:w="9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7.9 </w:t>
            </w:r>
          </w:p>
        </w:tc>
      </w:tr>
    </w:tbl>
    <w:p>
      <w:pPr>
        <w:keepNext w:val="0"/>
        <w:keepLines w:val="0"/>
        <w:pageBreakBefore w:val="0"/>
        <w:widowControl w:val="0"/>
        <w:kinsoku/>
        <w:wordWrap/>
        <w:overflowPunct/>
        <w:topLinePunct w:val="0"/>
        <w:autoSpaceDE/>
        <w:autoSpaceDN/>
        <w:bidi w:val="0"/>
        <w:adjustRightInd/>
        <w:snapToGrid/>
        <w:spacing w:line="538" w:lineRule="exact"/>
        <w:textAlignment w:val="auto"/>
        <w:rPr>
          <w:rFonts w:hint="eastAsia" w:ascii="仿宋_GB2312" w:hAnsi="仿宋_GB2312" w:eastAsia="仿宋_GB2312" w:cs="仿宋_GB2312"/>
          <w:sz w:val="24"/>
          <w:szCs w:val="24"/>
        </w:rPr>
      </w:pPr>
      <w:bookmarkStart w:id="3" w:name="RANGE!A1:D29"/>
      <w:r>
        <w:rPr>
          <w:rFonts w:hint="eastAsia" w:ascii="仿宋_GB2312" w:hAnsi="仿宋_GB2312" w:eastAsia="仿宋_GB2312" w:cs="仿宋_GB2312"/>
          <w:sz w:val="24"/>
          <w:szCs w:val="24"/>
        </w:rPr>
        <w:t>表二</w:t>
      </w:r>
      <w:bookmarkEnd w:id="3"/>
    </w:p>
    <w:p>
      <w:pPr>
        <w:keepNext w:val="0"/>
        <w:keepLines w:val="0"/>
        <w:pageBreakBefore w:val="0"/>
        <w:widowControl w:val="0"/>
        <w:kinsoku/>
        <w:wordWrap/>
        <w:overflowPunct/>
        <w:topLinePunct w:val="0"/>
        <w:autoSpaceDE/>
        <w:autoSpaceDN/>
        <w:bidi w:val="0"/>
        <w:adjustRightInd/>
        <w:snapToGrid/>
        <w:spacing w:line="538"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2018年德化县一般公共预算支出情况表</w:t>
      </w:r>
    </w:p>
    <w:p>
      <w:pPr>
        <w:keepNext w:val="0"/>
        <w:keepLines w:val="0"/>
        <w:pageBreakBefore w:val="0"/>
        <w:widowControl w:val="0"/>
        <w:kinsoku/>
        <w:wordWrap/>
        <w:overflowPunct/>
        <w:topLinePunct w:val="0"/>
        <w:autoSpaceDE/>
        <w:autoSpaceDN/>
        <w:bidi w:val="0"/>
        <w:adjustRightInd/>
        <w:snapToGrid/>
        <w:spacing w:line="538" w:lineRule="exact"/>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单位：万元</w:t>
      </w:r>
    </w:p>
    <w:tbl>
      <w:tblPr>
        <w:tblStyle w:val="8"/>
        <w:tblpPr w:leftFromText="180" w:rightFromText="180" w:vertAnchor="text" w:tblpXSpec="center" w:tblpY="1"/>
        <w:tblOverlap w:val="never"/>
        <w:tblW w:w="87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7"/>
        <w:gridCol w:w="1237"/>
        <w:gridCol w:w="1296"/>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4917" w:type="dxa"/>
            <w:vMerge w:val="restart"/>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科</w:t>
            </w:r>
            <w:r>
              <w:rPr>
                <w:rFonts w:eastAsia="仿宋_GB2312"/>
                <w:color w:val="000000"/>
                <w:kern w:val="0"/>
                <w:sz w:val="24"/>
              </w:rPr>
              <w:t xml:space="preserve">   </w:t>
            </w:r>
            <w:r>
              <w:rPr>
                <w:rFonts w:hint="eastAsia" w:ascii="仿宋_GB2312" w:hAnsi="仿宋_GB2312" w:eastAsia="仿宋_GB2312" w:cs="仿宋_GB2312"/>
                <w:color w:val="000000"/>
                <w:kern w:val="0"/>
                <w:sz w:val="24"/>
                <w:szCs w:val="24"/>
              </w:rPr>
              <w:t>目</w:t>
            </w:r>
          </w:p>
        </w:tc>
        <w:tc>
          <w:tcPr>
            <w:tcW w:w="1237" w:type="dxa"/>
            <w:vMerge w:val="restart"/>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2017年</w:t>
            </w:r>
          </w:p>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支出数</w:t>
            </w:r>
          </w:p>
        </w:tc>
        <w:tc>
          <w:tcPr>
            <w:tcW w:w="2633" w:type="dxa"/>
            <w:gridSpan w:val="2"/>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2018年支出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4917" w:type="dxa"/>
            <w:vMerge w:val="continue"/>
            <w:tcBorders>
              <w:tl2br w:val="nil"/>
              <w:tr2bl w:val="nil"/>
            </w:tcBorders>
            <w:noWrap w:val="0"/>
            <w:vAlign w:val="center"/>
          </w:tcPr>
          <w:p>
            <w:pPr>
              <w:widowControl/>
              <w:jc w:val="left"/>
              <w:rPr>
                <w:rFonts w:hint="eastAsia" w:ascii="仿宋_GB2312" w:hAnsi="仿宋_GB2312" w:eastAsia="仿宋_GB2312" w:cs="仿宋_GB2312"/>
                <w:color w:val="000000"/>
                <w:kern w:val="0"/>
                <w:sz w:val="24"/>
                <w:szCs w:val="24"/>
              </w:rPr>
            </w:pPr>
          </w:p>
        </w:tc>
        <w:tc>
          <w:tcPr>
            <w:tcW w:w="1237" w:type="dxa"/>
            <w:vMerge w:val="continue"/>
            <w:tcBorders>
              <w:tl2br w:val="nil"/>
              <w:tr2bl w:val="nil"/>
            </w:tcBorders>
            <w:noWrap w:val="0"/>
            <w:vAlign w:val="center"/>
          </w:tcPr>
          <w:p>
            <w:pPr>
              <w:widowControl/>
              <w:jc w:val="left"/>
              <w:rPr>
                <w:rFonts w:hint="eastAsia" w:ascii="仿宋_GB2312" w:hAnsi="仿宋_GB2312" w:eastAsia="仿宋_GB2312" w:cs="仿宋_GB2312"/>
                <w:color w:val="000000"/>
                <w:kern w:val="0"/>
                <w:sz w:val="24"/>
                <w:szCs w:val="24"/>
              </w:rPr>
            </w:pPr>
          </w:p>
        </w:tc>
        <w:tc>
          <w:tcPr>
            <w:tcW w:w="1296"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预计数</w:t>
            </w:r>
          </w:p>
        </w:tc>
        <w:tc>
          <w:tcPr>
            <w:tcW w:w="1337" w:type="dxa"/>
            <w:tcBorders>
              <w:tl2br w:val="nil"/>
              <w:tr2bl w:val="nil"/>
            </w:tcBorders>
            <w:noWrap w:val="0"/>
            <w:vAlign w:val="center"/>
          </w:tcPr>
          <w:p>
            <w:pPr>
              <w:widowControl/>
              <w:jc w:val="center"/>
              <w:rPr>
                <w:rFonts w:hint="eastAsia" w:ascii="仿宋_GB2312" w:hAnsi="Arial" w:eastAsia="仿宋_GB2312" w:cs="Arial"/>
                <w:color w:val="000000"/>
                <w:kern w:val="0"/>
                <w:sz w:val="24"/>
                <w:lang w:eastAsia="zh-CN"/>
              </w:rPr>
            </w:pPr>
            <w:r>
              <w:rPr>
                <w:rFonts w:hint="eastAsia" w:ascii="仿宋_GB2312" w:hAnsi="Arial" w:eastAsia="仿宋_GB2312" w:cs="Arial"/>
                <w:color w:val="000000"/>
                <w:kern w:val="0"/>
                <w:sz w:val="24"/>
                <w:lang w:eastAsia="zh-CN"/>
              </w:rPr>
              <w:t>比上年</w:t>
            </w:r>
          </w:p>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17"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一、一般公共服务支出</w:t>
            </w:r>
          </w:p>
        </w:tc>
        <w:tc>
          <w:tcPr>
            <w:tcW w:w="1237"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20,216 </w:t>
            </w:r>
          </w:p>
        </w:tc>
        <w:tc>
          <w:tcPr>
            <w:tcW w:w="1296"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21,585 </w:t>
            </w:r>
          </w:p>
        </w:tc>
        <w:tc>
          <w:tcPr>
            <w:tcW w:w="1337"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17"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二、国防支出</w:t>
            </w:r>
          </w:p>
        </w:tc>
        <w:tc>
          <w:tcPr>
            <w:tcW w:w="1237"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245 </w:t>
            </w:r>
          </w:p>
        </w:tc>
        <w:tc>
          <w:tcPr>
            <w:tcW w:w="1296"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332 </w:t>
            </w:r>
          </w:p>
        </w:tc>
        <w:tc>
          <w:tcPr>
            <w:tcW w:w="1337"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35.5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17"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三、公共安全支出</w:t>
            </w:r>
          </w:p>
        </w:tc>
        <w:tc>
          <w:tcPr>
            <w:tcW w:w="1237"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13,070 </w:t>
            </w:r>
          </w:p>
        </w:tc>
        <w:tc>
          <w:tcPr>
            <w:tcW w:w="1296"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14,839 </w:t>
            </w:r>
          </w:p>
        </w:tc>
        <w:tc>
          <w:tcPr>
            <w:tcW w:w="1337"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13.5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17"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四、教育支出</w:t>
            </w:r>
          </w:p>
        </w:tc>
        <w:tc>
          <w:tcPr>
            <w:tcW w:w="1237"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57,793 </w:t>
            </w:r>
          </w:p>
        </w:tc>
        <w:tc>
          <w:tcPr>
            <w:tcW w:w="1296"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65,379 </w:t>
            </w:r>
          </w:p>
        </w:tc>
        <w:tc>
          <w:tcPr>
            <w:tcW w:w="1337"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13.1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17"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五、科学技术支出</w:t>
            </w:r>
          </w:p>
        </w:tc>
        <w:tc>
          <w:tcPr>
            <w:tcW w:w="1237"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4,302 </w:t>
            </w:r>
          </w:p>
        </w:tc>
        <w:tc>
          <w:tcPr>
            <w:tcW w:w="1296"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5,430 </w:t>
            </w:r>
          </w:p>
        </w:tc>
        <w:tc>
          <w:tcPr>
            <w:tcW w:w="1337"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26.2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17"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六、文化体育与传媒支出</w:t>
            </w:r>
          </w:p>
        </w:tc>
        <w:tc>
          <w:tcPr>
            <w:tcW w:w="1237"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3,136 </w:t>
            </w:r>
          </w:p>
        </w:tc>
        <w:tc>
          <w:tcPr>
            <w:tcW w:w="1296"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3,575 </w:t>
            </w:r>
          </w:p>
        </w:tc>
        <w:tc>
          <w:tcPr>
            <w:tcW w:w="1337"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14.0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17"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七、社会保障和就业支出</w:t>
            </w:r>
          </w:p>
        </w:tc>
        <w:tc>
          <w:tcPr>
            <w:tcW w:w="1237"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14,901 </w:t>
            </w:r>
          </w:p>
        </w:tc>
        <w:tc>
          <w:tcPr>
            <w:tcW w:w="1296"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15,574 </w:t>
            </w:r>
          </w:p>
        </w:tc>
        <w:tc>
          <w:tcPr>
            <w:tcW w:w="1337"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17"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八、医疗卫生和计划生育支出</w:t>
            </w:r>
          </w:p>
        </w:tc>
        <w:tc>
          <w:tcPr>
            <w:tcW w:w="1237"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18,391 </w:t>
            </w:r>
          </w:p>
        </w:tc>
        <w:tc>
          <w:tcPr>
            <w:tcW w:w="1296"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13,033 </w:t>
            </w:r>
          </w:p>
        </w:tc>
        <w:tc>
          <w:tcPr>
            <w:tcW w:w="1337"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-29.1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17"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九、节能环保支出</w:t>
            </w:r>
          </w:p>
        </w:tc>
        <w:tc>
          <w:tcPr>
            <w:tcW w:w="1237"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8,877 </w:t>
            </w:r>
          </w:p>
        </w:tc>
        <w:tc>
          <w:tcPr>
            <w:tcW w:w="1296"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9,624 </w:t>
            </w:r>
          </w:p>
        </w:tc>
        <w:tc>
          <w:tcPr>
            <w:tcW w:w="1337"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17"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十、城乡社区支出</w:t>
            </w:r>
          </w:p>
        </w:tc>
        <w:tc>
          <w:tcPr>
            <w:tcW w:w="1237"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20,026 </w:t>
            </w:r>
          </w:p>
        </w:tc>
        <w:tc>
          <w:tcPr>
            <w:tcW w:w="1296"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14,406 </w:t>
            </w:r>
          </w:p>
        </w:tc>
        <w:tc>
          <w:tcPr>
            <w:tcW w:w="1337"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-28.1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17"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十一、农林水支出</w:t>
            </w:r>
          </w:p>
        </w:tc>
        <w:tc>
          <w:tcPr>
            <w:tcW w:w="1237"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46,050 </w:t>
            </w:r>
          </w:p>
        </w:tc>
        <w:tc>
          <w:tcPr>
            <w:tcW w:w="1296"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47,799 </w:t>
            </w:r>
          </w:p>
        </w:tc>
        <w:tc>
          <w:tcPr>
            <w:tcW w:w="1337"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17"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十二、交通运输支出</w:t>
            </w:r>
          </w:p>
        </w:tc>
        <w:tc>
          <w:tcPr>
            <w:tcW w:w="1237"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20,674 </w:t>
            </w:r>
          </w:p>
        </w:tc>
        <w:tc>
          <w:tcPr>
            <w:tcW w:w="1296"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17,589 </w:t>
            </w:r>
          </w:p>
        </w:tc>
        <w:tc>
          <w:tcPr>
            <w:tcW w:w="1337"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-14.9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17"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十三、资源勘探信息等支出</w:t>
            </w:r>
          </w:p>
        </w:tc>
        <w:tc>
          <w:tcPr>
            <w:tcW w:w="1237"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6,679 </w:t>
            </w:r>
          </w:p>
        </w:tc>
        <w:tc>
          <w:tcPr>
            <w:tcW w:w="1296"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2,494 </w:t>
            </w:r>
          </w:p>
        </w:tc>
        <w:tc>
          <w:tcPr>
            <w:tcW w:w="1337"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-62.7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17"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十四、商业服务业等支出</w:t>
            </w:r>
          </w:p>
        </w:tc>
        <w:tc>
          <w:tcPr>
            <w:tcW w:w="1237"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3,476 </w:t>
            </w:r>
          </w:p>
        </w:tc>
        <w:tc>
          <w:tcPr>
            <w:tcW w:w="1296"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3,387 </w:t>
            </w:r>
          </w:p>
        </w:tc>
        <w:tc>
          <w:tcPr>
            <w:tcW w:w="1337"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17"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十五、金融支出</w:t>
            </w:r>
          </w:p>
        </w:tc>
        <w:tc>
          <w:tcPr>
            <w:tcW w:w="1237"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53 </w:t>
            </w:r>
          </w:p>
        </w:tc>
        <w:tc>
          <w:tcPr>
            <w:tcW w:w="1296"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25 </w:t>
            </w:r>
          </w:p>
        </w:tc>
        <w:tc>
          <w:tcPr>
            <w:tcW w:w="1337"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-52.8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17"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十六、援助其他地区支出</w:t>
            </w:r>
          </w:p>
        </w:tc>
        <w:tc>
          <w:tcPr>
            <w:tcW w:w="1237"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1296"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1337"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17"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十七、国土海洋气象等支出</w:t>
            </w:r>
          </w:p>
        </w:tc>
        <w:tc>
          <w:tcPr>
            <w:tcW w:w="1237"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4,067 </w:t>
            </w:r>
          </w:p>
        </w:tc>
        <w:tc>
          <w:tcPr>
            <w:tcW w:w="1296"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6,221 </w:t>
            </w:r>
          </w:p>
        </w:tc>
        <w:tc>
          <w:tcPr>
            <w:tcW w:w="1337"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53.0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17"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十八、住房保障支出</w:t>
            </w:r>
          </w:p>
        </w:tc>
        <w:tc>
          <w:tcPr>
            <w:tcW w:w="1237"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5,703 </w:t>
            </w:r>
          </w:p>
        </w:tc>
        <w:tc>
          <w:tcPr>
            <w:tcW w:w="1296"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15,911 </w:t>
            </w:r>
          </w:p>
        </w:tc>
        <w:tc>
          <w:tcPr>
            <w:tcW w:w="1337"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179.0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17"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十九、粮油物资储备支出</w:t>
            </w:r>
          </w:p>
        </w:tc>
        <w:tc>
          <w:tcPr>
            <w:tcW w:w="1237"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465 </w:t>
            </w:r>
          </w:p>
        </w:tc>
        <w:tc>
          <w:tcPr>
            <w:tcW w:w="1296"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864 </w:t>
            </w:r>
          </w:p>
        </w:tc>
        <w:tc>
          <w:tcPr>
            <w:tcW w:w="1337"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85.8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17"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二十、其他支出</w:t>
            </w:r>
          </w:p>
        </w:tc>
        <w:tc>
          <w:tcPr>
            <w:tcW w:w="1237"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7,819 </w:t>
            </w:r>
          </w:p>
        </w:tc>
        <w:tc>
          <w:tcPr>
            <w:tcW w:w="1296"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1,275 </w:t>
            </w:r>
          </w:p>
        </w:tc>
        <w:tc>
          <w:tcPr>
            <w:tcW w:w="1337"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-83.7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17"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二十一、债务付息支出</w:t>
            </w:r>
          </w:p>
        </w:tc>
        <w:tc>
          <w:tcPr>
            <w:tcW w:w="1237"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6,652 </w:t>
            </w:r>
          </w:p>
        </w:tc>
        <w:tc>
          <w:tcPr>
            <w:tcW w:w="1296"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8,453 </w:t>
            </w:r>
          </w:p>
        </w:tc>
        <w:tc>
          <w:tcPr>
            <w:tcW w:w="1337"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27.1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17" w:type="dxa"/>
            <w:tcBorders>
              <w:tl2br w:val="nil"/>
              <w:tr2bl w:val="nil"/>
            </w:tcBorders>
            <w:noWrap w:val="0"/>
            <w:vAlign w:val="center"/>
          </w:tcPr>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二十二、债务发行费支出</w:t>
            </w:r>
          </w:p>
        </w:tc>
        <w:tc>
          <w:tcPr>
            <w:tcW w:w="1237"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52 </w:t>
            </w:r>
          </w:p>
        </w:tc>
        <w:tc>
          <w:tcPr>
            <w:tcW w:w="1296"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24 </w:t>
            </w:r>
          </w:p>
        </w:tc>
        <w:tc>
          <w:tcPr>
            <w:tcW w:w="1337"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-53.8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17" w:type="dxa"/>
            <w:tcBorders>
              <w:bottom w:val="single" w:color="auto" w:sz="4" w:space="0"/>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一般公共预算支出合计</w:t>
            </w:r>
          </w:p>
        </w:tc>
        <w:tc>
          <w:tcPr>
            <w:tcW w:w="1237" w:type="dxa"/>
            <w:tcBorders>
              <w:bottom w:val="single" w:color="auto" w:sz="4" w:space="0"/>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262,647 </w:t>
            </w:r>
          </w:p>
        </w:tc>
        <w:tc>
          <w:tcPr>
            <w:tcW w:w="1296" w:type="dxa"/>
            <w:tcBorders>
              <w:bottom w:val="single" w:color="auto" w:sz="4" w:space="0"/>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267,819 </w:t>
            </w:r>
          </w:p>
        </w:tc>
        <w:tc>
          <w:tcPr>
            <w:tcW w:w="1337" w:type="dxa"/>
            <w:tcBorders>
              <w:bottom w:val="single" w:color="auto" w:sz="4" w:space="0"/>
              <w:tl2br w:val="nil"/>
              <w:tr2bl w:val="nil"/>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jc w:val="center"/>
        </w:trPr>
        <w:tc>
          <w:tcPr>
            <w:tcW w:w="8787" w:type="dxa"/>
            <w:gridSpan w:val="4"/>
            <w:tcBorders>
              <w:top w:val="single" w:color="auto" w:sz="4" w:space="0"/>
              <w:left w:val="nil"/>
              <w:bottom w:val="nil"/>
              <w:right w:val="nil"/>
              <w:tl2br w:val="nil"/>
              <w:tr2bl w:val="nil"/>
            </w:tcBorders>
            <w:noWrap w:val="0"/>
            <w:vAlign w:val="center"/>
          </w:tcPr>
          <w:p>
            <w:pPr>
              <w:widowControl/>
              <w:ind w:firstLine="420" w:firstLineChars="200"/>
              <w:jc w:val="left"/>
              <w:rPr>
                <w:rFonts w:ascii="仿宋_GB2312" w:hAnsi="Arial" w:eastAsia="仿宋_GB2312" w:cs="Arial"/>
                <w:color w:val="000000"/>
                <w:kern w:val="0"/>
                <w:sz w:val="22"/>
                <w:szCs w:val="22"/>
              </w:rPr>
            </w:pPr>
            <w:r>
              <w:rPr>
                <w:rFonts w:hint="eastAsia" w:ascii="仿宋_GB2312" w:hAnsi="仿宋_GB2312" w:eastAsia="仿宋_GB2312" w:cs="仿宋_GB2312"/>
                <w:color w:val="000000"/>
                <w:kern w:val="0"/>
                <w:sz w:val="21"/>
                <w:szCs w:val="21"/>
              </w:rPr>
              <w:t>注：按2018年支出口径恢复2017年支出数（扣除新型农村合作医疗和城乡医疗救助等支出），2018年一般公共预算支出预计数包括本级一般公共预算收入、上年结转、一般债券资金、省市转移支付补助。</w:t>
            </w:r>
          </w:p>
        </w:tc>
      </w:tr>
    </w:tbl>
    <w:p>
      <w:pPr>
        <w:rPr>
          <w:rFonts w:hint="eastAsia"/>
        </w:rPr>
      </w:pPr>
    </w:p>
    <w:p>
      <w:pPr>
        <w:keepNext w:val="0"/>
        <w:keepLines w:val="0"/>
        <w:pageBreakBefore w:val="0"/>
        <w:widowControl w:val="0"/>
        <w:kinsoku/>
        <w:wordWrap/>
        <w:overflowPunct/>
        <w:topLinePunct w:val="0"/>
        <w:autoSpaceDE/>
        <w:autoSpaceDN/>
        <w:bidi w:val="0"/>
        <w:adjustRightInd/>
        <w:snapToGrid/>
        <w:spacing w:line="538"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表三</w:t>
      </w:r>
    </w:p>
    <w:p>
      <w:pPr>
        <w:keepNext w:val="0"/>
        <w:keepLines w:val="0"/>
        <w:pageBreakBefore w:val="0"/>
        <w:widowControl w:val="0"/>
        <w:kinsoku/>
        <w:wordWrap/>
        <w:overflowPunct/>
        <w:topLinePunct w:val="0"/>
        <w:autoSpaceDE/>
        <w:autoSpaceDN/>
        <w:bidi w:val="0"/>
        <w:adjustRightInd/>
        <w:snapToGrid/>
        <w:spacing w:line="538"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2018年德化县政府性基金预算收入情况表</w:t>
      </w:r>
    </w:p>
    <w:p>
      <w:pPr>
        <w:keepNext w:val="0"/>
        <w:keepLines w:val="0"/>
        <w:pageBreakBefore w:val="0"/>
        <w:widowControl w:val="0"/>
        <w:kinsoku/>
        <w:wordWrap/>
        <w:overflowPunct/>
        <w:topLinePunct w:val="0"/>
        <w:autoSpaceDE/>
        <w:autoSpaceDN/>
        <w:bidi w:val="0"/>
        <w:adjustRightInd/>
        <w:snapToGrid/>
        <w:spacing w:line="538" w:lineRule="exact"/>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单位：万元</w:t>
      </w:r>
    </w:p>
    <w:tbl>
      <w:tblPr>
        <w:tblStyle w:val="8"/>
        <w:tblW w:w="87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0"/>
        <w:gridCol w:w="1237"/>
        <w:gridCol w:w="1367"/>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4860" w:type="dxa"/>
            <w:vMerge w:val="restart"/>
            <w:tcBorders>
              <w:tl2br w:val="nil"/>
              <w:tr2bl w:val="nil"/>
            </w:tcBorders>
            <w:noWrap w:val="0"/>
            <w:vAlign w:val="center"/>
          </w:tcPr>
          <w:p>
            <w:pPr>
              <w:widowControl/>
              <w:jc w:val="center"/>
              <w:rPr>
                <w:rFonts w:ascii="仿宋_GB2312" w:hAnsi="Arial" w:eastAsia="仿宋_GB2312" w:cs="Arial"/>
                <w:color w:val="000000"/>
                <w:kern w:val="0"/>
                <w:sz w:val="24"/>
              </w:rPr>
            </w:pPr>
            <w:r>
              <w:rPr>
                <w:rFonts w:hint="eastAsia" w:ascii="仿宋_GB2312" w:hAnsi="Arial" w:eastAsia="仿宋_GB2312" w:cs="Arial"/>
                <w:color w:val="000000"/>
                <w:kern w:val="0"/>
                <w:sz w:val="24"/>
              </w:rPr>
              <w:t>科</w:t>
            </w:r>
            <w:r>
              <w:rPr>
                <w:rFonts w:eastAsia="仿宋_GB2312"/>
                <w:color w:val="000000"/>
                <w:kern w:val="0"/>
                <w:sz w:val="24"/>
              </w:rPr>
              <w:t xml:space="preserve">   </w:t>
            </w:r>
            <w:r>
              <w:rPr>
                <w:rFonts w:hint="eastAsia" w:ascii="仿宋_GB2312" w:hAnsi="Arial" w:eastAsia="仿宋_GB2312" w:cs="Arial"/>
                <w:color w:val="000000"/>
                <w:kern w:val="0"/>
                <w:sz w:val="24"/>
              </w:rPr>
              <w:t>目</w:t>
            </w:r>
          </w:p>
        </w:tc>
        <w:tc>
          <w:tcPr>
            <w:tcW w:w="1237" w:type="dxa"/>
            <w:vMerge w:val="restart"/>
            <w:tcBorders>
              <w:tl2br w:val="nil"/>
              <w:tr2bl w:val="nil"/>
            </w:tcBorders>
            <w:noWrap w:val="0"/>
            <w:vAlign w:val="center"/>
          </w:tcPr>
          <w:p>
            <w:pPr>
              <w:widowControl/>
              <w:jc w:val="center"/>
              <w:rPr>
                <w:rFonts w:hint="eastAsia" w:ascii="仿宋_GB2312" w:eastAsia="仿宋_GB2312"/>
                <w:color w:val="000000"/>
                <w:kern w:val="0"/>
                <w:sz w:val="24"/>
              </w:rPr>
            </w:pPr>
            <w:r>
              <w:rPr>
                <w:color w:val="000000"/>
                <w:kern w:val="0"/>
                <w:sz w:val="24"/>
              </w:rPr>
              <w:t>2017</w:t>
            </w:r>
            <w:r>
              <w:rPr>
                <w:rFonts w:hint="eastAsia" w:ascii="仿宋_GB2312" w:eastAsia="仿宋_GB2312"/>
                <w:color w:val="000000"/>
                <w:kern w:val="0"/>
                <w:sz w:val="24"/>
              </w:rPr>
              <w:t>年</w:t>
            </w:r>
          </w:p>
          <w:p>
            <w:pPr>
              <w:widowControl/>
              <w:jc w:val="center"/>
              <w:rPr>
                <w:color w:val="000000"/>
                <w:kern w:val="0"/>
                <w:sz w:val="24"/>
              </w:rPr>
            </w:pPr>
            <w:r>
              <w:rPr>
                <w:rFonts w:hint="eastAsia" w:ascii="仿宋_GB2312" w:eastAsia="仿宋_GB2312"/>
                <w:color w:val="000000"/>
                <w:kern w:val="0"/>
                <w:sz w:val="24"/>
              </w:rPr>
              <w:t>收入数</w:t>
            </w:r>
          </w:p>
        </w:tc>
        <w:tc>
          <w:tcPr>
            <w:tcW w:w="2690" w:type="dxa"/>
            <w:gridSpan w:val="2"/>
            <w:tcBorders>
              <w:tl2br w:val="nil"/>
              <w:tr2bl w:val="nil"/>
            </w:tcBorders>
            <w:noWrap w:val="0"/>
            <w:vAlign w:val="center"/>
          </w:tcPr>
          <w:p>
            <w:pPr>
              <w:widowControl/>
              <w:jc w:val="center"/>
              <w:rPr>
                <w:color w:val="000000"/>
                <w:kern w:val="0"/>
                <w:sz w:val="24"/>
              </w:rPr>
            </w:pPr>
            <w:r>
              <w:rPr>
                <w:color w:val="000000"/>
                <w:kern w:val="0"/>
                <w:sz w:val="24"/>
              </w:rPr>
              <w:t>2018</w:t>
            </w:r>
            <w:r>
              <w:rPr>
                <w:rFonts w:hint="eastAsia" w:ascii="仿宋_GB2312" w:eastAsia="仿宋_GB2312"/>
                <w:color w:val="000000"/>
                <w:kern w:val="0"/>
                <w:sz w:val="24"/>
              </w:rPr>
              <w:t>年收入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4860" w:type="dxa"/>
            <w:vMerge w:val="continue"/>
            <w:tcBorders>
              <w:tl2br w:val="nil"/>
              <w:tr2bl w:val="nil"/>
            </w:tcBorders>
            <w:noWrap w:val="0"/>
            <w:vAlign w:val="center"/>
          </w:tcPr>
          <w:p>
            <w:pPr>
              <w:widowControl/>
              <w:jc w:val="left"/>
              <w:rPr>
                <w:rFonts w:ascii="仿宋_GB2312" w:hAnsi="Arial" w:eastAsia="仿宋_GB2312" w:cs="Arial"/>
                <w:color w:val="000000"/>
                <w:kern w:val="0"/>
                <w:sz w:val="24"/>
              </w:rPr>
            </w:pPr>
          </w:p>
        </w:tc>
        <w:tc>
          <w:tcPr>
            <w:tcW w:w="1237" w:type="dxa"/>
            <w:vMerge w:val="continue"/>
            <w:tcBorders>
              <w:tl2br w:val="nil"/>
              <w:tr2bl w:val="nil"/>
            </w:tcBorders>
            <w:noWrap w:val="0"/>
            <w:vAlign w:val="center"/>
          </w:tcPr>
          <w:p>
            <w:pPr>
              <w:widowControl/>
              <w:jc w:val="left"/>
              <w:rPr>
                <w:color w:val="000000"/>
                <w:kern w:val="0"/>
                <w:sz w:val="24"/>
              </w:rPr>
            </w:pPr>
          </w:p>
        </w:tc>
        <w:tc>
          <w:tcPr>
            <w:tcW w:w="1367" w:type="dxa"/>
            <w:tcBorders>
              <w:tl2br w:val="nil"/>
              <w:tr2bl w:val="nil"/>
            </w:tcBorders>
            <w:noWrap w:val="0"/>
            <w:vAlign w:val="center"/>
          </w:tcPr>
          <w:p>
            <w:pPr>
              <w:widowControl/>
              <w:jc w:val="center"/>
              <w:rPr>
                <w:rFonts w:ascii="仿宋_GB2312" w:hAnsi="Arial" w:eastAsia="仿宋_GB2312" w:cs="Arial"/>
                <w:color w:val="000000"/>
                <w:kern w:val="0"/>
                <w:sz w:val="24"/>
              </w:rPr>
            </w:pPr>
            <w:r>
              <w:rPr>
                <w:rFonts w:hint="eastAsia" w:ascii="仿宋_GB2312" w:hAnsi="Arial" w:eastAsia="仿宋_GB2312" w:cs="Arial"/>
                <w:color w:val="000000"/>
                <w:kern w:val="0"/>
                <w:sz w:val="24"/>
              </w:rPr>
              <w:t>预计数</w:t>
            </w:r>
          </w:p>
        </w:tc>
        <w:tc>
          <w:tcPr>
            <w:tcW w:w="1323" w:type="dxa"/>
            <w:tcBorders>
              <w:tl2br w:val="nil"/>
              <w:tr2bl w:val="nil"/>
            </w:tcBorders>
            <w:noWrap w:val="0"/>
            <w:vAlign w:val="center"/>
          </w:tcPr>
          <w:p>
            <w:pPr>
              <w:widowControl/>
              <w:jc w:val="center"/>
              <w:rPr>
                <w:rFonts w:hint="eastAsia" w:ascii="仿宋_GB2312" w:hAnsi="Arial" w:eastAsia="仿宋_GB2312" w:cs="Arial"/>
                <w:color w:val="000000"/>
                <w:kern w:val="0"/>
                <w:sz w:val="24"/>
                <w:lang w:eastAsia="zh-CN"/>
              </w:rPr>
            </w:pPr>
            <w:r>
              <w:rPr>
                <w:rFonts w:hint="eastAsia" w:ascii="仿宋_GB2312" w:hAnsi="Arial" w:eastAsia="仿宋_GB2312" w:cs="Arial"/>
                <w:color w:val="000000"/>
                <w:kern w:val="0"/>
                <w:sz w:val="24"/>
                <w:lang w:eastAsia="zh-CN"/>
              </w:rPr>
              <w:t>比上年</w:t>
            </w:r>
          </w:p>
          <w:p>
            <w:pPr>
              <w:widowControl/>
              <w:jc w:val="center"/>
              <w:rPr>
                <w:rFonts w:ascii="仿宋_GB2312" w:hAnsi="Arial" w:eastAsia="仿宋_GB2312" w:cs="Arial"/>
                <w:color w:val="000000"/>
                <w:kern w:val="0"/>
                <w:sz w:val="24"/>
              </w:rPr>
            </w:pPr>
            <w:r>
              <w:rPr>
                <w:rFonts w:hint="eastAsia" w:ascii="仿宋_GB2312" w:hAnsi="Arial" w:eastAsia="仿宋_GB2312" w:cs="Arial"/>
                <w:color w:val="000000"/>
                <w:kern w:val="0"/>
                <w:sz w:val="24"/>
              </w:rPr>
              <w:t>增长</w:t>
            </w:r>
            <w:r>
              <w:rPr>
                <w:rFonts w:eastAsia="仿宋_GB2312"/>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4860" w:type="dxa"/>
            <w:tcBorders>
              <w:tl2br w:val="nil"/>
              <w:tr2bl w:val="nil"/>
            </w:tcBorders>
            <w:noWrap/>
            <w:vAlign w:val="center"/>
          </w:tcPr>
          <w:p>
            <w:pPr>
              <w:widowControl/>
              <w:jc w:val="left"/>
              <w:rPr>
                <w:rFonts w:ascii="仿宋_GB2312" w:hAnsi="Arial" w:eastAsia="仿宋_GB2312" w:cs="Arial"/>
                <w:color w:val="000000"/>
                <w:kern w:val="0"/>
                <w:sz w:val="24"/>
              </w:rPr>
            </w:pPr>
            <w:r>
              <w:rPr>
                <w:rFonts w:hint="eastAsia" w:ascii="仿宋_GB2312" w:hAnsi="Arial" w:eastAsia="仿宋_GB2312" w:cs="Arial"/>
                <w:color w:val="000000"/>
                <w:kern w:val="0"/>
                <w:sz w:val="24"/>
              </w:rPr>
              <w:t>一、城市公用事业附加收入</w:t>
            </w:r>
          </w:p>
        </w:tc>
        <w:tc>
          <w:tcPr>
            <w:tcW w:w="1237" w:type="dxa"/>
            <w:tcBorders>
              <w:tl2br w:val="nil"/>
              <w:tr2bl w:val="nil"/>
            </w:tcBorders>
            <w:noWrap w:val="0"/>
            <w:vAlign w:val="center"/>
          </w:tcPr>
          <w:p>
            <w:pPr>
              <w:widowControl/>
              <w:jc w:val="center"/>
              <w:rPr>
                <w:color w:val="000000"/>
                <w:kern w:val="0"/>
                <w:sz w:val="24"/>
              </w:rPr>
            </w:pPr>
            <w:r>
              <w:rPr>
                <w:color w:val="000000"/>
                <w:kern w:val="0"/>
                <w:sz w:val="24"/>
              </w:rPr>
              <w:t xml:space="preserve">300 </w:t>
            </w:r>
          </w:p>
        </w:tc>
        <w:tc>
          <w:tcPr>
            <w:tcW w:w="1367" w:type="dxa"/>
            <w:tcBorders>
              <w:tl2br w:val="nil"/>
              <w:tr2bl w:val="nil"/>
            </w:tcBorders>
            <w:noWrap w:val="0"/>
            <w:vAlign w:val="center"/>
          </w:tcPr>
          <w:p>
            <w:pPr>
              <w:widowControl/>
              <w:jc w:val="center"/>
              <w:rPr>
                <w:color w:val="000000"/>
                <w:kern w:val="0"/>
                <w:sz w:val="24"/>
              </w:rPr>
            </w:pPr>
            <w:r>
              <w:rPr>
                <w:color w:val="000000"/>
                <w:kern w:val="0"/>
                <w:sz w:val="24"/>
              </w:rPr>
              <w:t>　</w:t>
            </w:r>
          </w:p>
        </w:tc>
        <w:tc>
          <w:tcPr>
            <w:tcW w:w="1323" w:type="dxa"/>
            <w:tcBorders>
              <w:tl2br w:val="nil"/>
              <w:tr2bl w:val="nil"/>
            </w:tcBorders>
            <w:noWrap w:val="0"/>
            <w:vAlign w:val="center"/>
          </w:tcPr>
          <w:p>
            <w:pPr>
              <w:widowControl/>
              <w:jc w:val="center"/>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4860" w:type="dxa"/>
            <w:tcBorders>
              <w:tl2br w:val="nil"/>
              <w:tr2bl w:val="nil"/>
            </w:tcBorders>
            <w:noWrap/>
            <w:vAlign w:val="center"/>
          </w:tcPr>
          <w:p>
            <w:pPr>
              <w:widowControl/>
              <w:jc w:val="left"/>
              <w:rPr>
                <w:rFonts w:ascii="仿宋_GB2312" w:hAnsi="Arial" w:eastAsia="仿宋_GB2312" w:cs="Arial"/>
                <w:color w:val="000000"/>
                <w:kern w:val="0"/>
                <w:sz w:val="24"/>
              </w:rPr>
            </w:pPr>
            <w:r>
              <w:rPr>
                <w:rFonts w:hint="eastAsia" w:ascii="仿宋_GB2312" w:hAnsi="Arial" w:eastAsia="仿宋_GB2312" w:cs="Arial"/>
                <w:color w:val="000000"/>
                <w:kern w:val="0"/>
                <w:sz w:val="24"/>
              </w:rPr>
              <w:t>二、国有土地收益基金收入</w:t>
            </w:r>
          </w:p>
        </w:tc>
        <w:tc>
          <w:tcPr>
            <w:tcW w:w="1237" w:type="dxa"/>
            <w:tcBorders>
              <w:tl2br w:val="nil"/>
              <w:tr2bl w:val="nil"/>
            </w:tcBorders>
            <w:noWrap w:val="0"/>
            <w:vAlign w:val="center"/>
          </w:tcPr>
          <w:p>
            <w:pPr>
              <w:widowControl/>
              <w:jc w:val="center"/>
              <w:rPr>
                <w:color w:val="000000"/>
                <w:kern w:val="0"/>
                <w:sz w:val="24"/>
              </w:rPr>
            </w:pPr>
            <w:r>
              <w:rPr>
                <w:color w:val="000000"/>
                <w:kern w:val="0"/>
                <w:sz w:val="24"/>
              </w:rPr>
              <w:t>　</w:t>
            </w:r>
          </w:p>
        </w:tc>
        <w:tc>
          <w:tcPr>
            <w:tcW w:w="1367" w:type="dxa"/>
            <w:tcBorders>
              <w:tl2br w:val="nil"/>
              <w:tr2bl w:val="nil"/>
            </w:tcBorders>
            <w:noWrap w:val="0"/>
            <w:vAlign w:val="center"/>
          </w:tcPr>
          <w:p>
            <w:pPr>
              <w:widowControl/>
              <w:jc w:val="center"/>
              <w:rPr>
                <w:color w:val="000000"/>
                <w:kern w:val="0"/>
                <w:sz w:val="24"/>
              </w:rPr>
            </w:pPr>
            <w:r>
              <w:rPr>
                <w:color w:val="000000"/>
                <w:kern w:val="0"/>
                <w:sz w:val="24"/>
              </w:rPr>
              <w:t>　</w:t>
            </w:r>
          </w:p>
        </w:tc>
        <w:tc>
          <w:tcPr>
            <w:tcW w:w="1323" w:type="dxa"/>
            <w:tcBorders>
              <w:tl2br w:val="nil"/>
              <w:tr2bl w:val="nil"/>
            </w:tcBorders>
            <w:noWrap w:val="0"/>
            <w:vAlign w:val="center"/>
          </w:tcPr>
          <w:p>
            <w:pPr>
              <w:widowControl/>
              <w:jc w:val="center"/>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4860" w:type="dxa"/>
            <w:tcBorders>
              <w:tl2br w:val="nil"/>
              <w:tr2bl w:val="nil"/>
            </w:tcBorders>
            <w:noWrap/>
            <w:vAlign w:val="center"/>
          </w:tcPr>
          <w:p>
            <w:pPr>
              <w:widowControl/>
              <w:jc w:val="left"/>
              <w:rPr>
                <w:rFonts w:ascii="仿宋_GB2312" w:hAnsi="Arial" w:eastAsia="仿宋_GB2312" w:cs="Arial"/>
                <w:color w:val="000000"/>
                <w:kern w:val="0"/>
                <w:sz w:val="24"/>
              </w:rPr>
            </w:pPr>
            <w:r>
              <w:rPr>
                <w:rFonts w:hint="eastAsia" w:ascii="仿宋_GB2312" w:hAnsi="Arial" w:eastAsia="仿宋_GB2312" w:cs="Arial"/>
                <w:color w:val="000000"/>
                <w:kern w:val="0"/>
                <w:sz w:val="24"/>
              </w:rPr>
              <w:t>三、农业土地开发资金收入</w:t>
            </w:r>
          </w:p>
        </w:tc>
        <w:tc>
          <w:tcPr>
            <w:tcW w:w="1237" w:type="dxa"/>
            <w:tcBorders>
              <w:tl2br w:val="nil"/>
              <w:tr2bl w:val="nil"/>
            </w:tcBorders>
            <w:noWrap w:val="0"/>
            <w:vAlign w:val="center"/>
          </w:tcPr>
          <w:p>
            <w:pPr>
              <w:widowControl/>
              <w:jc w:val="center"/>
              <w:rPr>
                <w:color w:val="000000"/>
                <w:kern w:val="0"/>
                <w:sz w:val="24"/>
              </w:rPr>
            </w:pPr>
            <w:r>
              <w:rPr>
                <w:color w:val="000000"/>
                <w:kern w:val="0"/>
                <w:sz w:val="24"/>
              </w:rPr>
              <w:t xml:space="preserve">188 </w:t>
            </w:r>
          </w:p>
        </w:tc>
        <w:tc>
          <w:tcPr>
            <w:tcW w:w="1367" w:type="dxa"/>
            <w:tcBorders>
              <w:tl2br w:val="nil"/>
              <w:tr2bl w:val="nil"/>
            </w:tcBorders>
            <w:noWrap w:val="0"/>
            <w:vAlign w:val="center"/>
          </w:tcPr>
          <w:p>
            <w:pPr>
              <w:widowControl/>
              <w:jc w:val="center"/>
              <w:rPr>
                <w:color w:val="000000"/>
                <w:kern w:val="0"/>
                <w:sz w:val="24"/>
              </w:rPr>
            </w:pPr>
            <w:r>
              <w:rPr>
                <w:color w:val="000000"/>
                <w:kern w:val="0"/>
                <w:sz w:val="24"/>
              </w:rPr>
              <w:t xml:space="preserve">48 </w:t>
            </w:r>
          </w:p>
        </w:tc>
        <w:tc>
          <w:tcPr>
            <w:tcW w:w="1323" w:type="dxa"/>
            <w:tcBorders>
              <w:tl2br w:val="nil"/>
              <w:tr2bl w:val="nil"/>
            </w:tcBorders>
            <w:noWrap w:val="0"/>
            <w:vAlign w:val="center"/>
          </w:tcPr>
          <w:p>
            <w:pPr>
              <w:widowControl/>
              <w:jc w:val="center"/>
              <w:rPr>
                <w:color w:val="000000"/>
                <w:kern w:val="0"/>
                <w:sz w:val="24"/>
              </w:rPr>
            </w:pPr>
            <w:r>
              <w:rPr>
                <w:color w:val="000000"/>
                <w:kern w:val="0"/>
                <w:sz w:val="24"/>
              </w:rPr>
              <w:t xml:space="preserve">-74.5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4860" w:type="dxa"/>
            <w:tcBorders>
              <w:tl2br w:val="nil"/>
              <w:tr2bl w:val="nil"/>
            </w:tcBorders>
            <w:noWrap/>
            <w:vAlign w:val="center"/>
          </w:tcPr>
          <w:p>
            <w:pPr>
              <w:widowControl/>
              <w:jc w:val="left"/>
              <w:rPr>
                <w:rFonts w:ascii="仿宋_GB2312" w:hAnsi="Arial" w:eastAsia="仿宋_GB2312" w:cs="Arial"/>
                <w:color w:val="000000"/>
                <w:kern w:val="0"/>
                <w:sz w:val="24"/>
              </w:rPr>
            </w:pPr>
            <w:r>
              <w:rPr>
                <w:rFonts w:hint="eastAsia" w:ascii="仿宋_GB2312" w:hAnsi="Arial" w:eastAsia="仿宋_GB2312" w:cs="Arial"/>
                <w:color w:val="000000"/>
                <w:kern w:val="0"/>
                <w:sz w:val="24"/>
              </w:rPr>
              <w:t>四、国有土地使用权出让收入</w:t>
            </w:r>
          </w:p>
        </w:tc>
        <w:tc>
          <w:tcPr>
            <w:tcW w:w="1237" w:type="dxa"/>
            <w:tcBorders>
              <w:tl2br w:val="nil"/>
              <w:tr2bl w:val="nil"/>
            </w:tcBorders>
            <w:noWrap w:val="0"/>
            <w:vAlign w:val="center"/>
          </w:tcPr>
          <w:p>
            <w:pPr>
              <w:widowControl/>
              <w:jc w:val="center"/>
              <w:rPr>
                <w:color w:val="000000"/>
                <w:kern w:val="0"/>
                <w:sz w:val="24"/>
              </w:rPr>
            </w:pPr>
            <w:r>
              <w:rPr>
                <w:color w:val="000000"/>
                <w:kern w:val="0"/>
                <w:sz w:val="24"/>
              </w:rPr>
              <w:t xml:space="preserve">60,485 </w:t>
            </w:r>
          </w:p>
        </w:tc>
        <w:tc>
          <w:tcPr>
            <w:tcW w:w="1367" w:type="dxa"/>
            <w:tcBorders>
              <w:tl2br w:val="nil"/>
              <w:tr2bl w:val="nil"/>
            </w:tcBorders>
            <w:noWrap w:val="0"/>
            <w:vAlign w:val="center"/>
          </w:tcPr>
          <w:p>
            <w:pPr>
              <w:widowControl/>
              <w:jc w:val="center"/>
              <w:rPr>
                <w:color w:val="000000"/>
                <w:kern w:val="0"/>
                <w:sz w:val="24"/>
              </w:rPr>
            </w:pPr>
            <w:r>
              <w:rPr>
                <w:color w:val="000000"/>
                <w:kern w:val="0"/>
                <w:sz w:val="24"/>
              </w:rPr>
              <w:t xml:space="preserve">167,579 </w:t>
            </w:r>
          </w:p>
        </w:tc>
        <w:tc>
          <w:tcPr>
            <w:tcW w:w="1323" w:type="dxa"/>
            <w:tcBorders>
              <w:tl2br w:val="nil"/>
              <w:tr2bl w:val="nil"/>
            </w:tcBorders>
            <w:noWrap w:val="0"/>
            <w:vAlign w:val="center"/>
          </w:tcPr>
          <w:p>
            <w:pPr>
              <w:widowControl/>
              <w:jc w:val="center"/>
              <w:rPr>
                <w:color w:val="000000"/>
                <w:kern w:val="0"/>
                <w:sz w:val="24"/>
              </w:rPr>
            </w:pPr>
            <w:r>
              <w:rPr>
                <w:color w:val="000000"/>
                <w:kern w:val="0"/>
                <w:sz w:val="24"/>
              </w:rPr>
              <w:t xml:space="preserve">177.1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4860" w:type="dxa"/>
            <w:tcBorders>
              <w:tl2br w:val="nil"/>
              <w:tr2bl w:val="nil"/>
            </w:tcBorders>
            <w:noWrap/>
            <w:vAlign w:val="center"/>
          </w:tcPr>
          <w:p>
            <w:pPr>
              <w:widowControl/>
              <w:jc w:val="left"/>
              <w:rPr>
                <w:rFonts w:ascii="仿宋_GB2312" w:hAnsi="Arial" w:eastAsia="仿宋_GB2312" w:cs="Arial"/>
                <w:color w:val="000000"/>
                <w:kern w:val="0"/>
                <w:sz w:val="24"/>
              </w:rPr>
            </w:pPr>
            <w:r>
              <w:rPr>
                <w:rFonts w:hint="eastAsia" w:ascii="仿宋_GB2312" w:hAnsi="Arial" w:eastAsia="仿宋_GB2312" w:cs="Arial"/>
                <w:color w:val="000000"/>
                <w:kern w:val="0"/>
                <w:sz w:val="24"/>
              </w:rPr>
              <w:t>五、彩票公益金收入</w:t>
            </w:r>
          </w:p>
        </w:tc>
        <w:tc>
          <w:tcPr>
            <w:tcW w:w="1237" w:type="dxa"/>
            <w:tcBorders>
              <w:tl2br w:val="nil"/>
              <w:tr2bl w:val="nil"/>
            </w:tcBorders>
            <w:noWrap w:val="0"/>
            <w:vAlign w:val="center"/>
          </w:tcPr>
          <w:p>
            <w:pPr>
              <w:widowControl/>
              <w:jc w:val="center"/>
              <w:rPr>
                <w:color w:val="000000"/>
                <w:kern w:val="0"/>
                <w:sz w:val="24"/>
              </w:rPr>
            </w:pPr>
            <w:r>
              <w:rPr>
                <w:color w:val="000000"/>
                <w:kern w:val="0"/>
                <w:sz w:val="24"/>
              </w:rPr>
              <w:t xml:space="preserve">549 </w:t>
            </w:r>
          </w:p>
        </w:tc>
        <w:tc>
          <w:tcPr>
            <w:tcW w:w="1367" w:type="dxa"/>
            <w:tcBorders>
              <w:tl2br w:val="nil"/>
              <w:tr2bl w:val="nil"/>
            </w:tcBorders>
            <w:noWrap w:val="0"/>
            <w:vAlign w:val="center"/>
          </w:tcPr>
          <w:p>
            <w:pPr>
              <w:widowControl/>
              <w:jc w:val="center"/>
              <w:rPr>
                <w:color w:val="000000"/>
                <w:kern w:val="0"/>
                <w:sz w:val="24"/>
              </w:rPr>
            </w:pPr>
            <w:r>
              <w:rPr>
                <w:color w:val="000000"/>
                <w:kern w:val="0"/>
                <w:sz w:val="24"/>
              </w:rPr>
              <w:t xml:space="preserve">510 </w:t>
            </w:r>
          </w:p>
        </w:tc>
        <w:tc>
          <w:tcPr>
            <w:tcW w:w="1323" w:type="dxa"/>
            <w:tcBorders>
              <w:tl2br w:val="nil"/>
              <w:tr2bl w:val="nil"/>
            </w:tcBorders>
            <w:noWrap w:val="0"/>
            <w:vAlign w:val="center"/>
          </w:tcPr>
          <w:p>
            <w:pPr>
              <w:widowControl/>
              <w:jc w:val="center"/>
              <w:rPr>
                <w:color w:val="000000"/>
                <w:kern w:val="0"/>
                <w:sz w:val="24"/>
              </w:rPr>
            </w:pPr>
            <w:r>
              <w:rPr>
                <w:color w:val="000000"/>
                <w:kern w:val="0"/>
                <w:sz w:val="24"/>
              </w:rPr>
              <w:t xml:space="preserve">-7.1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4860" w:type="dxa"/>
            <w:tcBorders>
              <w:tl2br w:val="nil"/>
              <w:tr2bl w:val="nil"/>
            </w:tcBorders>
            <w:noWrap/>
            <w:vAlign w:val="center"/>
          </w:tcPr>
          <w:p>
            <w:pPr>
              <w:widowControl/>
              <w:jc w:val="left"/>
              <w:rPr>
                <w:rFonts w:ascii="仿宋_GB2312" w:hAnsi="Arial" w:eastAsia="仿宋_GB2312" w:cs="Arial"/>
                <w:color w:val="000000"/>
                <w:kern w:val="0"/>
                <w:sz w:val="24"/>
              </w:rPr>
            </w:pPr>
            <w:r>
              <w:rPr>
                <w:rFonts w:hint="eastAsia" w:ascii="仿宋_GB2312" w:hAnsi="Arial" w:eastAsia="仿宋_GB2312" w:cs="Arial"/>
                <w:color w:val="000000"/>
                <w:kern w:val="0"/>
                <w:sz w:val="24"/>
              </w:rPr>
              <w:t>六、城市基础设施配套费收入</w:t>
            </w:r>
          </w:p>
        </w:tc>
        <w:tc>
          <w:tcPr>
            <w:tcW w:w="1237" w:type="dxa"/>
            <w:tcBorders>
              <w:tl2br w:val="nil"/>
              <w:tr2bl w:val="nil"/>
            </w:tcBorders>
            <w:noWrap w:val="0"/>
            <w:vAlign w:val="center"/>
          </w:tcPr>
          <w:p>
            <w:pPr>
              <w:widowControl/>
              <w:jc w:val="center"/>
              <w:rPr>
                <w:color w:val="000000"/>
                <w:kern w:val="0"/>
                <w:sz w:val="24"/>
              </w:rPr>
            </w:pPr>
            <w:r>
              <w:rPr>
                <w:color w:val="000000"/>
                <w:kern w:val="0"/>
                <w:sz w:val="24"/>
              </w:rPr>
              <w:t>　</w:t>
            </w:r>
          </w:p>
        </w:tc>
        <w:tc>
          <w:tcPr>
            <w:tcW w:w="1367" w:type="dxa"/>
            <w:tcBorders>
              <w:tl2br w:val="nil"/>
              <w:tr2bl w:val="nil"/>
            </w:tcBorders>
            <w:noWrap w:val="0"/>
            <w:vAlign w:val="center"/>
          </w:tcPr>
          <w:p>
            <w:pPr>
              <w:widowControl/>
              <w:jc w:val="center"/>
              <w:rPr>
                <w:color w:val="000000"/>
                <w:kern w:val="0"/>
                <w:sz w:val="24"/>
              </w:rPr>
            </w:pPr>
            <w:r>
              <w:rPr>
                <w:color w:val="000000"/>
                <w:kern w:val="0"/>
                <w:sz w:val="24"/>
              </w:rPr>
              <w:t>　</w:t>
            </w:r>
          </w:p>
        </w:tc>
        <w:tc>
          <w:tcPr>
            <w:tcW w:w="1323" w:type="dxa"/>
            <w:tcBorders>
              <w:tl2br w:val="nil"/>
              <w:tr2bl w:val="nil"/>
            </w:tcBorders>
            <w:noWrap w:val="0"/>
            <w:vAlign w:val="center"/>
          </w:tcPr>
          <w:p>
            <w:pPr>
              <w:widowControl/>
              <w:jc w:val="center"/>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4860" w:type="dxa"/>
            <w:tcBorders>
              <w:tl2br w:val="nil"/>
              <w:tr2bl w:val="nil"/>
            </w:tcBorders>
            <w:noWrap/>
            <w:vAlign w:val="center"/>
          </w:tcPr>
          <w:p>
            <w:pPr>
              <w:widowControl/>
              <w:jc w:val="left"/>
              <w:rPr>
                <w:rFonts w:ascii="仿宋_GB2312" w:hAnsi="Arial" w:eastAsia="仿宋_GB2312" w:cs="Arial"/>
                <w:color w:val="000000"/>
                <w:kern w:val="0"/>
                <w:sz w:val="24"/>
              </w:rPr>
            </w:pPr>
            <w:r>
              <w:rPr>
                <w:rFonts w:hint="eastAsia" w:ascii="仿宋_GB2312" w:hAnsi="Arial" w:eastAsia="仿宋_GB2312" w:cs="Arial"/>
                <w:color w:val="000000"/>
                <w:kern w:val="0"/>
                <w:sz w:val="24"/>
              </w:rPr>
              <w:t>七、污水处理费收入</w:t>
            </w:r>
          </w:p>
        </w:tc>
        <w:tc>
          <w:tcPr>
            <w:tcW w:w="1237" w:type="dxa"/>
            <w:tcBorders>
              <w:tl2br w:val="nil"/>
              <w:tr2bl w:val="nil"/>
            </w:tcBorders>
            <w:noWrap w:val="0"/>
            <w:vAlign w:val="center"/>
          </w:tcPr>
          <w:p>
            <w:pPr>
              <w:widowControl/>
              <w:jc w:val="center"/>
              <w:rPr>
                <w:color w:val="000000"/>
                <w:kern w:val="0"/>
                <w:sz w:val="24"/>
              </w:rPr>
            </w:pPr>
            <w:r>
              <w:rPr>
                <w:color w:val="000000"/>
                <w:kern w:val="0"/>
                <w:sz w:val="24"/>
              </w:rPr>
              <w:t xml:space="preserve">1,248 </w:t>
            </w:r>
          </w:p>
        </w:tc>
        <w:tc>
          <w:tcPr>
            <w:tcW w:w="1367" w:type="dxa"/>
            <w:tcBorders>
              <w:tl2br w:val="nil"/>
              <w:tr2bl w:val="nil"/>
            </w:tcBorders>
            <w:noWrap w:val="0"/>
            <w:vAlign w:val="center"/>
          </w:tcPr>
          <w:p>
            <w:pPr>
              <w:widowControl/>
              <w:jc w:val="center"/>
              <w:rPr>
                <w:color w:val="000000"/>
                <w:kern w:val="0"/>
                <w:sz w:val="24"/>
              </w:rPr>
            </w:pPr>
            <w:r>
              <w:rPr>
                <w:color w:val="000000"/>
                <w:kern w:val="0"/>
                <w:sz w:val="24"/>
              </w:rPr>
              <w:t xml:space="preserve">1,363 </w:t>
            </w:r>
          </w:p>
        </w:tc>
        <w:tc>
          <w:tcPr>
            <w:tcW w:w="1323" w:type="dxa"/>
            <w:tcBorders>
              <w:tl2br w:val="nil"/>
              <w:tr2bl w:val="nil"/>
            </w:tcBorders>
            <w:noWrap w:val="0"/>
            <w:vAlign w:val="center"/>
          </w:tcPr>
          <w:p>
            <w:pPr>
              <w:widowControl/>
              <w:jc w:val="center"/>
              <w:rPr>
                <w:color w:val="000000"/>
                <w:kern w:val="0"/>
                <w:sz w:val="24"/>
              </w:rPr>
            </w:pPr>
            <w:r>
              <w:rPr>
                <w:color w:val="000000"/>
                <w:kern w:val="0"/>
                <w:sz w:val="24"/>
              </w:rPr>
              <w:t xml:space="preserve">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4860" w:type="dxa"/>
            <w:tcBorders>
              <w:tl2br w:val="nil"/>
              <w:tr2bl w:val="nil"/>
            </w:tcBorders>
            <w:noWrap/>
            <w:vAlign w:val="center"/>
          </w:tcPr>
          <w:p>
            <w:pPr>
              <w:widowControl/>
              <w:jc w:val="left"/>
              <w:rPr>
                <w:rFonts w:ascii="仿宋_GB2312" w:hAnsi="Arial" w:eastAsia="仿宋_GB2312" w:cs="Arial"/>
                <w:color w:val="000000"/>
                <w:kern w:val="0"/>
                <w:sz w:val="24"/>
              </w:rPr>
            </w:pPr>
            <w:r>
              <w:rPr>
                <w:rFonts w:hint="eastAsia" w:ascii="仿宋_GB2312" w:hAnsi="Arial" w:eastAsia="仿宋_GB2312" w:cs="Arial"/>
                <w:color w:val="000000"/>
                <w:kern w:val="0"/>
                <w:sz w:val="24"/>
              </w:rPr>
              <w:t>八、其他政府性基金收入</w:t>
            </w:r>
          </w:p>
        </w:tc>
        <w:tc>
          <w:tcPr>
            <w:tcW w:w="1237" w:type="dxa"/>
            <w:tcBorders>
              <w:tl2br w:val="nil"/>
              <w:tr2bl w:val="nil"/>
            </w:tcBorders>
            <w:noWrap w:val="0"/>
            <w:vAlign w:val="center"/>
          </w:tcPr>
          <w:p>
            <w:pPr>
              <w:widowControl/>
              <w:jc w:val="center"/>
              <w:rPr>
                <w:color w:val="000000"/>
                <w:kern w:val="0"/>
                <w:sz w:val="24"/>
              </w:rPr>
            </w:pPr>
            <w:r>
              <w:rPr>
                <w:color w:val="000000"/>
                <w:kern w:val="0"/>
                <w:sz w:val="24"/>
              </w:rPr>
              <w:t xml:space="preserve">500 </w:t>
            </w:r>
          </w:p>
        </w:tc>
        <w:tc>
          <w:tcPr>
            <w:tcW w:w="1367" w:type="dxa"/>
            <w:tcBorders>
              <w:tl2br w:val="nil"/>
              <w:tr2bl w:val="nil"/>
            </w:tcBorders>
            <w:noWrap w:val="0"/>
            <w:vAlign w:val="center"/>
          </w:tcPr>
          <w:p>
            <w:pPr>
              <w:widowControl/>
              <w:jc w:val="center"/>
              <w:rPr>
                <w:color w:val="000000"/>
                <w:kern w:val="0"/>
                <w:sz w:val="24"/>
              </w:rPr>
            </w:pPr>
            <w:r>
              <w:rPr>
                <w:color w:val="000000"/>
                <w:kern w:val="0"/>
                <w:sz w:val="24"/>
              </w:rPr>
              <w:t xml:space="preserve">39 </w:t>
            </w:r>
          </w:p>
        </w:tc>
        <w:tc>
          <w:tcPr>
            <w:tcW w:w="1323" w:type="dxa"/>
            <w:tcBorders>
              <w:tl2br w:val="nil"/>
              <w:tr2bl w:val="nil"/>
            </w:tcBorders>
            <w:noWrap w:val="0"/>
            <w:vAlign w:val="center"/>
          </w:tcPr>
          <w:p>
            <w:pPr>
              <w:widowControl/>
              <w:jc w:val="center"/>
              <w:rPr>
                <w:color w:val="000000"/>
                <w:kern w:val="0"/>
                <w:sz w:val="24"/>
              </w:rPr>
            </w:pPr>
            <w:r>
              <w:rPr>
                <w:color w:val="000000"/>
                <w:kern w:val="0"/>
                <w:sz w:val="24"/>
              </w:rPr>
              <w:t xml:space="preserve">-92.2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4860" w:type="dxa"/>
            <w:tcBorders>
              <w:tl2br w:val="nil"/>
              <w:tr2bl w:val="nil"/>
            </w:tcBorders>
            <w:noWrap/>
            <w:vAlign w:val="center"/>
          </w:tcPr>
          <w:p>
            <w:pPr>
              <w:widowControl/>
              <w:jc w:val="left"/>
              <w:rPr>
                <w:rFonts w:ascii="仿宋_GB2312" w:hAnsi="Arial" w:eastAsia="仿宋_GB2312" w:cs="Arial"/>
                <w:color w:val="000000"/>
                <w:kern w:val="0"/>
                <w:sz w:val="24"/>
              </w:rPr>
            </w:pPr>
            <w:r>
              <w:rPr>
                <w:rFonts w:hint="eastAsia" w:ascii="仿宋_GB2312" w:hAnsi="Arial" w:eastAsia="仿宋_GB2312" w:cs="Arial"/>
                <w:color w:val="000000"/>
                <w:kern w:val="0"/>
                <w:sz w:val="24"/>
              </w:rPr>
              <w:t>　</w:t>
            </w:r>
          </w:p>
        </w:tc>
        <w:tc>
          <w:tcPr>
            <w:tcW w:w="1237" w:type="dxa"/>
            <w:tcBorders>
              <w:tl2br w:val="nil"/>
              <w:tr2bl w:val="nil"/>
            </w:tcBorders>
            <w:noWrap w:val="0"/>
            <w:vAlign w:val="center"/>
          </w:tcPr>
          <w:p>
            <w:pPr>
              <w:widowControl/>
              <w:jc w:val="center"/>
              <w:rPr>
                <w:color w:val="000000"/>
                <w:kern w:val="0"/>
                <w:sz w:val="24"/>
              </w:rPr>
            </w:pPr>
            <w:r>
              <w:rPr>
                <w:color w:val="000000"/>
                <w:kern w:val="0"/>
                <w:sz w:val="24"/>
              </w:rPr>
              <w:t>　</w:t>
            </w:r>
          </w:p>
        </w:tc>
        <w:tc>
          <w:tcPr>
            <w:tcW w:w="1367" w:type="dxa"/>
            <w:tcBorders>
              <w:tl2br w:val="nil"/>
              <w:tr2bl w:val="nil"/>
            </w:tcBorders>
            <w:noWrap w:val="0"/>
            <w:vAlign w:val="center"/>
          </w:tcPr>
          <w:p>
            <w:pPr>
              <w:widowControl/>
              <w:jc w:val="center"/>
              <w:rPr>
                <w:color w:val="000000"/>
                <w:kern w:val="0"/>
                <w:sz w:val="24"/>
              </w:rPr>
            </w:pPr>
            <w:r>
              <w:rPr>
                <w:color w:val="000000"/>
                <w:kern w:val="0"/>
                <w:sz w:val="24"/>
              </w:rPr>
              <w:t>　</w:t>
            </w:r>
          </w:p>
        </w:tc>
        <w:tc>
          <w:tcPr>
            <w:tcW w:w="1323" w:type="dxa"/>
            <w:tcBorders>
              <w:tl2br w:val="nil"/>
              <w:tr2bl w:val="nil"/>
            </w:tcBorders>
            <w:noWrap w:val="0"/>
            <w:vAlign w:val="center"/>
          </w:tcPr>
          <w:p>
            <w:pPr>
              <w:widowControl/>
              <w:jc w:val="center"/>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4860" w:type="dxa"/>
            <w:tcBorders>
              <w:tl2br w:val="nil"/>
              <w:tr2bl w:val="nil"/>
            </w:tcBorders>
            <w:noWrap/>
            <w:vAlign w:val="center"/>
          </w:tcPr>
          <w:p>
            <w:pPr>
              <w:widowControl/>
              <w:jc w:val="left"/>
              <w:rPr>
                <w:rFonts w:ascii="仿宋_GB2312" w:hAnsi="Arial" w:eastAsia="仿宋_GB2312" w:cs="Arial"/>
                <w:color w:val="000000"/>
                <w:kern w:val="0"/>
                <w:sz w:val="24"/>
              </w:rPr>
            </w:pPr>
            <w:r>
              <w:rPr>
                <w:rFonts w:hint="eastAsia" w:ascii="仿宋_GB2312" w:hAnsi="Arial" w:eastAsia="仿宋_GB2312" w:cs="Arial"/>
                <w:color w:val="000000"/>
                <w:kern w:val="0"/>
                <w:sz w:val="24"/>
              </w:rPr>
              <w:t>　</w:t>
            </w:r>
          </w:p>
        </w:tc>
        <w:tc>
          <w:tcPr>
            <w:tcW w:w="1237" w:type="dxa"/>
            <w:tcBorders>
              <w:tl2br w:val="nil"/>
              <w:tr2bl w:val="nil"/>
            </w:tcBorders>
            <w:noWrap w:val="0"/>
            <w:vAlign w:val="center"/>
          </w:tcPr>
          <w:p>
            <w:pPr>
              <w:widowControl/>
              <w:jc w:val="center"/>
              <w:rPr>
                <w:color w:val="000000"/>
                <w:kern w:val="0"/>
                <w:sz w:val="24"/>
              </w:rPr>
            </w:pPr>
            <w:r>
              <w:rPr>
                <w:color w:val="000000"/>
                <w:kern w:val="0"/>
                <w:sz w:val="24"/>
              </w:rPr>
              <w:t>　</w:t>
            </w:r>
          </w:p>
        </w:tc>
        <w:tc>
          <w:tcPr>
            <w:tcW w:w="1367" w:type="dxa"/>
            <w:tcBorders>
              <w:tl2br w:val="nil"/>
              <w:tr2bl w:val="nil"/>
            </w:tcBorders>
            <w:noWrap w:val="0"/>
            <w:vAlign w:val="center"/>
          </w:tcPr>
          <w:p>
            <w:pPr>
              <w:widowControl/>
              <w:jc w:val="center"/>
              <w:rPr>
                <w:color w:val="000000"/>
                <w:kern w:val="0"/>
                <w:sz w:val="24"/>
              </w:rPr>
            </w:pPr>
            <w:r>
              <w:rPr>
                <w:color w:val="000000"/>
                <w:kern w:val="0"/>
                <w:sz w:val="24"/>
              </w:rPr>
              <w:t>　</w:t>
            </w:r>
          </w:p>
        </w:tc>
        <w:tc>
          <w:tcPr>
            <w:tcW w:w="1323" w:type="dxa"/>
            <w:tcBorders>
              <w:tl2br w:val="nil"/>
              <w:tr2bl w:val="nil"/>
            </w:tcBorders>
            <w:noWrap w:val="0"/>
            <w:vAlign w:val="center"/>
          </w:tcPr>
          <w:p>
            <w:pPr>
              <w:widowControl/>
              <w:jc w:val="center"/>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4860" w:type="dxa"/>
            <w:tcBorders>
              <w:tl2br w:val="nil"/>
              <w:tr2bl w:val="nil"/>
            </w:tcBorders>
            <w:noWrap/>
            <w:vAlign w:val="center"/>
          </w:tcPr>
          <w:p>
            <w:pPr>
              <w:widowControl/>
              <w:jc w:val="left"/>
              <w:rPr>
                <w:rFonts w:ascii="仿宋_GB2312" w:hAnsi="Arial" w:eastAsia="仿宋_GB2312" w:cs="Arial"/>
                <w:color w:val="000000"/>
                <w:kern w:val="0"/>
                <w:sz w:val="24"/>
              </w:rPr>
            </w:pPr>
            <w:r>
              <w:rPr>
                <w:rFonts w:hint="eastAsia" w:ascii="仿宋_GB2312" w:hAnsi="Arial" w:eastAsia="仿宋_GB2312" w:cs="Arial"/>
                <w:color w:val="000000"/>
                <w:kern w:val="0"/>
                <w:sz w:val="24"/>
              </w:rPr>
              <w:t>　</w:t>
            </w:r>
          </w:p>
        </w:tc>
        <w:tc>
          <w:tcPr>
            <w:tcW w:w="1237" w:type="dxa"/>
            <w:tcBorders>
              <w:tl2br w:val="nil"/>
              <w:tr2bl w:val="nil"/>
            </w:tcBorders>
            <w:noWrap w:val="0"/>
            <w:vAlign w:val="center"/>
          </w:tcPr>
          <w:p>
            <w:pPr>
              <w:widowControl/>
              <w:jc w:val="center"/>
              <w:rPr>
                <w:color w:val="000000"/>
                <w:kern w:val="0"/>
                <w:sz w:val="24"/>
              </w:rPr>
            </w:pPr>
            <w:r>
              <w:rPr>
                <w:color w:val="000000"/>
                <w:kern w:val="0"/>
                <w:sz w:val="24"/>
              </w:rPr>
              <w:t>　</w:t>
            </w:r>
          </w:p>
        </w:tc>
        <w:tc>
          <w:tcPr>
            <w:tcW w:w="1367" w:type="dxa"/>
            <w:tcBorders>
              <w:tl2br w:val="nil"/>
              <w:tr2bl w:val="nil"/>
            </w:tcBorders>
            <w:noWrap w:val="0"/>
            <w:vAlign w:val="center"/>
          </w:tcPr>
          <w:p>
            <w:pPr>
              <w:widowControl/>
              <w:jc w:val="center"/>
              <w:rPr>
                <w:color w:val="000000"/>
                <w:kern w:val="0"/>
                <w:sz w:val="24"/>
              </w:rPr>
            </w:pPr>
            <w:r>
              <w:rPr>
                <w:color w:val="000000"/>
                <w:kern w:val="0"/>
                <w:sz w:val="24"/>
              </w:rPr>
              <w:t>　</w:t>
            </w:r>
          </w:p>
        </w:tc>
        <w:tc>
          <w:tcPr>
            <w:tcW w:w="1323" w:type="dxa"/>
            <w:tcBorders>
              <w:tl2br w:val="nil"/>
              <w:tr2bl w:val="nil"/>
            </w:tcBorders>
            <w:noWrap w:val="0"/>
            <w:vAlign w:val="center"/>
          </w:tcPr>
          <w:p>
            <w:pPr>
              <w:widowControl/>
              <w:jc w:val="center"/>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4860" w:type="dxa"/>
            <w:tcBorders>
              <w:tl2br w:val="nil"/>
              <w:tr2bl w:val="nil"/>
            </w:tcBorders>
            <w:noWrap/>
            <w:vAlign w:val="center"/>
          </w:tcPr>
          <w:p>
            <w:pPr>
              <w:widowControl/>
              <w:jc w:val="left"/>
              <w:rPr>
                <w:rFonts w:ascii="仿宋_GB2312" w:hAnsi="Arial" w:eastAsia="仿宋_GB2312" w:cs="Arial"/>
                <w:color w:val="000000"/>
                <w:kern w:val="0"/>
                <w:sz w:val="24"/>
              </w:rPr>
            </w:pPr>
            <w:r>
              <w:rPr>
                <w:rFonts w:hint="eastAsia" w:ascii="仿宋_GB2312" w:hAnsi="Arial" w:eastAsia="仿宋_GB2312" w:cs="Arial"/>
                <w:color w:val="000000"/>
                <w:kern w:val="0"/>
                <w:sz w:val="24"/>
              </w:rPr>
              <w:t>　</w:t>
            </w:r>
          </w:p>
        </w:tc>
        <w:tc>
          <w:tcPr>
            <w:tcW w:w="1237" w:type="dxa"/>
            <w:tcBorders>
              <w:tl2br w:val="nil"/>
              <w:tr2bl w:val="nil"/>
            </w:tcBorders>
            <w:noWrap w:val="0"/>
            <w:vAlign w:val="center"/>
          </w:tcPr>
          <w:p>
            <w:pPr>
              <w:widowControl/>
              <w:jc w:val="center"/>
              <w:rPr>
                <w:color w:val="000000"/>
                <w:kern w:val="0"/>
                <w:sz w:val="24"/>
              </w:rPr>
            </w:pPr>
            <w:r>
              <w:rPr>
                <w:color w:val="000000"/>
                <w:kern w:val="0"/>
                <w:sz w:val="24"/>
              </w:rPr>
              <w:t>　</w:t>
            </w:r>
          </w:p>
        </w:tc>
        <w:tc>
          <w:tcPr>
            <w:tcW w:w="1367" w:type="dxa"/>
            <w:tcBorders>
              <w:tl2br w:val="nil"/>
              <w:tr2bl w:val="nil"/>
            </w:tcBorders>
            <w:noWrap w:val="0"/>
            <w:vAlign w:val="center"/>
          </w:tcPr>
          <w:p>
            <w:pPr>
              <w:widowControl/>
              <w:jc w:val="center"/>
              <w:rPr>
                <w:color w:val="000000"/>
                <w:kern w:val="0"/>
                <w:sz w:val="24"/>
              </w:rPr>
            </w:pPr>
            <w:r>
              <w:rPr>
                <w:color w:val="000000"/>
                <w:kern w:val="0"/>
                <w:sz w:val="24"/>
              </w:rPr>
              <w:t>　</w:t>
            </w:r>
          </w:p>
        </w:tc>
        <w:tc>
          <w:tcPr>
            <w:tcW w:w="1323" w:type="dxa"/>
            <w:tcBorders>
              <w:tl2br w:val="nil"/>
              <w:tr2bl w:val="nil"/>
            </w:tcBorders>
            <w:noWrap w:val="0"/>
            <w:vAlign w:val="center"/>
          </w:tcPr>
          <w:p>
            <w:pPr>
              <w:widowControl/>
              <w:jc w:val="center"/>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4860" w:type="dxa"/>
            <w:tcBorders>
              <w:tl2br w:val="nil"/>
              <w:tr2bl w:val="nil"/>
            </w:tcBorders>
            <w:noWrap/>
            <w:vAlign w:val="center"/>
          </w:tcPr>
          <w:p>
            <w:pPr>
              <w:widowControl/>
              <w:jc w:val="left"/>
              <w:rPr>
                <w:rFonts w:hint="eastAsia" w:ascii="仿宋_GB2312" w:hAnsi="Arial" w:eastAsia="仿宋_GB2312" w:cs="Arial"/>
                <w:color w:val="000000"/>
                <w:kern w:val="0"/>
                <w:sz w:val="24"/>
              </w:rPr>
            </w:pPr>
          </w:p>
        </w:tc>
        <w:tc>
          <w:tcPr>
            <w:tcW w:w="1237" w:type="dxa"/>
            <w:tcBorders>
              <w:tl2br w:val="nil"/>
              <w:tr2bl w:val="nil"/>
            </w:tcBorders>
            <w:noWrap w:val="0"/>
            <w:vAlign w:val="center"/>
          </w:tcPr>
          <w:p>
            <w:pPr>
              <w:widowControl/>
              <w:jc w:val="center"/>
              <w:rPr>
                <w:color w:val="000000"/>
                <w:kern w:val="0"/>
                <w:sz w:val="24"/>
              </w:rPr>
            </w:pPr>
          </w:p>
        </w:tc>
        <w:tc>
          <w:tcPr>
            <w:tcW w:w="1367" w:type="dxa"/>
            <w:tcBorders>
              <w:tl2br w:val="nil"/>
              <w:tr2bl w:val="nil"/>
            </w:tcBorders>
            <w:noWrap w:val="0"/>
            <w:vAlign w:val="center"/>
          </w:tcPr>
          <w:p>
            <w:pPr>
              <w:widowControl/>
              <w:jc w:val="center"/>
              <w:rPr>
                <w:color w:val="000000"/>
                <w:kern w:val="0"/>
                <w:sz w:val="24"/>
              </w:rPr>
            </w:pPr>
          </w:p>
        </w:tc>
        <w:tc>
          <w:tcPr>
            <w:tcW w:w="1323" w:type="dxa"/>
            <w:tcBorders>
              <w:tl2br w:val="nil"/>
              <w:tr2bl w:val="nil"/>
            </w:tcBorders>
            <w:noWrap w:val="0"/>
            <w:vAlign w:val="center"/>
          </w:tcPr>
          <w:p>
            <w:pPr>
              <w:widowControl/>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4860" w:type="dxa"/>
            <w:tcBorders>
              <w:tl2br w:val="nil"/>
              <w:tr2bl w:val="nil"/>
            </w:tcBorders>
            <w:noWrap/>
            <w:vAlign w:val="center"/>
          </w:tcPr>
          <w:p>
            <w:pPr>
              <w:widowControl/>
              <w:jc w:val="left"/>
              <w:rPr>
                <w:rFonts w:hint="eastAsia" w:ascii="仿宋_GB2312" w:hAnsi="Arial" w:eastAsia="仿宋_GB2312" w:cs="Arial"/>
                <w:color w:val="000000"/>
                <w:kern w:val="0"/>
                <w:sz w:val="24"/>
              </w:rPr>
            </w:pPr>
          </w:p>
        </w:tc>
        <w:tc>
          <w:tcPr>
            <w:tcW w:w="1237" w:type="dxa"/>
            <w:tcBorders>
              <w:tl2br w:val="nil"/>
              <w:tr2bl w:val="nil"/>
            </w:tcBorders>
            <w:noWrap w:val="0"/>
            <w:vAlign w:val="center"/>
          </w:tcPr>
          <w:p>
            <w:pPr>
              <w:widowControl/>
              <w:jc w:val="center"/>
              <w:rPr>
                <w:color w:val="000000"/>
                <w:kern w:val="0"/>
                <w:sz w:val="24"/>
              </w:rPr>
            </w:pPr>
          </w:p>
        </w:tc>
        <w:tc>
          <w:tcPr>
            <w:tcW w:w="1367" w:type="dxa"/>
            <w:tcBorders>
              <w:tl2br w:val="nil"/>
              <w:tr2bl w:val="nil"/>
            </w:tcBorders>
            <w:noWrap w:val="0"/>
            <w:vAlign w:val="center"/>
          </w:tcPr>
          <w:p>
            <w:pPr>
              <w:widowControl/>
              <w:jc w:val="center"/>
              <w:rPr>
                <w:color w:val="000000"/>
                <w:kern w:val="0"/>
                <w:sz w:val="24"/>
              </w:rPr>
            </w:pPr>
          </w:p>
        </w:tc>
        <w:tc>
          <w:tcPr>
            <w:tcW w:w="1323" w:type="dxa"/>
            <w:tcBorders>
              <w:tl2br w:val="nil"/>
              <w:tr2bl w:val="nil"/>
            </w:tcBorders>
            <w:noWrap w:val="0"/>
            <w:vAlign w:val="center"/>
          </w:tcPr>
          <w:p>
            <w:pPr>
              <w:widowControl/>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4860" w:type="dxa"/>
            <w:tcBorders>
              <w:tl2br w:val="nil"/>
              <w:tr2bl w:val="nil"/>
            </w:tcBorders>
            <w:noWrap w:val="0"/>
            <w:vAlign w:val="center"/>
          </w:tcPr>
          <w:p>
            <w:pPr>
              <w:widowControl/>
              <w:jc w:val="center"/>
              <w:rPr>
                <w:rFonts w:ascii="仿宋_GB2312" w:hAnsi="Arial" w:eastAsia="仿宋_GB2312" w:cs="Arial"/>
                <w:color w:val="000000"/>
                <w:kern w:val="0"/>
                <w:sz w:val="24"/>
              </w:rPr>
            </w:pPr>
            <w:r>
              <w:rPr>
                <w:rFonts w:hint="eastAsia" w:ascii="仿宋_GB2312" w:hAnsi="Arial" w:eastAsia="仿宋_GB2312" w:cs="Arial"/>
                <w:color w:val="000000"/>
                <w:kern w:val="0"/>
                <w:sz w:val="24"/>
              </w:rPr>
              <w:t>政府性基金</w:t>
            </w:r>
            <w:r>
              <w:rPr>
                <w:rFonts w:hint="eastAsia" w:ascii="仿宋_GB2312" w:hAnsi="Arial" w:eastAsia="仿宋_GB2312" w:cs="Arial"/>
                <w:color w:val="000000"/>
                <w:kern w:val="0"/>
                <w:sz w:val="24"/>
                <w:lang w:eastAsia="zh-CN"/>
              </w:rPr>
              <w:t>预算</w:t>
            </w:r>
            <w:r>
              <w:rPr>
                <w:rFonts w:hint="eastAsia" w:ascii="仿宋_GB2312" w:hAnsi="Arial" w:eastAsia="仿宋_GB2312" w:cs="Arial"/>
                <w:color w:val="000000"/>
                <w:kern w:val="0"/>
                <w:sz w:val="24"/>
              </w:rPr>
              <w:t>收入合计</w:t>
            </w:r>
          </w:p>
        </w:tc>
        <w:tc>
          <w:tcPr>
            <w:tcW w:w="1237" w:type="dxa"/>
            <w:tcBorders>
              <w:tl2br w:val="nil"/>
              <w:tr2bl w:val="nil"/>
            </w:tcBorders>
            <w:noWrap w:val="0"/>
            <w:vAlign w:val="center"/>
          </w:tcPr>
          <w:p>
            <w:pPr>
              <w:widowControl/>
              <w:jc w:val="center"/>
              <w:rPr>
                <w:color w:val="000000"/>
                <w:kern w:val="0"/>
                <w:sz w:val="24"/>
              </w:rPr>
            </w:pPr>
            <w:r>
              <w:rPr>
                <w:color w:val="000000"/>
                <w:kern w:val="0"/>
                <w:sz w:val="24"/>
              </w:rPr>
              <w:t xml:space="preserve">63,270 </w:t>
            </w:r>
          </w:p>
        </w:tc>
        <w:tc>
          <w:tcPr>
            <w:tcW w:w="1367" w:type="dxa"/>
            <w:tcBorders>
              <w:tl2br w:val="nil"/>
              <w:tr2bl w:val="nil"/>
            </w:tcBorders>
            <w:noWrap w:val="0"/>
            <w:vAlign w:val="center"/>
          </w:tcPr>
          <w:p>
            <w:pPr>
              <w:widowControl/>
              <w:jc w:val="center"/>
              <w:rPr>
                <w:color w:val="000000"/>
                <w:kern w:val="0"/>
                <w:sz w:val="24"/>
              </w:rPr>
            </w:pPr>
            <w:r>
              <w:rPr>
                <w:color w:val="000000"/>
                <w:kern w:val="0"/>
                <w:sz w:val="24"/>
              </w:rPr>
              <w:t xml:space="preserve">169,539 </w:t>
            </w:r>
          </w:p>
        </w:tc>
        <w:tc>
          <w:tcPr>
            <w:tcW w:w="1323" w:type="dxa"/>
            <w:tcBorders>
              <w:tl2br w:val="nil"/>
              <w:tr2bl w:val="nil"/>
            </w:tcBorders>
            <w:noWrap w:val="0"/>
            <w:vAlign w:val="center"/>
          </w:tcPr>
          <w:p>
            <w:pPr>
              <w:widowControl/>
              <w:jc w:val="center"/>
              <w:rPr>
                <w:color w:val="000000"/>
                <w:kern w:val="0"/>
                <w:sz w:val="24"/>
              </w:rPr>
            </w:pPr>
            <w:r>
              <w:rPr>
                <w:color w:val="000000"/>
                <w:kern w:val="0"/>
                <w:sz w:val="24"/>
              </w:rPr>
              <w:t xml:space="preserve">168.0 </w:t>
            </w:r>
          </w:p>
        </w:tc>
      </w:tr>
    </w:tbl>
    <w:p>
      <w:pPr>
        <w:rPr>
          <w:rFonts w:hint="eastAsia"/>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38" w:lineRule="exact"/>
        <w:textAlignment w:val="auto"/>
        <w:rPr>
          <w:rFonts w:hint="eastAsia"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表四</w:t>
      </w:r>
    </w:p>
    <w:p>
      <w:pPr>
        <w:keepNext w:val="0"/>
        <w:keepLines w:val="0"/>
        <w:pageBreakBefore w:val="0"/>
        <w:widowControl w:val="0"/>
        <w:kinsoku/>
        <w:wordWrap/>
        <w:overflowPunct/>
        <w:topLinePunct w:val="0"/>
        <w:autoSpaceDE/>
        <w:autoSpaceDN/>
        <w:bidi w:val="0"/>
        <w:adjustRightInd/>
        <w:snapToGrid/>
        <w:spacing w:line="538" w:lineRule="exact"/>
        <w:jc w:val="center"/>
        <w:textAlignment w:val="auto"/>
        <w:rPr>
          <w:rFonts w:hint="eastAsia" w:ascii="方正小标宋_GBK" w:hAnsi="方正小标宋_GBK" w:eastAsia="方正小标宋_GBK" w:cs="方正小标宋_GBK"/>
          <w:color w:val="000000"/>
          <w:kern w:val="0"/>
          <w:sz w:val="36"/>
          <w:szCs w:val="36"/>
        </w:rPr>
      </w:pPr>
      <w:r>
        <w:rPr>
          <w:rFonts w:hint="eastAsia" w:ascii="方正小标宋_GBK" w:hAnsi="方正小标宋_GBK" w:eastAsia="方正小标宋_GBK" w:cs="方正小标宋_GBK"/>
          <w:color w:val="000000"/>
          <w:kern w:val="0"/>
          <w:sz w:val="36"/>
          <w:szCs w:val="36"/>
        </w:rPr>
        <w:t>2018年德化县政府性基金预算支出情况表</w:t>
      </w:r>
    </w:p>
    <w:p>
      <w:pPr>
        <w:keepNext w:val="0"/>
        <w:keepLines w:val="0"/>
        <w:pageBreakBefore w:val="0"/>
        <w:widowControl w:val="0"/>
        <w:kinsoku/>
        <w:wordWrap/>
        <w:overflowPunct/>
        <w:topLinePunct w:val="0"/>
        <w:autoSpaceDE/>
        <w:autoSpaceDN/>
        <w:bidi w:val="0"/>
        <w:adjustRightInd/>
        <w:snapToGrid/>
        <w:spacing w:line="538" w:lineRule="exact"/>
        <w:jc w:val="right"/>
        <w:textAlignment w:val="auto"/>
        <w:rPr>
          <w:rFonts w:hint="eastAsia"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单位：万元</w:t>
      </w:r>
    </w:p>
    <w:tbl>
      <w:tblPr>
        <w:tblStyle w:val="8"/>
        <w:tblW w:w="93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9"/>
        <w:gridCol w:w="1122"/>
        <w:gridCol w:w="975"/>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6259" w:type="dxa"/>
            <w:vMerge w:val="restart"/>
            <w:tcBorders>
              <w:tl2br w:val="nil"/>
              <w:tr2bl w:val="nil"/>
            </w:tcBorders>
            <w:noWrap w:val="0"/>
            <w:vAlign w:val="center"/>
          </w:tcPr>
          <w:p>
            <w:pPr>
              <w:widowControl/>
              <w:jc w:val="center"/>
              <w:rPr>
                <w:rFonts w:ascii="仿宋_GB2312" w:hAnsi="Arial" w:eastAsia="仿宋_GB2312" w:cs="Arial"/>
                <w:color w:val="000000"/>
                <w:kern w:val="0"/>
                <w:sz w:val="24"/>
              </w:rPr>
            </w:pPr>
            <w:r>
              <w:rPr>
                <w:rFonts w:hint="eastAsia" w:ascii="仿宋_GB2312" w:hAnsi="Arial" w:eastAsia="仿宋_GB2312" w:cs="Arial"/>
                <w:color w:val="000000"/>
                <w:kern w:val="0"/>
                <w:sz w:val="24"/>
              </w:rPr>
              <w:t>科</w:t>
            </w:r>
            <w:r>
              <w:rPr>
                <w:rFonts w:eastAsia="仿宋_GB2312"/>
                <w:color w:val="000000"/>
                <w:kern w:val="0"/>
                <w:sz w:val="24"/>
              </w:rPr>
              <w:t xml:space="preserve">   </w:t>
            </w:r>
            <w:r>
              <w:rPr>
                <w:rFonts w:hint="eastAsia" w:ascii="仿宋_GB2312" w:hAnsi="Arial" w:eastAsia="仿宋_GB2312" w:cs="Arial"/>
                <w:color w:val="000000"/>
                <w:kern w:val="0"/>
                <w:sz w:val="24"/>
              </w:rPr>
              <w:t>目</w:t>
            </w:r>
          </w:p>
        </w:tc>
        <w:tc>
          <w:tcPr>
            <w:tcW w:w="1122" w:type="dxa"/>
            <w:vMerge w:val="restart"/>
            <w:tcBorders>
              <w:tl2br w:val="nil"/>
              <w:tr2bl w:val="nil"/>
            </w:tcBorders>
            <w:noWrap w:val="0"/>
            <w:vAlign w:val="center"/>
          </w:tcPr>
          <w:p>
            <w:pPr>
              <w:widowControl/>
              <w:jc w:val="center"/>
              <w:rPr>
                <w:color w:val="000000"/>
                <w:kern w:val="0"/>
                <w:sz w:val="24"/>
              </w:rPr>
            </w:pPr>
            <w:r>
              <w:rPr>
                <w:color w:val="000000"/>
                <w:kern w:val="0"/>
                <w:sz w:val="24"/>
              </w:rPr>
              <w:t>2017</w:t>
            </w:r>
            <w:r>
              <w:rPr>
                <w:rFonts w:hint="eastAsia" w:ascii="仿宋_GB2312" w:eastAsia="仿宋_GB2312"/>
                <w:color w:val="000000"/>
                <w:kern w:val="0"/>
                <w:sz w:val="24"/>
              </w:rPr>
              <w:t>年支出数</w:t>
            </w:r>
          </w:p>
        </w:tc>
        <w:tc>
          <w:tcPr>
            <w:tcW w:w="1942" w:type="dxa"/>
            <w:gridSpan w:val="2"/>
            <w:tcBorders>
              <w:tl2br w:val="nil"/>
              <w:tr2bl w:val="nil"/>
            </w:tcBorders>
            <w:noWrap w:val="0"/>
            <w:vAlign w:val="center"/>
          </w:tcPr>
          <w:p>
            <w:pPr>
              <w:widowControl/>
              <w:jc w:val="center"/>
              <w:rPr>
                <w:color w:val="000000"/>
                <w:kern w:val="0"/>
                <w:sz w:val="24"/>
              </w:rPr>
            </w:pPr>
            <w:r>
              <w:rPr>
                <w:color w:val="000000"/>
                <w:kern w:val="0"/>
                <w:sz w:val="24"/>
              </w:rPr>
              <w:t>2018</w:t>
            </w:r>
            <w:r>
              <w:rPr>
                <w:rFonts w:hint="eastAsia" w:ascii="仿宋_GB2312" w:eastAsia="仿宋_GB2312"/>
                <w:color w:val="000000"/>
                <w:kern w:val="0"/>
                <w:sz w:val="24"/>
              </w:rPr>
              <w:t>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6259" w:type="dxa"/>
            <w:vMerge w:val="continue"/>
            <w:tcBorders>
              <w:tl2br w:val="nil"/>
              <w:tr2bl w:val="nil"/>
            </w:tcBorders>
            <w:noWrap w:val="0"/>
            <w:vAlign w:val="center"/>
          </w:tcPr>
          <w:p>
            <w:pPr>
              <w:widowControl/>
              <w:jc w:val="left"/>
              <w:rPr>
                <w:rFonts w:ascii="仿宋_GB2312" w:hAnsi="Arial" w:eastAsia="仿宋_GB2312" w:cs="Arial"/>
                <w:color w:val="000000"/>
                <w:kern w:val="0"/>
                <w:sz w:val="24"/>
              </w:rPr>
            </w:pPr>
          </w:p>
        </w:tc>
        <w:tc>
          <w:tcPr>
            <w:tcW w:w="1122" w:type="dxa"/>
            <w:vMerge w:val="continue"/>
            <w:tcBorders>
              <w:tl2br w:val="nil"/>
              <w:tr2bl w:val="nil"/>
            </w:tcBorders>
            <w:noWrap w:val="0"/>
            <w:vAlign w:val="center"/>
          </w:tcPr>
          <w:p>
            <w:pPr>
              <w:widowControl/>
              <w:jc w:val="left"/>
              <w:rPr>
                <w:color w:val="000000"/>
                <w:kern w:val="0"/>
                <w:sz w:val="24"/>
              </w:rPr>
            </w:pPr>
          </w:p>
        </w:tc>
        <w:tc>
          <w:tcPr>
            <w:tcW w:w="975" w:type="dxa"/>
            <w:tcBorders>
              <w:tl2br w:val="nil"/>
              <w:tr2bl w:val="nil"/>
            </w:tcBorders>
            <w:noWrap w:val="0"/>
            <w:vAlign w:val="center"/>
          </w:tcPr>
          <w:p>
            <w:pPr>
              <w:widowControl/>
              <w:jc w:val="center"/>
              <w:rPr>
                <w:rFonts w:ascii="仿宋_GB2312" w:hAnsi="Arial" w:eastAsia="仿宋_GB2312" w:cs="Arial"/>
                <w:color w:val="000000"/>
                <w:kern w:val="0"/>
                <w:sz w:val="24"/>
              </w:rPr>
            </w:pPr>
            <w:r>
              <w:rPr>
                <w:rFonts w:hint="eastAsia" w:ascii="仿宋_GB2312" w:hAnsi="Arial" w:eastAsia="仿宋_GB2312" w:cs="Arial"/>
                <w:color w:val="000000"/>
                <w:kern w:val="0"/>
                <w:sz w:val="24"/>
              </w:rPr>
              <w:t>预计数</w:t>
            </w:r>
          </w:p>
        </w:tc>
        <w:tc>
          <w:tcPr>
            <w:tcW w:w="967" w:type="dxa"/>
            <w:tcBorders>
              <w:tl2br w:val="nil"/>
              <w:tr2bl w:val="nil"/>
            </w:tcBorders>
            <w:noWrap w:val="0"/>
            <w:vAlign w:val="center"/>
          </w:tcPr>
          <w:p>
            <w:pPr>
              <w:widowControl/>
              <w:jc w:val="center"/>
              <w:rPr>
                <w:rFonts w:ascii="仿宋_GB2312" w:hAnsi="Arial" w:eastAsia="仿宋_GB2312" w:cs="Arial"/>
                <w:color w:val="000000"/>
                <w:kern w:val="0"/>
                <w:sz w:val="24"/>
              </w:rPr>
            </w:pPr>
            <w:r>
              <w:rPr>
                <w:rFonts w:hint="eastAsia" w:ascii="仿宋_GB2312" w:hAnsi="Arial" w:eastAsia="仿宋_GB2312" w:cs="Arial"/>
                <w:color w:val="000000"/>
                <w:kern w:val="0"/>
                <w:sz w:val="24"/>
                <w:lang w:eastAsia="zh-CN"/>
              </w:rPr>
              <w:t>比上年</w:t>
            </w:r>
            <w:r>
              <w:rPr>
                <w:rFonts w:hint="eastAsia" w:ascii="仿宋_GB2312" w:hAnsi="Arial" w:eastAsia="仿宋_GB2312" w:cs="Arial"/>
                <w:color w:val="000000"/>
                <w:kern w:val="0"/>
                <w:sz w:val="24"/>
              </w:rPr>
              <w:t>增长</w:t>
            </w:r>
            <w:r>
              <w:rPr>
                <w:rFonts w:eastAsia="仿宋_GB2312"/>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259" w:type="dxa"/>
            <w:tcBorders>
              <w:tl2br w:val="nil"/>
              <w:tr2bl w:val="nil"/>
            </w:tcBorders>
            <w:noWrap/>
            <w:vAlign w:val="center"/>
          </w:tcPr>
          <w:p>
            <w:pPr>
              <w:widowControl/>
              <w:jc w:val="left"/>
              <w:rPr>
                <w:rFonts w:ascii="仿宋_GB2312" w:hAnsi="Arial" w:eastAsia="仿宋_GB2312" w:cs="Arial"/>
                <w:color w:val="000000"/>
                <w:kern w:val="0"/>
                <w:sz w:val="24"/>
              </w:rPr>
            </w:pPr>
            <w:r>
              <w:rPr>
                <w:rFonts w:hint="eastAsia" w:ascii="仿宋_GB2312" w:hAnsi="Arial" w:eastAsia="仿宋_GB2312" w:cs="Arial"/>
                <w:color w:val="000000"/>
                <w:kern w:val="0"/>
                <w:sz w:val="24"/>
              </w:rPr>
              <w:t>一、社会保障和就业支出</w:t>
            </w:r>
          </w:p>
        </w:tc>
        <w:tc>
          <w:tcPr>
            <w:tcW w:w="1122" w:type="dxa"/>
            <w:tcBorders>
              <w:tl2br w:val="nil"/>
              <w:tr2bl w:val="nil"/>
            </w:tcBorders>
            <w:noWrap w:val="0"/>
            <w:vAlign w:val="center"/>
          </w:tcPr>
          <w:p>
            <w:pPr>
              <w:widowControl/>
              <w:jc w:val="center"/>
              <w:rPr>
                <w:color w:val="000000"/>
                <w:kern w:val="0"/>
                <w:sz w:val="24"/>
              </w:rPr>
            </w:pPr>
            <w:r>
              <w:rPr>
                <w:color w:val="000000"/>
                <w:kern w:val="0"/>
                <w:sz w:val="24"/>
              </w:rPr>
              <w:t xml:space="preserve">1,145 </w:t>
            </w:r>
          </w:p>
        </w:tc>
        <w:tc>
          <w:tcPr>
            <w:tcW w:w="975" w:type="dxa"/>
            <w:tcBorders>
              <w:tl2br w:val="nil"/>
              <w:tr2bl w:val="nil"/>
            </w:tcBorders>
            <w:noWrap w:val="0"/>
            <w:vAlign w:val="center"/>
          </w:tcPr>
          <w:p>
            <w:pPr>
              <w:widowControl/>
              <w:jc w:val="center"/>
              <w:rPr>
                <w:color w:val="000000"/>
                <w:kern w:val="0"/>
                <w:sz w:val="24"/>
              </w:rPr>
            </w:pPr>
            <w:r>
              <w:rPr>
                <w:color w:val="000000"/>
                <w:kern w:val="0"/>
                <w:sz w:val="24"/>
              </w:rPr>
              <w:t xml:space="preserve">1,128 </w:t>
            </w:r>
          </w:p>
        </w:tc>
        <w:tc>
          <w:tcPr>
            <w:tcW w:w="967" w:type="dxa"/>
            <w:tcBorders>
              <w:tl2br w:val="nil"/>
              <w:tr2bl w:val="nil"/>
            </w:tcBorders>
            <w:noWrap w:val="0"/>
            <w:vAlign w:val="center"/>
          </w:tcPr>
          <w:p>
            <w:pPr>
              <w:widowControl/>
              <w:jc w:val="center"/>
              <w:rPr>
                <w:color w:val="000000"/>
                <w:kern w:val="0"/>
                <w:sz w:val="24"/>
              </w:rPr>
            </w:pPr>
            <w:r>
              <w:rPr>
                <w:color w:val="000000"/>
                <w:kern w:val="0"/>
                <w:sz w:val="24"/>
              </w:rPr>
              <w:t xml:space="preserve">-1.5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259" w:type="dxa"/>
            <w:tcBorders>
              <w:tl2br w:val="nil"/>
              <w:tr2bl w:val="nil"/>
            </w:tcBorders>
            <w:noWrap/>
            <w:vAlign w:val="center"/>
          </w:tcPr>
          <w:p>
            <w:pPr>
              <w:widowControl/>
              <w:jc w:val="left"/>
              <w:rPr>
                <w:color w:val="000000"/>
                <w:kern w:val="0"/>
                <w:sz w:val="24"/>
              </w:rPr>
            </w:pPr>
            <w:r>
              <w:rPr>
                <w:color w:val="000000"/>
                <w:kern w:val="0"/>
                <w:sz w:val="24"/>
              </w:rPr>
              <w:t xml:space="preserve">    1.</w:t>
            </w:r>
            <w:r>
              <w:rPr>
                <w:rFonts w:hint="eastAsia" w:ascii="仿宋_GB2312" w:eastAsia="仿宋_GB2312"/>
                <w:color w:val="000000"/>
                <w:kern w:val="0"/>
                <w:sz w:val="24"/>
              </w:rPr>
              <w:t>大中型水库移民后期扶持基金支出</w:t>
            </w:r>
          </w:p>
        </w:tc>
        <w:tc>
          <w:tcPr>
            <w:tcW w:w="1122" w:type="dxa"/>
            <w:tcBorders>
              <w:tl2br w:val="nil"/>
              <w:tr2bl w:val="nil"/>
            </w:tcBorders>
            <w:noWrap w:val="0"/>
            <w:vAlign w:val="center"/>
          </w:tcPr>
          <w:p>
            <w:pPr>
              <w:widowControl/>
              <w:jc w:val="center"/>
              <w:rPr>
                <w:color w:val="000000"/>
                <w:kern w:val="0"/>
                <w:sz w:val="24"/>
              </w:rPr>
            </w:pPr>
            <w:r>
              <w:rPr>
                <w:color w:val="000000"/>
                <w:kern w:val="0"/>
                <w:sz w:val="24"/>
              </w:rPr>
              <w:t xml:space="preserve">945 </w:t>
            </w:r>
          </w:p>
        </w:tc>
        <w:tc>
          <w:tcPr>
            <w:tcW w:w="975" w:type="dxa"/>
            <w:tcBorders>
              <w:tl2br w:val="nil"/>
              <w:tr2bl w:val="nil"/>
            </w:tcBorders>
            <w:noWrap w:val="0"/>
            <w:vAlign w:val="center"/>
          </w:tcPr>
          <w:p>
            <w:pPr>
              <w:widowControl/>
              <w:jc w:val="center"/>
              <w:rPr>
                <w:color w:val="000000"/>
                <w:kern w:val="0"/>
                <w:sz w:val="24"/>
              </w:rPr>
            </w:pPr>
            <w:r>
              <w:rPr>
                <w:color w:val="000000"/>
                <w:kern w:val="0"/>
                <w:sz w:val="24"/>
              </w:rPr>
              <w:t xml:space="preserve">1,128 </w:t>
            </w:r>
          </w:p>
        </w:tc>
        <w:tc>
          <w:tcPr>
            <w:tcW w:w="967" w:type="dxa"/>
            <w:tcBorders>
              <w:tl2br w:val="nil"/>
              <w:tr2bl w:val="nil"/>
            </w:tcBorders>
            <w:noWrap w:val="0"/>
            <w:vAlign w:val="center"/>
          </w:tcPr>
          <w:p>
            <w:pPr>
              <w:widowControl/>
              <w:jc w:val="center"/>
              <w:rPr>
                <w:color w:val="000000"/>
                <w:kern w:val="0"/>
                <w:sz w:val="24"/>
              </w:rPr>
            </w:pPr>
            <w:r>
              <w:rPr>
                <w:color w:val="000000"/>
                <w:kern w:val="0"/>
                <w:sz w:val="24"/>
              </w:rPr>
              <w:t xml:space="preserve">19.4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259" w:type="dxa"/>
            <w:tcBorders>
              <w:tl2br w:val="nil"/>
              <w:tr2bl w:val="nil"/>
            </w:tcBorders>
            <w:noWrap/>
            <w:vAlign w:val="center"/>
          </w:tcPr>
          <w:p>
            <w:pPr>
              <w:widowControl/>
              <w:jc w:val="left"/>
              <w:rPr>
                <w:color w:val="000000"/>
                <w:kern w:val="0"/>
                <w:sz w:val="24"/>
              </w:rPr>
            </w:pPr>
            <w:r>
              <w:rPr>
                <w:color w:val="000000"/>
                <w:kern w:val="0"/>
                <w:sz w:val="24"/>
              </w:rPr>
              <w:t xml:space="preserve">    </w:t>
            </w:r>
            <w:r>
              <w:rPr>
                <w:color w:val="000000"/>
                <w:spacing w:val="-11"/>
                <w:kern w:val="0"/>
                <w:sz w:val="24"/>
              </w:rPr>
              <w:t>2.</w:t>
            </w:r>
            <w:r>
              <w:rPr>
                <w:rFonts w:hint="eastAsia" w:ascii="仿宋_GB2312" w:eastAsia="仿宋_GB2312"/>
                <w:color w:val="000000"/>
                <w:spacing w:val="-11"/>
                <w:kern w:val="0"/>
                <w:sz w:val="24"/>
              </w:rPr>
              <w:t>小型水库移民扶助基金及对应专项债务收入安排的支出</w:t>
            </w:r>
          </w:p>
        </w:tc>
        <w:tc>
          <w:tcPr>
            <w:tcW w:w="1122" w:type="dxa"/>
            <w:tcBorders>
              <w:tl2br w:val="nil"/>
              <w:tr2bl w:val="nil"/>
            </w:tcBorders>
            <w:noWrap w:val="0"/>
            <w:vAlign w:val="center"/>
          </w:tcPr>
          <w:p>
            <w:pPr>
              <w:widowControl/>
              <w:jc w:val="center"/>
              <w:rPr>
                <w:color w:val="000000"/>
                <w:kern w:val="0"/>
                <w:sz w:val="24"/>
              </w:rPr>
            </w:pPr>
            <w:r>
              <w:rPr>
                <w:color w:val="000000"/>
                <w:kern w:val="0"/>
                <w:sz w:val="24"/>
              </w:rPr>
              <w:t xml:space="preserve">200 </w:t>
            </w:r>
          </w:p>
        </w:tc>
        <w:tc>
          <w:tcPr>
            <w:tcW w:w="975" w:type="dxa"/>
            <w:tcBorders>
              <w:tl2br w:val="nil"/>
              <w:tr2bl w:val="nil"/>
            </w:tcBorders>
            <w:noWrap w:val="0"/>
            <w:vAlign w:val="center"/>
          </w:tcPr>
          <w:p>
            <w:pPr>
              <w:widowControl/>
              <w:jc w:val="center"/>
              <w:rPr>
                <w:color w:val="000000"/>
                <w:kern w:val="0"/>
                <w:sz w:val="24"/>
              </w:rPr>
            </w:pPr>
            <w:r>
              <w:rPr>
                <w:color w:val="000000"/>
                <w:kern w:val="0"/>
                <w:sz w:val="24"/>
              </w:rPr>
              <w:t>　</w:t>
            </w:r>
          </w:p>
        </w:tc>
        <w:tc>
          <w:tcPr>
            <w:tcW w:w="967" w:type="dxa"/>
            <w:tcBorders>
              <w:tl2br w:val="nil"/>
              <w:tr2bl w:val="nil"/>
            </w:tcBorders>
            <w:noWrap w:val="0"/>
            <w:vAlign w:val="center"/>
          </w:tcPr>
          <w:p>
            <w:pPr>
              <w:widowControl/>
              <w:jc w:val="center"/>
              <w:rPr>
                <w:color w:val="000000"/>
                <w:kern w:val="0"/>
                <w:sz w:val="24"/>
              </w:rPr>
            </w:pPr>
            <w:r>
              <w:rPr>
                <w:color w:val="000000"/>
                <w:kern w:val="0"/>
                <w:sz w:val="24"/>
              </w:rPr>
              <w:t xml:space="preserve">-100.0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259" w:type="dxa"/>
            <w:tcBorders>
              <w:tl2br w:val="nil"/>
              <w:tr2bl w:val="nil"/>
            </w:tcBorders>
            <w:noWrap/>
            <w:vAlign w:val="center"/>
          </w:tcPr>
          <w:p>
            <w:pPr>
              <w:widowControl/>
              <w:jc w:val="left"/>
              <w:rPr>
                <w:rFonts w:ascii="仿宋_GB2312" w:hAnsi="Arial" w:eastAsia="仿宋_GB2312" w:cs="Arial"/>
                <w:color w:val="000000"/>
                <w:kern w:val="0"/>
                <w:sz w:val="24"/>
              </w:rPr>
            </w:pPr>
            <w:r>
              <w:rPr>
                <w:rFonts w:hint="eastAsia" w:ascii="仿宋_GB2312" w:hAnsi="Arial" w:eastAsia="仿宋_GB2312" w:cs="Arial"/>
                <w:color w:val="000000"/>
                <w:kern w:val="0"/>
                <w:sz w:val="24"/>
              </w:rPr>
              <w:t>二、城乡社区支出</w:t>
            </w:r>
          </w:p>
        </w:tc>
        <w:tc>
          <w:tcPr>
            <w:tcW w:w="1122" w:type="dxa"/>
            <w:tcBorders>
              <w:tl2br w:val="nil"/>
              <w:tr2bl w:val="nil"/>
            </w:tcBorders>
            <w:noWrap w:val="0"/>
            <w:vAlign w:val="center"/>
          </w:tcPr>
          <w:p>
            <w:pPr>
              <w:widowControl/>
              <w:jc w:val="center"/>
              <w:rPr>
                <w:color w:val="000000"/>
                <w:kern w:val="0"/>
                <w:sz w:val="24"/>
              </w:rPr>
            </w:pPr>
            <w:r>
              <w:rPr>
                <w:color w:val="000000"/>
                <w:kern w:val="0"/>
                <w:sz w:val="24"/>
              </w:rPr>
              <w:t xml:space="preserve">45,648 </w:t>
            </w:r>
          </w:p>
        </w:tc>
        <w:tc>
          <w:tcPr>
            <w:tcW w:w="975" w:type="dxa"/>
            <w:tcBorders>
              <w:tl2br w:val="nil"/>
              <w:tr2bl w:val="nil"/>
            </w:tcBorders>
            <w:noWrap w:val="0"/>
            <w:vAlign w:val="center"/>
          </w:tcPr>
          <w:p>
            <w:pPr>
              <w:widowControl/>
              <w:jc w:val="center"/>
              <w:rPr>
                <w:color w:val="000000"/>
                <w:kern w:val="0"/>
                <w:sz w:val="24"/>
              </w:rPr>
            </w:pPr>
            <w:r>
              <w:rPr>
                <w:color w:val="000000"/>
                <w:spacing w:val="-11"/>
                <w:kern w:val="0"/>
                <w:sz w:val="24"/>
              </w:rPr>
              <w:t xml:space="preserve">210,113 </w:t>
            </w:r>
          </w:p>
        </w:tc>
        <w:tc>
          <w:tcPr>
            <w:tcW w:w="967" w:type="dxa"/>
            <w:tcBorders>
              <w:tl2br w:val="nil"/>
              <w:tr2bl w:val="nil"/>
            </w:tcBorders>
            <w:noWrap w:val="0"/>
            <w:vAlign w:val="center"/>
          </w:tcPr>
          <w:p>
            <w:pPr>
              <w:widowControl/>
              <w:jc w:val="center"/>
              <w:rPr>
                <w:color w:val="000000"/>
                <w:kern w:val="0"/>
                <w:sz w:val="24"/>
              </w:rPr>
            </w:pPr>
            <w:r>
              <w:rPr>
                <w:color w:val="000000"/>
                <w:kern w:val="0"/>
                <w:sz w:val="24"/>
              </w:rPr>
              <w:t xml:space="preserve">360.3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259" w:type="dxa"/>
            <w:tcBorders>
              <w:tl2br w:val="nil"/>
              <w:tr2bl w:val="nil"/>
            </w:tcBorders>
            <w:noWrap/>
            <w:vAlign w:val="center"/>
          </w:tcPr>
          <w:p>
            <w:pPr>
              <w:widowControl/>
              <w:jc w:val="left"/>
              <w:rPr>
                <w:color w:val="000000"/>
                <w:kern w:val="0"/>
                <w:sz w:val="24"/>
              </w:rPr>
            </w:pPr>
            <w:r>
              <w:rPr>
                <w:color w:val="000000"/>
                <w:kern w:val="0"/>
                <w:sz w:val="24"/>
              </w:rPr>
              <w:t xml:space="preserve">    </w:t>
            </w:r>
            <w:r>
              <w:rPr>
                <w:color w:val="000000"/>
                <w:spacing w:val="-17"/>
                <w:kern w:val="0"/>
                <w:sz w:val="24"/>
              </w:rPr>
              <w:t>1.</w:t>
            </w:r>
            <w:r>
              <w:rPr>
                <w:rFonts w:hint="eastAsia" w:ascii="仿宋_GB2312" w:eastAsia="仿宋_GB2312"/>
                <w:color w:val="000000"/>
                <w:spacing w:val="-17"/>
                <w:kern w:val="0"/>
                <w:sz w:val="24"/>
              </w:rPr>
              <w:t>国有土地使用权出让收入及对应专项债务收入安排的支出</w:t>
            </w:r>
          </w:p>
        </w:tc>
        <w:tc>
          <w:tcPr>
            <w:tcW w:w="1122" w:type="dxa"/>
            <w:tcBorders>
              <w:tl2br w:val="nil"/>
              <w:tr2bl w:val="nil"/>
            </w:tcBorders>
            <w:noWrap w:val="0"/>
            <w:vAlign w:val="center"/>
          </w:tcPr>
          <w:p>
            <w:pPr>
              <w:widowControl/>
              <w:jc w:val="center"/>
              <w:rPr>
                <w:color w:val="000000"/>
                <w:kern w:val="0"/>
                <w:sz w:val="24"/>
              </w:rPr>
            </w:pPr>
            <w:r>
              <w:rPr>
                <w:color w:val="000000"/>
                <w:kern w:val="0"/>
                <w:sz w:val="24"/>
              </w:rPr>
              <w:t xml:space="preserve">43,726 </w:t>
            </w:r>
          </w:p>
        </w:tc>
        <w:tc>
          <w:tcPr>
            <w:tcW w:w="975" w:type="dxa"/>
            <w:tcBorders>
              <w:tl2br w:val="nil"/>
              <w:tr2bl w:val="nil"/>
            </w:tcBorders>
            <w:noWrap w:val="0"/>
            <w:vAlign w:val="center"/>
          </w:tcPr>
          <w:p>
            <w:pPr>
              <w:widowControl/>
              <w:jc w:val="center"/>
              <w:rPr>
                <w:color w:val="000000"/>
                <w:kern w:val="0"/>
                <w:sz w:val="24"/>
              </w:rPr>
            </w:pPr>
            <w:r>
              <w:rPr>
                <w:color w:val="000000"/>
                <w:spacing w:val="-11"/>
                <w:kern w:val="0"/>
                <w:sz w:val="24"/>
              </w:rPr>
              <w:t xml:space="preserve">208,649 </w:t>
            </w:r>
          </w:p>
        </w:tc>
        <w:tc>
          <w:tcPr>
            <w:tcW w:w="967" w:type="dxa"/>
            <w:tcBorders>
              <w:tl2br w:val="nil"/>
              <w:tr2bl w:val="nil"/>
            </w:tcBorders>
            <w:noWrap w:val="0"/>
            <w:vAlign w:val="center"/>
          </w:tcPr>
          <w:p>
            <w:pPr>
              <w:widowControl/>
              <w:jc w:val="center"/>
              <w:rPr>
                <w:color w:val="000000"/>
                <w:kern w:val="0"/>
                <w:sz w:val="24"/>
              </w:rPr>
            </w:pPr>
            <w:r>
              <w:rPr>
                <w:color w:val="000000"/>
                <w:kern w:val="0"/>
                <w:sz w:val="24"/>
              </w:rPr>
              <w:t xml:space="preserve">377.2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259" w:type="dxa"/>
            <w:tcBorders>
              <w:tl2br w:val="nil"/>
              <w:tr2bl w:val="nil"/>
            </w:tcBorders>
            <w:noWrap/>
            <w:vAlign w:val="center"/>
          </w:tcPr>
          <w:p>
            <w:pPr>
              <w:widowControl/>
              <w:jc w:val="left"/>
              <w:rPr>
                <w:color w:val="000000"/>
                <w:kern w:val="0"/>
                <w:sz w:val="24"/>
              </w:rPr>
            </w:pPr>
            <w:r>
              <w:rPr>
                <w:color w:val="000000"/>
                <w:kern w:val="0"/>
                <w:sz w:val="24"/>
              </w:rPr>
              <w:t xml:space="preserve">    2.</w:t>
            </w:r>
            <w:r>
              <w:rPr>
                <w:rFonts w:hint="eastAsia" w:ascii="仿宋_GB2312" w:eastAsia="仿宋_GB2312"/>
                <w:color w:val="000000"/>
                <w:kern w:val="0"/>
                <w:sz w:val="24"/>
              </w:rPr>
              <w:t>城市公用事业附加及对应专项债务收入安排的支出</w:t>
            </w:r>
          </w:p>
        </w:tc>
        <w:tc>
          <w:tcPr>
            <w:tcW w:w="1122" w:type="dxa"/>
            <w:tcBorders>
              <w:tl2br w:val="nil"/>
              <w:tr2bl w:val="nil"/>
            </w:tcBorders>
            <w:noWrap w:val="0"/>
            <w:vAlign w:val="center"/>
          </w:tcPr>
          <w:p>
            <w:pPr>
              <w:widowControl/>
              <w:jc w:val="center"/>
              <w:rPr>
                <w:color w:val="000000"/>
                <w:kern w:val="0"/>
                <w:sz w:val="24"/>
              </w:rPr>
            </w:pPr>
            <w:r>
              <w:rPr>
                <w:color w:val="000000"/>
                <w:kern w:val="0"/>
                <w:sz w:val="24"/>
              </w:rPr>
              <w:t xml:space="preserve">108 </w:t>
            </w:r>
          </w:p>
        </w:tc>
        <w:tc>
          <w:tcPr>
            <w:tcW w:w="975" w:type="dxa"/>
            <w:tcBorders>
              <w:tl2br w:val="nil"/>
              <w:tr2bl w:val="nil"/>
            </w:tcBorders>
            <w:noWrap w:val="0"/>
            <w:vAlign w:val="center"/>
          </w:tcPr>
          <w:p>
            <w:pPr>
              <w:widowControl/>
              <w:jc w:val="center"/>
              <w:rPr>
                <w:color w:val="000000"/>
                <w:kern w:val="0"/>
                <w:sz w:val="24"/>
              </w:rPr>
            </w:pPr>
            <w:r>
              <w:rPr>
                <w:color w:val="000000"/>
                <w:kern w:val="0"/>
                <w:sz w:val="24"/>
              </w:rPr>
              <w:t>　</w:t>
            </w:r>
          </w:p>
        </w:tc>
        <w:tc>
          <w:tcPr>
            <w:tcW w:w="967" w:type="dxa"/>
            <w:tcBorders>
              <w:tl2br w:val="nil"/>
              <w:tr2bl w:val="nil"/>
            </w:tcBorders>
            <w:noWrap w:val="0"/>
            <w:vAlign w:val="center"/>
          </w:tcPr>
          <w:p>
            <w:pPr>
              <w:widowControl/>
              <w:jc w:val="center"/>
              <w:rPr>
                <w:color w:val="000000"/>
                <w:kern w:val="0"/>
                <w:sz w:val="24"/>
              </w:rPr>
            </w:pPr>
            <w:r>
              <w:rPr>
                <w:color w:val="000000"/>
                <w:kern w:val="0"/>
                <w:sz w:val="24"/>
              </w:rPr>
              <w:t xml:space="preserve">-100.0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259" w:type="dxa"/>
            <w:tcBorders>
              <w:tl2br w:val="nil"/>
              <w:tr2bl w:val="nil"/>
            </w:tcBorders>
            <w:noWrap/>
            <w:vAlign w:val="center"/>
          </w:tcPr>
          <w:p>
            <w:pPr>
              <w:widowControl/>
              <w:jc w:val="left"/>
              <w:rPr>
                <w:color w:val="000000"/>
                <w:kern w:val="0"/>
                <w:sz w:val="24"/>
              </w:rPr>
            </w:pPr>
            <w:r>
              <w:rPr>
                <w:color w:val="000000"/>
                <w:kern w:val="0"/>
                <w:sz w:val="24"/>
              </w:rPr>
              <w:t xml:space="preserve">    3.</w:t>
            </w:r>
            <w:r>
              <w:rPr>
                <w:rFonts w:hint="eastAsia" w:ascii="仿宋_GB2312" w:eastAsia="仿宋_GB2312"/>
                <w:color w:val="000000"/>
                <w:kern w:val="0"/>
                <w:sz w:val="24"/>
              </w:rPr>
              <w:t>农业土地开发资金及对应专项债务收入安排的支出</w:t>
            </w:r>
          </w:p>
        </w:tc>
        <w:tc>
          <w:tcPr>
            <w:tcW w:w="1122" w:type="dxa"/>
            <w:tcBorders>
              <w:tl2br w:val="nil"/>
              <w:tr2bl w:val="nil"/>
            </w:tcBorders>
            <w:noWrap w:val="0"/>
            <w:vAlign w:val="center"/>
          </w:tcPr>
          <w:p>
            <w:pPr>
              <w:widowControl/>
              <w:jc w:val="center"/>
              <w:rPr>
                <w:color w:val="000000"/>
                <w:kern w:val="0"/>
                <w:sz w:val="24"/>
              </w:rPr>
            </w:pPr>
            <w:r>
              <w:rPr>
                <w:color w:val="000000"/>
                <w:kern w:val="0"/>
                <w:sz w:val="24"/>
              </w:rPr>
              <w:t xml:space="preserve">706 </w:t>
            </w:r>
          </w:p>
        </w:tc>
        <w:tc>
          <w:tcPr>
            <w:tcW w:w="975" w:type="dxa"/>
            <w:tcBorders>
              <w:tl2br w:val="nil"/>
              <w:tr2bl w:val="nil"/>
            </w:tcBorders>
            <w:noWrap w:val="0"/>
            <w:vAlign w:val="center"/>
          </w:tcPr>
          <w:p>
            <w:pPr>
              <w:widowControl/>
              <w:jc w:val="center"/>
              <w:rPr>
                <w:color w:val="000000"/>
                <w:kern w:val="0"/>
                <w:sz w:val="24"/>
              </w:rPr>
            </w:pPr>
            <w:r>
              <w:rPr>
                <w:color w:val="000000"/>
                <w:kern w:val="0"/>
                <w:sz w:val="24"/>
              </w:rPr>
              <w:t xml:space="preserve">286 </w:t>
            </w:r>
          </w:p>
        </w:tc>
        <w:tc>
          <w:tcPr>
            <w:tcW w:w="967" w:type="dxa"/>
            <w:tcBorders>
              <w:tl2br w:val="nil"/>
              <w:tr2bl w:val="nil"/>
            </w:tcBorders>
            <w:noWrap w:val="0"/>
            <w:vAlign w:val="center"/>
          </w:tcPr>
          <w:p>
            <w:pPr>
              <w:widowControl/>
              <w:jc w:val="center"/>
              <w:rPr>
                <w:color w:val="000000"/>
                <w:kern w:val="0"/>
                <w:sz w:val="24"/>
              </w:rPr>
            </w:pPr>
            <w:r>
              <w:rPr>
                <w:color w:val="000000"/>
                <w:kern w:val="0"/>
                <w:sz w:val="24"/>
              </w:rPr>
              <w:t xml:space="preserve">-59.5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259" w:type="dxa"/>
            <w:tcBorders>
              <w:tl2br w:val="nil"/>
              <w:tr2bl w:val="nil"/>
            </w:tcBorders>
            <w:noWrap/>
            <w:vAlign w:val="center"/>
          </w:tcPr>
          <w:p>
            <w:pPr>
              <w:widowControl/>
              <w:jc w:val="left"/>
              <w:rPr>
                <w:color w:val="000000"/>
                <w:kern w:val="0"/>
                <w:sz w:val="24"/>
              </w:rPr>
            </w:pPr>
            <w:r>
              <w:rPr>
                <w:color w:val="000000"/>
                <w:kern w:val="0"/>
                <w:sz w:val="24"/>
              </w:rPr>
              <w:t xml:space="preserve">    4.</w:t>
            </w:r>
            <w:r>
              <w:rPr>
                <w:rFonts w:hint="eastAsia" w:ascii="仿宋_GB2312" w:eastAsia="仿宋_GB2312"/>
                <w:color w:val="000000"/>
                <w:kern w:val="0"/>
                <w:sz w:val="24"/>
              </w:rPr>
              <w:t>污水处理费及对应专项债务收入安排的支出</w:t>
            </w:r>
          </w:p>
        </w:tc>
        <w:tc>
          <w:tcPr>
            <w:tcW w:w="1122" w:type="dxa"/>
            <w:tcBorders>
              <w:tl2br w:val="nil"/>
              <w:tr2bl w:val="nil"/>
            </w:tcBorders>
            <w:noWrap w:val="0"/>
            <w:vAlign w:val="center"/>
          </w:tcPr>
          <w:p>
            <w:pPr>
              <w:widowControl/>
              <w:jc w:val="center"/>
              <w:rPr>
                <w:color w:val="000000"/>
                <w:kern w:val="0"/>
                <w:sz w:val="24"/>
              </w:rPr>
            </w:pPr>
            <w:r>
              <w:rPr>
                <w:color w:val="000000"/>
                <w:kern w:val="0"/>
                <w:sz w:val="24"/>
              </w:rPr>
              <w:t xml:space="preserve">1,108 </w:t>
            </w:r>
          </w:p>
        </w:tc>
        <w:tc>
          <w:tcPr>
            <w:tcW w:w="975" w:type="dxa"/>
            <w:tcBorders>
              <w:tl2br w:val="nil"/>
              <w:tr2bl w:val="nil"/>
            </w:tcBorders>
            <w:noWrap w:val="0"/>
            <w:vAlign w:val="center"/>
          </w:tcPr>
          <w:p>
            <w:pPr>
              <w:widowControl/>
              <w:jc w:val="center"/>
              <w:rPr>
                <w:color w:val="000000"/>
                <w:kern w:val="0"/>
                <w:sz w:val="24"/>
              </w:rPr>
            </w:pPr>
            <w:r>
              <w:rPr>
                <w:color w:val="000000"/>
                <w:kern w:val="0"/>
                <w:sz w:val="24"/>
              </w:rPr>
              <w:t xml:space="preserve">1,178 </w:t>
            </w:r>
          </w:p>
        </w:tc>
        <w:tc>
          <w:tcPr>
            <w:tcW w:w="967" w:type="dxa"/>
            <w:tcBorders>
              <w:tl2br w:val="nil"/>
              <w:tr2bl w:val="nil"/>
            </w:tcBorders>
            <w:noWrap w:val="0"/>
            <w:vAlign w:val="center"/>
          </w:tcPr>
          <w:p>
            <w:pPr>
              <w:widowControl/>
              <w:jc w:val="center"/>
              <w:rPr>
                <w:color w:val="000000"/>
                <w:kern w:val="0"/>
                <w:sz w:val="24"/>
              </w:rPr>
            </w:pPr>
            <w:r>
              <w:rPr>
                <w:color w:val="000000"/>
                <w:kern w:val="0"/>
                <w:sz w:val="24"/>
              </w:rPr>
              <w:t xml:space="preserve">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259" w:type="dxa"/>
            <w:tcBorders>
              <w:tl2br w:val="nil"/>
              <w:tr2bl w:val="nil"/>
            </w:tcBorders>
            <w:noWrap/>
            <w:vAlign w:val="center"/>
          </w:tcPr>
          <w:p>
            <w:pPr>
              <w:widowControl/>
              <w:jc w:val="left"/>
              <w:rPr>
                <w:rFonts w:ascii="仿宋_GB2312" w:hAnsi="Arial" w:eastAsia="仿宋_GB2312" w:cs="Arial"/>
                <w:color w:val="000000"/>
                <w:kern w:val="0"/>
                <w:sz w:val="24"/>
              </w:rPr>
            </w:pPr>
            <w:r>
              <w:rPr>
                <w:rFonts w:hint="eastAsia" w:ascii="仿宋_GB2312" w:hAnsi="Arial" w:eastAsia="仿宋_GB2312" w:cs="Arial"/>
                <w:color w:val="000000"/>
                <w:kern w:val="0"/>
                <w:sz w:val="24"/>
              </w:rPr>
              <w:t>三、农林水支出</w:t>
            </w:r>
          </w:p>
        </w:tc>
        <w:tc>
          <w:tcPr>
            <w:tcW w:w="1122" w:type="dxa"/>
            <w:tcBorders>
              <w:tl2br w:val="nil"/>
              <w:tr2bl w:val="nil"/>
            </w:tcBorders>
            <w:noWrap w:val="0"/>
            <w:vAlign w:val="center"/>
          </w:tcPr>
          <w:p>
            <w:pPr>
              <w:widowControl/>
              <w:jc w:val="center"/>
              <w:rPr>
                <w:color w:val="000000"/>
                <w:kern w:val="0"/>
                <w:sz w:val="24"/>
              </w:rPr>
            </w:pPr>
            <w:r>
              <w:rPr>
                <w:color w:val="000000"/>
                <w:kern w:val="0"/>
                <w:sz w:val="24"/>
              </w:rPr>
              <w:t xml:space="preserve">1,300 </w:t>
            </w:r>
          </w:p>
        </w:tc>
        <w:tc>
          <w:tcPr>
            <w:tcW w:w="975" w:type="dxa"/>
            <w:tcBorders>
              <w:tl2br w:val="nil"/>
              <w:tr2bl w:val="nil"/>
            </w:tcBorders>
            <w:noWrap w:val="0"/>
            <w:vAlign w:val="center"/>
          </w:tcPr>
          <w:p>
            <w:pPr>
              <w:widowControl/>
              <w:jc w:val="center"/>
              <w:rPr>
                <w:color w:val="000000"/>
                <w:kern w:val="0"/>
                <w:sz w:val="24"/>
              </w:rPr>
            </w:pPr>
            <w:r>
              <w:rPr>
                <w:color w:val="000000"/>
                <w:kern w:val="0"/>
                <w:sz w:val="24"/>
              </w:rPr>
              <w:t xml:space="preserve">155 </w:t>
            </w:r>
          </w:p>
        </w:tc>
        <w:tc>
          <w:tcPr>
            <w:tcW w:w="967" w:type="dxa"/>
            <w:tcBorders>
              <w:tl2br w:val="nil"/>
              <w:tr2bl w:val="nil"/>
            </w:tcBorders>
            <w:noWrap w:val="0"/>
            <w:vAlign w:val="center"/>
          </w:tcPr>
          <w:p>
            <w:pPr>
              <w:widowControl/>
              <w:jc w:val="center"/>
              <w:rPr>
                <w:color w:val="000000"/>
                <w:kern w:val="0"/>
                <w:sz w:val="24"/>
              </w:rPr>
            </w:pPr>
            <w:r>
              <w:rPr>
                <w:color w:val="000000"/>
                <w:kern w:val="0"/>
                <w:sz w:val="24"/>
              </w:rPr>
              <w:t xml:space="preserve">-88.1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259" w:type="dxa"/>
            <w:tcBorders>
              <w:tl2br w:val="nil"/>
              <w:tr2bl w:val="nil"/>
            </w:tcBorders>
            <w:noWrap/>
            <w:vAlign w:val="center"/>
          </w:tcPr>
          <w:p>
            <w:pPr>
              <w:widowControl/>
              <w:jc w:val="left"/>
              <w:rPr>
                <w:color w:val="000000"/>
                <w:kern w:val="0"/>
                <w:sz w:val="24"/>
              </w:rPr>
            </w:pPr>
            <w:r>
              <w:rPr>
                <w:color w:val="000000"/>
                <w:kern w:val="0"/>
                <w:sz w:val="24"/>
              </w:rPr>
              <w:t xml:space="preserve">    </w:t>
            </w:r>
            <w:r>
              <w:rPr>
                <w:color w:val="000000"/>
                <w:spacing w:val="-11"/>
                <w:kern w:val="0"/>
                <w:sz w:val="24"/>
              </w:rPr>
              <w:t>1.</w:t>
            </w:r>
            <w:r>
              <w:rPr>
                <w:rFonts w:hint="eastAsia" w:ascii="仿宋_GB2312" w:eastAsia="仿宋_GB2312"/>
                <w:color w:val="000000"/>
                <w:spacing w:val="-11"/>
                <w:kern w:val="0"/>
                <w:sz w:val="24"/>
              </w:rPr>
              <w:t>大中型水库库区基金及对应专项债务收入安排的支出</w:t>
            </w:r>
          </w:p>
        </w:tc>
        <w:tc>
          <w:tcPr>
            <w:tcW w:w="1122" w:type="dxa"/>
            <w:tcBorders>
              <w:tl2br w:val="nil"/>
              <w:tr2bl w:val="nil"/>
            </w:tcBorders>
            <w:noWrap w:val="0"/>
            <w:vAlign w:val="center"/>
          </w:tcPr>
          <w:p>
            <w:pPr>
              <w:widowControl/>
              <w:jc w:val="center"/>
              <w:rPr>
                <w:color w:val="000000"/>
                <w:kern w:val="0"/>
                <w:sz w:val="24"/>
              </w:rPr>
            </w:pPr>
            <w:r>
              <w:rPr>
                <w:color w:val="000000"/>
                <w:kern w:val="0"/>
                <w:sz w:val="24"/>
              </w:rPr>
              <w:t xml:space="preserve">400 </w:t>
            </w:r>
          </w:p>
        </w:tc>
        <w:tc>
          <w:tcPr>
            <w:tcW w:w="975" w:type="dxa"/>
            <w:tcBorders>
              <w:tl2br w:val="nil"/>
              <w:tr2bl w:val="nil"/>
            </w:tcBorders>
            <w:noWrap w:val="0"/>
            <w:vAlign w:val="center"/>
          </w:tcPr>
          <w:p>
            <w:pPr>
              <w:widowControl/>
              <w:jc w:val="center"/>
              <w:rPr>
                <w:color w:val="000000"/>
                <w:kern w:val="0"/>
                <w:sz w:val="24"/>
              </w:rPr>
            </w:pPr>
            <w:r>
              <w:rPr>
                <w:color w:val="000000"/>
                <w:kern w:val="0"/>
                <w:sz w:val="24"/>
              </w:rPr>
              <w:t xml:space="preserve">136 </w:t>
            </w:r>
          </w:p>
        </w:tc>
        <w:tc>
          <w:tcPr>
            <w:tcW w:w="967" w:type="dxa"/>
            <w:tcBorders>
              <w:tl2br w:val="nil"/>
              <w:tr2bl w:val="nil"/>
            </w:tcBorders>
            <w:noWrap w:val="0"/>
            <w:vAlign w:val="center"/>
          </w:tcPr>
          <w:p>
            <w:pPr>
              <w:widowControl/>
              <w:jc w:val="center"/>
              <w:rPr>
                <w:color w:val="000000"/>
                <w:kern w:val="0"/>
                <w:sz w:val="24"/>
              </w:rPr>
            </w:pPr>
            <w:r>
              <w:rPr>
                <w:color w:val="000000"/>
                <w:kern w:val="0"/>
                <w:sz w:val="24"/>
              </w:rPr>
              <w:t xml:space="preserve">-66.0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259" w:type="dxa"/>
            <w:tcBorders>
              <w:tl2br w:val="nil"/>
              <w:tr2bl w:val="nil"/>
            </w:tcBorders>
            <w:noWrap/>
            <w:vAlign w:val="center"/>
          </w:tcPr>
          <w:p>
            <w:pPr>
              <w:widowControl/>
              <w:jc w:val="left"/>
              <w:rPr>
                <w:color w:val="000000"/>
                <w:kern w:val="0"/>
                <w:sz w:val="24"/>
              </w:rPr>
            </w:pPr>
            <w:r>
              <w:rPr>
                <w:color w:val="000000"/>
                <w:kern w:val="0"/>
                <w:sz w:val="24"/>
              </w:rPr>
              <w:t xml:space="preserve">    </w:t>
            </w:r>
            <w:r>
              <w:rPr>
                <w:color w:val="000000"/>
                <w:spacing w:val="-17"/>
                <w:kern w:val="0"/>
                <w:sz w:val="24"/>
              </w:rPr>
              <w:t>2.</w:t>
            </w:r>
            <w:r>
              <w:rPr>
                <w:rFonts w:hint="eastAsia" w:ascii="仿宋_GB2312" w:eastAsia="仿宋_GB2312"/>
                <w:color w:val="000000"/>
                <w:spacing w:val="-17"/>
                <w:kern w:val="0"/>
                <w:sz w:val="24"/>
              </w:rPr>
              <w:t>国家重大水利工程建设基金及对应专项债务收入安排的支出</w:t>
            </w:r>
          </w:p>
        </w:tc>
        <w:tc>
          <w:tcPr>
            <w:tcW w:w="1122" w:type="dxa"/>
            <w:tcBorders>
              <w:tl2br w:val="nil"/>
              <w:tr2bl w:val="nil"/>
            </w:tcBorders>
            <w:noWrap w:val="0"/>
            <w:vAlign w:val="center"/>
          </w:tcPr>
          <w:p>
            <w:pPr>
              <w:widowControl/>
              <w:jc w:val="center"/>
              <w:rPr>
                <w:color w:val="000000"/>
                <w:kern w:val="0"/>
                <w:sz w:val="24"/>
              </w:rPr>
            </w:pPr>
            <w:r>
              <w:rPr>
                <w:color w:val="000000"/>
                <w:kern w:val="0"/>
                <w:sz w:val="24"/>
              </w:rPr>
              <w:t xml:space="preserve">900 </w:t>
            </w:r>
          </w:p>
        </w:tc>
        <w:tc>
          <w:tcPr>
            <w:tcW w:w="975" w:type="dxa"/>
            <w:tcBorders>
              <w:tl2br w:val="nil"/>
              <w:tr2bl w:val="nil"/>
            </w:tcBorders>
            <w:noWrap w:val="0"/>
            <w:vAlign w:val="center"/>
          </w:tcPr>
          <w:p>
            <w:pPr>
              <w:widowControl/>
              <w:jc w:val="center"/>
              <w:rPr>
                <w:color w:val="000000"/>
                <w:kern w:val="0"/>
                <w:sz w:val="24"/>
              </w:rPr>
            </w:pPr>
            <w:r>
              <w:rPr>
                <w:color w:val="000000"/>
                <w:kern w:val="0"/>
                <w:sz w:val="24"/>
              </w:rPr>
              <w:t xml:space="preserve">19 </w:t>
            </w:r>
          </w:p>
        </w:tc>
        <w:tc>
          <w:tcPr>
            <w:tcW w:w="967" w:type="dxa"/>
            <w:tcBorders>
              <w:tl2br w:val="nil"/>
              <w:tr2bl w:val="nil"/>
            </w:tcBorders>
            <w:noWrap w:val="0"/>
            <w:vAlign w:val="center"/>
          </w:tcPr>
          <w:p>
            <w:pPr>
              <w:widowControl/>
              <w:jc w:val="center"/>
              <w:rPr>
                <w:color w:val="000000"/>
                <w:kern w:val="0"/>
                <w:sz w:val="24"/>
              </w:rPr>
            </w:pPr>
            <w:r>
              <w:rPr>
                <w:color w:val="000000"/>
                <w:kern w:val="0"/>
                <w:sz w:val="24"/>
              </w:rPr>
              <w:t xml:space="preserve">-97.9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259" w:type="dxa"/>
            <w:tcBorders>
              <w:tl2br w:val="nil"/>
              <w:tr2bl w:val="nil"/>
            </w:tcBorders>
            <w:noWrap/>
            <w:vAlign w:val="center"/>
          </w:tcPr>
          <w:p>
            <w:pPr>
              <w:widowControl/>
              <w:jc w:val="left"/>
              <w:rPr>
                <w:rFonts w:ascii="仿宋_GB2312" w:hAnsi="Arial" w:eastAsia="仿宋_GB2312" w:cs="Arial"/>
                <w:color w:val="000000"/>
                <w:kern w:val="0"/>
                <w:sz w:val="24"/>
              </w:rPr>
            </w:pPr>
            <w:r>
              <w:rPr>
                <w:rFonts w:hint="eastAsia" w:ascii="仿宋_GB2312" w:hAnsi="Arial" w:eastAsia="仿宋_GB2312" w:cs="Arial"/>
                <w:color w:val="000000"/>
                <w:kern w:val="0"/>
                <w:sz w:val="24"/>
              </w:rPr>
              <w:t>四、商业服务业等支出</w:t>
            </w:r>
          </w:p>
        </w:tc>
        <w:tc>
          <w:tcPr>
            <w:tcW w:w="1122" w:type="dxa"/>
            <w:tcBorders>
              <w:tl2br w:val="nil"/>
              <w:tr2bl w:val="nil"/>
            </w:tcBorders>
            <w:noWrap w:val="0"/>
            <w:vAlign w:val="center"/>
          </w:tcPr>
          <w:p>
            <w:pPr>
              <w:widowControl/>
              <w:jc w:val="center"/>
              <w:rPr>
                <w:color w:val="000000"/>
                <w:kern w:val="0"/>
                <w:sz w:val="24"/>
              </w:rPr>
            </w:pPr>
            <w:r>
              <w:rPr>
                <w:color w:val="000000"/>
                <w:kern w:val="0"/>
                <w:sz w:val="24"/>
              </w:rPr>
              <w:t xml:space="preserve">27 </w:t>
            </w:r>
          </w:p>
        </w:tc>
        <w:tc>
          <w:tcPr>
            <w:tcW w:w="975" w:type="dxa"/>
            <w:tcBorders>
              <w:tl2br w:val="nil"/>
              <w:tr2bl w:val="nil"/>
            </w:tcBorders>
            <w:noWrap w:val="0"/>
            <w:vAlign w:val="center"/>
          </w:tcPr>
          <w:p>
            <w:pPr>
              <w:widowControl/>
              <w:jc w:val="center"/>
              <w:rPr>
                <w:color w:val="000000"/>
                <w:kern w:val="0"/>
                <w:sz w:val="24"/>
              </w:rPr>
            </w:pPr>
            <w:r>
              <w:rPr>
                <w:color w:val="000000"/>
                <w:kern w:val="0"/>
                <w:sz w:val="24"/>
              </w:rPr>
              <w:t xml:space="preserve">18 </w:t>
            </w:r>
          </w:p>
        </w:tc>
        <w:tc>
          <w:tcPr>
            <w:tcW w:w="967" w:type="dxa"/>
            <w:tcBorders>
              <w:tl2br w:val="nil"/>
              <w:tr2bl w:val="nil"/>
            </w:tcBorders>
            <w:noWrap w:val="0"/>
            <w:vAlign w:val="center"/>
          </w:tcPr>
          <w:p>
            <w:pPr>
              <w:widowControl/>
              <w:jc w:val="center"/>
              <w:rPr>
                <w:color w:val="000000"/>
                <w:kern w:val="0"/>
                <w:sz w:val="24"/>
              </w:rPr>
            </w:pPr>
            <w:r>
              <w:rPr>
                <w:color w:val="000000"/>
                <w:kern w:val="0"/>
                <w:sz w:val="24"/>
              </w:rPr>
              <w:t xml:space="preserve">-33.3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259" w:type="dxa"/>
            <w:tcBorders>
              <w:tl2br w:val="nil"/>
              <w:tr2bl w:val="nil"/>
            </w:tcBorders>
            <w:noWrap/>
            <w:vAlign w:val="center"/>
          </w:tcPr>
          <w:p>
            <w:pPr>
              <w:widowControl/>
              <w:jc w:val="left"/>
              <w:rPr>
                <w:color w:val="000000"/>
                <w:kern w:val="0"/>
                <w:sz w:val="24"/>
              </w:rPr>
            </w:pPr>
            <w:r>
              <w:rPr>
                <w:color w:val="000000"/>
                <w:kern w:val="0"/>
                <w:sz w:val="24"/>
              </w:rPr>
              <w:t xml:space="preserve">    1.</w:t>
            </w:r>
            <w:r>
              <w:rPr>
                <w:rFonts w:hint="eastAsia" w:ascii="仿宋_GB2312" w:eastAsia="仿宋_GB2312"/>
                <w:color w:val="000000"/>
                <w:kern w:val="0"/>
                <w:sz w:val="24"/>
              </w:rPr>
              <w:t>旅游发展基金支出</w:t>
            </w:r>
          </w:p>
        </w:tc>
        <w:tc>
          <w:tcPr>
            <w:tcW w:w="1122" w:type="dxa"/>
            <w:tcBorders>
              <w:tl2br w:val="nil"/>
              <w:tr2bl w:val="nil"/>
            </w:tcBorders>
            <w:noWrap w:val="0"/>
            <w:vAlign w:val="center"/>
          </w:tcPr>
          <w:p>
            <w:pPr>
              <w:widowControl/>
              <w:jc w:val="center"/>
              <w:rPr>
                <w:color w:val="000000"/>
                <w:kern w:val="0"/>
                <w:sz w:val="24"/>
              </w:rPr>
            </w:pPr>
            <w:r>
              <w:rPr>
                <w:color w:val="000000"/>
                <w:kern w:val="0"/>
                <w:sz w:val="24"/>
              </w:rPr>
              <w:t xml:space="preserve">27 </w:t>
            </w:r>
          </w:p>
        </w:tc>
        <w:tc>
          <w:tcPr>
            <w:tcW w:w="975" w:type="dxa"/>
            <w:tcBorders>
              <w:tl2br w:val="nil"/>
              <w:tr2bl w:val="nil"/>
            </w:tcBorders>
            <w:noWrap w:val="0"/>
            <w:vAlign w:val="center"/>
          </w:tcPr>
          <w:p>
            <w:pPr>
              <w:widowControl/>
              <w:jc w:val="center"/>
              <w:rPr>
                <w:color w:val="000000"/>
                <w:kern w:val="0"/>
                <w:sz w:val="24"/>
              </w:rPr>
            </w:pPr>
            <w:r>
              <w:rPr>
                <w:color w:val="000000"/>
                <w:kern w:val="0"/>
                <w:sz w:val="24"/>
              </w:rPr>
              <w:t xml:space="preserve">18 </w:t>
            </w:r>
          </w:p>
        </w:tc>
        <w:tc>
          <w:tcPr>
            <w:tcW w:w="967" w:type="dxa"/>
            <w:tcBorders>
              <w:tl2br w:val="nil"/>
              <w:tr2bl w:val="nil"/>
            </w:tcBorders>
            <w:noWrap w:val="0"/>
            <w:vAlign w:val="center"/>
          </w:tcPr>
          <w:p>
            <w:pPr>
              <w:widowControl/>
              <w:jc w:val="center"/>
              <w:rPr>
                <w:color w:val="000000"/>
                <w:kern w:val="0"/>
                <w:sz w:val="24"/>
              </w:rPr>
            </w:pPr>
            <w:r>
              <w:rPr>
                <w:color w:val="000000"/>
                <w:kern w:val="0"/>
                <w:sz w:val="24"/>
              </w:rPr>
              <w:t xml:space="preserve">-33.3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259" w:type="dxa"/>
            <w:tcBorders>
              <w:tl2br w:val="nil"/>
              <w:tr2bl w:val="nil"/>
            </w:tcBorders>
            <w:noWrap/>
            <w:vAlign w:val="center"/>
          </w:tcPr>
          <w:p>
            <w:pPr>
              <w:widowControl/>
              <w:jc w:val="left"/>
              <w:rPr>
                <w:rFonts w:ascii="仿宋_GB2312" w:hAnsi="Arial" w:eastAsia="仿宋_GB2312" w:cs="Arial"/>
                <w:color w:val="000000"/>
                <w:kern w:val="0"/>
                <w:sz w:val="24"/>
              </w:rPr>
            </w:pPr>
            <w:r>
              <w:rPr>
                <w:rFonts w:hint="eastAsia" w:ascii="仿宋_GB2312" w:hAnsi="Arial" w:eastAsia="仿宋_GB2312" w:cs="Arial"/>
                <w:color w:val="000000"/>
                <w:kern w:val="0"/>
                <w:sz w:val="24"/>
              </w:rPr>
              <w:t>五、其他支出</w:t>
            </w:r>
          </w:p>
        </w:tc>
        <w:tc>
          <w:tcPr>
            <w:tcW w:w="1122" w:type="dxa"/>
            <w:tcBorders>
              <w:tl2br w:val="nil"/>
              <w:tr2bl w:val="nil"/>
            </w:tcBorders>
            <w:noWrap w:val="0"/>
            <w:vAlign w:val="center"/>
          </w:tcPr>
          <w:p>
            <w:pPr>
              <w:widowControl/>
              <w:jc w:val="center"/>
              <w:rPr>
                <w:color w:val="000000"/>
                <w:kern w:val="0"/>
                <w:sz w:val="24"/>
              </w:rPr>
            </w:pPr>
            <w:r>
              <w:rPr>
                <w:color w:val="000000"/>
                <w:kern w:val="0"/>
                <w:sz w:val="24"/>
              </w:rPr>
              <w:t xml:space="preserve">1,308 </w:t>
            </w:r>
          </w:p>
        </w:tc>
        <w:tc>
          <w:tcPr>
            <w:tcW w:w="975" w:type="dxa"/>
            <w:tcBorders>
              <w:tl2br w:val="nil"/>
              <w:tr2bl w:val="nil"/>
            </w:tcBorders>
            <w:noWrap w:val="0"/>
            <w:vAlign w:val="center"/>
          </w:tcPr>
          <w:p>
            <w:pPr>
              <w:widowControl/>
              <w:jc w:val="center"/>
              <w:rPr>
                <w:color w:val="000000"/>
                <w:kern w:val="0"/>
                <w:sz w:val="24"/>
              </w:rPr>
            </w:pPr>
            <w:r>
              <w:rPr>
                <w:color w:val="000000"/>
                <w:kern w:val="0"/>
                <w:sz w:val="24"/>
              </w:rPr>
              <w:t xml:space="preserve">2,428 </w:t>
            </w:r>
          </w:p>
        </w:tc>
        <w:tc>
          <w:tcPr>
            <w:tcW w:w="967" w:type="dxa"/>
            <w:tcBorders>
              <w:tl2br w:val="nil"/>
              <w:tr2bl w:val="nil"/>
            </w:tcBorders>
            <w:noWrap w:val="0"/>
            <w:vAlign w:val="center"/>
          </w:tcPr>
          <w:p>
            <w:pPr>
              <w:widowControl/>
              <w:jc w:val="center"/>
              <w:rPr>
                <w:color w:val="000000"/>
                <w:kern w:val="0"/>
                <w:sz w:val="24"/>
              </w:rPr>
            </w:pPr>
            <w:r>
              <w:rPr>
                <w:color w:val="000000"/>
                <w:kern w:val="0"/>
                <w:sz w:val="24"/>
              </w:rPr>
              <w:t xml:space="preserve">85.6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259" w:type="dxa"/>
            <w:tcBorders>
              <w:tl2br w:val="nil"/>
              <w:tr2bl w:val="nil"/>
            </w:tcBorders>
            <w:noWrap/>
            <w:vAlign w:val="center"/>
          </w:tcPr>
          <w:p>
            <w:pPr>
              <w:widowControl/>
              <w:jc w:val="left"/>
              <w:rPr>
                <w:color w:val="000000"/>
                <w:kern w:val="0"/>
                <w:sz w:val="24"/>
              </w:rPr>
            </w:pPr>
            <w:r>
              <w:rPr>
                <w:color w:val="000000"/>
                <w:kern w:val="0"/>
                <w:sz w:val="24"/>
              </w:rPr>
              <w:t xml:space="preserve">    1.</w:t>
            </w:r>
            <w:r>
              <w:rPr>
                <w:rFonts w:hint="eastAsia" w:ascii="仿宋_GB2312" w:eastAsia="仿宋_GB2312"/>
                <w:color w:val="000000"/>
                <w:kern w:val="0"/>
                <w:sz w:val="24"/>
              </w:rPr>
              <w:t>彩票公益金及对应专项债务收入安排的支出</w:t>
            </w:r>
          </w:p>
        </w:tc>
        <w:tc>
          <w:tcPr>
            <w:tcW w:w="1122" w:type="dxa"/>
            <w:tcBorders>
              <w:tl2br w:val="nil"/>
              <w:tr2bl w:val="nil"/>
            </w:tcBorders>
            <w:noWrap w:val="0"/>
            <w:vAlign w:val="center"/>
          </w:tcPr>
          <w:p>
            <w:pPr>
              <w:widowControl/>
              <w:jc w:val="center"/>
              <w:rPr>
                <w:color w:val="000000"/>
                <w:kern w:val="0"/>
                <w:sz w:val="24"/>
              </w:rPr>
            </w:pPr>
            <w:r>
              <w:rPr>
                <w:color w:val="000000"/>
                <w:kern w:val="0"/>
                <w:sz w:val="24"/>
              </w:rPr>
              <w:t xml:space="preserve">1,207 </w:t>
            </w:r>
          </w:p>
        </w:tc>
        <w:tc>
          <w:tcPr>
            <w:tcW w:w="975" w:type="dxa"/>
            <w:tcBorders>
              <w:tl2br w:val="nil"/>
              <w:tr2bl w:val="nil"/>
            </w:tcBorders>
            <w:noWrap w:val="0"/>
            <w:vAlign w:val="center"/>
          </w:tcPr>
          <w:p>
            <w:pPr>
              <w:widowControl/>
              <w:jc w:val="center"/>
              <w:rPr>
                <w:color w:val="000000"/>
                <w:kern w:val="0"/>
                <w:sz w:val="24"/>
              </w:rPr>
            </w:pPr>
            <w:r>
              <w:rPr>
                <w:color w:val="000000"/>
                <w:kern w:val="0"/>
                <w:sz w:val="24"/>
              </w:rPr>
              <w:t xml:space="preserve">1,991 </w:t>
            </w:r>
          </w:p>
        </w:tc>
        <w:tc>
          <w:tcPr>
            <w:tcW w:w="967" w:type="dxa"/>
            <w:tcBorders>
              <w:tl2br w:val="nil"/>
              <w:tr2bl w:val="nil"/>
            </w:tcBorders>
            <w:noWrap w:val="0"/>
            <w:vAlign w:val="center"/>
          </w:tcPr>
          <w:p>
            <w:pPr>
              <w:widowControl/>
              <w:jc w:val="center"/>
              <w:rPr>
                <w:color w:val="000000"/>
                <w:kern w:val="0"/>
                <w:sz w:val="24"/>
              </w:rPr>
            </w:pPr>
            <w:r>
              <w:rPr>
                <w:color w:val="000000"/>
                <w:kern w:val="0"/>
                <w:sz w:val="24"/>
              </w:rPr>
              <w:t xml:space="preserve">65.0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259" w:type="dxa"/>
            <w:tcBorders>
              <w:tl2br w:val="nil"/>
              <w:tr2bl w:val="nil"/>
            </w:tcBorders>
            <w:noWrap/>
            <w:vAlign w:val="center"/>
          </w:tcPr>
          <w:p>
            <w:pPr>
              <w:widowControl/>
              <w:jc w:val="left"/>
              <w:rPr>
                <w:color w:val="000000"/>
                <w:kern w:val="0"/>
                <w:sz w:val="24"/>
              </w:rPr>
            </w:pPr>
            <w:r>
              <w:rPr>
                <w:color w:val="000000"/>
                <w:kern w:val="0"/>
                <w:sz w:val="24"/>
              </w:rPr>
              <w:t xml:space="preserve">    2.</w:t>
            </w:r>
            <w:r>
              <w:rPr>
                <w:rFonts w:hint="eastAsia" w:ascii="仿宋_GB2312" w:eastAsia="仿宋_GB2312"/>
                <w:color w:val="000000"/>
                <w:kern w:val="0"/>
                <w:sz w:val="24"/>
              </w:rPr>
              <w:t>其他政府性基金及对应专项债务收入安排的支出</w:t>
            </w:r>
          </w:p>
        </w:tc>
        <w:tc>
          <w:tcPr>
            <w:tcW w:w="1122" w:type="dxa"/>
            <w:tcBorders>
              <w:tl2br w:val="nil"/>
              <w:tr2bl w:val="nil"/>
            </w:tcBorders>
            <w:noWrap w:val="0"/>
            <w:vAlign w:val="center"/>
          </w:tcPr>
          <w:p>
            <w:pPr>
              <w:widowControl/>
              <w:jc w:val="center"/>
              <w:rPr>
                <w:color w:val="000000"/>
                <w:kern w:val="0"/>
                <w:sz w:val="24"/>
              </w:rPr>
            </w:pPr>
            <w:r>
              <w:rPr>
                <w:color w:val="000000"/>
                <w:kern w:val="0"/>
                <w:sz w:val="24"/>
              </w:rPr>
              <w:t xml:space="preserve">101 </w:t>
            </w:r>
          </w:p>
        </w:tc>
        <w:tc>
          <w:tcPr>
            <w:tcW w:w="975" w:type="dxa"/>
            <w:tcBorders>
              <w:tl2br w:val="nil"/>
              <w:tr2bl w:val="nil"/>
            </w:tcBorders>
            <w:noWrap w:val="0"/>
            <w:vAlign w:val="center"/>
          </w:tcPr>
          <w:p>
            <w:pPr>
              <w:widowControl/>
              <w:jc w:val="center"/>
              <w:rPr>
                <w:color w:val="000000"/>
                <w:kern w:val="0"/>
                <w:sz w:val="24"/>
              </w:rPr>
            </w:pPr>
            <w:r>
              <w:rPr>
                <w:color w:val="000000"/>
                <w:kern w:val="0"/>
                <w:sz w:val="24"/>
              </w:rPr>
              <w:t xml:space="preserve">437 </w:t>
            </w:r>
          </w:p>
        </w:tc>
        <w:tc>
          <w:tcPr>
            <w:tcW w:w="967" w:type="dxa"/>
            <w:tcBorders>
              <w:tl2br w:val="nil"/>
              <w:tr2bl w:val="nil"/>
            </w:tcBorders>
            <w:noWrap w:val="0"/>
            <w:vAlign w:val="center"/>
          </w:tcPr>
          <w:p>
            <w:pPr>
              <w:widowControl/>
              <w:jc w:val="center"/>
              <w:rPr>
                <w:color w:val="000000"/>
                <w:kern w:val="0"/>
                <w:sz w:val="24"/>
              </w:rPr>
            </w:pPr>
            <w:r>
              <w:rPr>
                <w:color w:val="000000"/>
                <w:kern w:val="0"/>
                <w:sz w:val="24"/>
              </w:rPr>
              <w:t xml:space="preserve">332.7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259" w:type="dxa"/>
            <w:tcBorders>
              <w:tl2br w:val="nil"/>
              <w:tr2bl w:val="nil"/>
            </w:tcBorders>
            <w:noWrap/>
            <w:vAlign w:val="center"/>
          </w:tcPr>
          <w:p>
            <w:pPr>
              <w:widowControl/>
              <w:jc w:val="left"/>
              <w:rPr>
                <w:rFonts w:ascii="仿宋_GB2312" w:hAnsi="Arial" w:eastAsia="仿宋_GB2312" w:cs="Arial"/>
                <w:color w:val="000000"/>
                <w:kern w:val="0"/>
                <w:sz w:val="24"/>
              </w:rPr>
            </w:pPr>
            <w:r>
              <w:rPr>
                <w:rFonts w:hint="eastAsia" w:ascii="仿宋_GB2312" w:hAnsi="Arial" w:eastAsia="仿宋_GB2312" w:cs="Arial"/>
                <w:color w:val="000000"/>
                <w:kern w:val="0"/>
                <w:sz w:val="24"/>
              </w:rPr>
              <w:t>六、债务付息支出</w:t>
            </w:r>
          </w:p>
        </w:tc>
        <w:tc>
          <w:tcPr>
            <w:tcW w:w="1122" w:type="dxa"/>
            <w:tcBorders>
              <w:tl2br w:val="nil"/>
              <w:tr2bl w:val="nil"/>
            </w:tcBorders>
            <w:noWrap w:val="0"/>
            <w:vAlign w:val="center"/>
          </w:tcPr>
          <w:p>
            <w:pPr>
              <w:widowControl/>
              <w:jc w:val="center"/>
              <w:rPr>
                <w:color w:val="000000"/>
                <w:kern w:val="0"/>
                <w:sz w:val="24"/>
              </w:rPr>
            </w:pPr>
            <w:r>
              <w:rPr>
                <w:color w:val="000000"/>
                <w:kern w:val="0"/>
                <w:sz w:val="24"/>
              </w:rPr>
              <w:t xml:space="preserve">2,015 </w:t>
            </w:r>
          </w:p>
        </w:tc>
        <w:tc>
          <w:tcPr>
            <w:tcW w:w="975" w:type="dxa"/>
            <w:tcBorders>
              <w:tl2br w:val="nil"/>
              <w:tr2bl w:val="nil"/>
            </w:tcBorders>
            <w:noWrap w:val="0"/>
            <w:vAlign w:val="center"/>
          </w:tcPr>
          <w:p>
            <w:pPr>
              <w:widowControl/>
              <w:jc w:val="center"/>
              <w:rPr>
                <w:color w:val="000000"/>
                <w:kern w:val="0"/>
                <w:sz w:val="24"/>
              </w:rPr>
            </w:pPr>
            <w:r>
              <w:rPr>
                <w:color w:val="000000"/>
                <w:kern w:val="0"/>
                <w:sz w:val="24"/>
              </w:rPr>
              <w:t xml:space="preserve">2,398 </w:t>
            </w:r>
          </w:p>
        </w:tc>
        <w:tc>
          <w:tcPr>
            <w:tcW w:w="967" w:type="dxa"/>
            <w:tcBorders>
              <w:tl2br w:val="nil"/>
              <w:tr2bl w:val="nil"/>
            </w:tcBorders>
            <w:noWrap w:val="0"/>
            <w:vAlign w:val="center"/>
          </w:tcPr>
          <w:p>
            <w:pPr>
              <w:widowControl/>
              <w:jc w:val="center"/>
              <w:rPr>
                <w:color w:val="000000"/>
                <w:kern w:val="0"/>
                <w:sz w:val="24"/>
              </w:rPr>
            </w:pPr>
            <w:r>
              <w:rPr>
                <w:color w:val="000000"/>
                <w:kern w:val="0"/>
                <w:sz w:val="24"/>
              </w:rPr>
              <w:t xml:space="preserve">19.0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259" w:type="dxa"/>
            <w:tcBorders>
              <w:tl2br w:val="nil"/>
              <w:tr2bl w:val="nil"/>
            </w:tcBorders>
            <w:noWrap/>
            <w:vAlign w:val="center"/>
          </w:tcPr>
          <w:p>
            <w:pPr>
              <w:widowControl/>
              <w:jc w:val="left"/>
              <w:rPr>
                <w:rFonts w:ascii="仿宋_GB2312" w:hAnsi="Arial" w:eastAsia="仿宋_GB2312" w:cs="Arial"/>
                <w:color w:val="000000"/>
                <w:kern w:val="0"/>
                <w:sz w:val="24"/>
              </w:rPr>
            </w:pPr>
            <w:r>
              <w:rPr>
                <w:rFonts w:hint="eastAsia" w:ascii="仿宋_GB2312" w:hAnsi="Arial" w:eastAsia="仿宋_GB2312" w:cs="Arial"/>
                <w:color w:val="000000"/>
                <w:kern w:val="0"/>
                <w:sz w:val="24"/>
              </w:rPr>
              <w:t>七、债务发行费用支出</w:t>
            </w:r>
          </w:p>
        </w:tc>
        <w:tc>
          <w:tcPr>
            <w:tcW w:w="1122" w:type="dxa"/>
            <w:tcBorders>
              <w:tl2br w:val="nil"/>
              <w:tr2bl w:val="nil"/>
            </w:tcBorders>
            <w:noWrap w:val="0"/>
            <w:vAlign w:val="center"/>
          </w:tcPr>
          <w:p>
            <w:pPr>
              <w:widowControl/>
              <w:jc w:val="center"/>
              <w:rPr>
                <w:color w:val="000000"/>
                <w:kern w:val="0"/>
                <w:sz w:val="24"/>
              </w:rPr>
            </w:pPr>
            <w:r>
              <w:rPr>
                <w:color w:val="000000"/>
                <w:kern w:val="0"/>
                <w:sz w:val="24"/>
              </w:rPr>
              <w:t xml:space="preserve">12 </w:t>
            </w:r>
          </w:p>
        </w:tc>
        <w:tc>
          <w:tcPr>
            <w:tcW w:w="975" w:type="dxa"/>
            <w:tcBorders>
              <w:tl2br w:val="nil"/>
              <w:tr2bl w:val="nil"/>
            </w:tcBorders>
            <w:noWrap w:val="0"/>
            <w:vAlign w:val="center"/>
          </w:tcPr>
          <w:p>
            <w:pPr>
              <w:widowControl/>
              <w:jc w:val="center"/>
              <w:rPr>
                <w:color w:val="000000"/>
                <w:kern w:val="0"/>
                <w:sz w:val="24"/>
              </w:rPr>
            </w:pPr>
            <w:r>
              <w:rPr>
                <w:color w:val="000000"/>
                <w:kern w:val="0"/>
                <w:sz w:val="24"/>
              </w:rPr>
              <w:t xml:space="preserve">54 </w:t>
            </w:r>
          </w:p>
        </w:tc>
        <w:tc>
          <w:tcPr>
            <w:tcW w:w="967" w:type="dxa"/>
            <w:tcBorders>
              <w:tl2br w:val="nil"/>
              <w:tr2bl w:val="nil"/>
            </w:tcBorders>
            <w:noWrap w:val="0"/>
            <w:vAlign w:val="center"/>
          </w:tcPr>
          <w:p>
            <w:pPr>
              <w:widowControl/>
              <w:jc w:val="center"/>
              <w:rPr>
                <w:color w:val="000000"/>
                <w:kern w:val="0"/>
                <w:sz w:val="24"/>
              </w:rPr>
            </w:pPr>
            <w:r>
              <w:rPr>
                <w:color w:val="000000"/>
                <w:kern w:val="0"/>
                <w:sz w:val="24"/>
              </w:rPr>
              <w:t xml:space="preserve">350.0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259" w:type="dxa"/>
            <w:tcBorders>
              <w:bottom w:val="single" w:color="auto" w:sz="4" w:space="0"/>
              <w:tl2br w:val="nil"/>
              <w:tr2bl w:val="nil"/>
            </w:tcBorders>
            <w:noWrap w:val="0"/>
            <w:vAlign w:val="center"/>
          </w:tcPr>
          <w:p>
            <w:pPr>
              <w:widowControl/>
              <w:jc w:val="center"/>
              <w:rPr>
                <w:rFonts w:ascii="仿宋_GB2312" w:hAnsi="Arial" w:eastAsia="仿宋_GB2312" w:cs="Arial"/>
                <w:color w:val="000000"/>
                <w:kern w:val="0"/>
                <w:sz w:val="24"/>
              </w:rPr>
            </w:pPr>
            <w:r>
              <w:rPr>
                <w:rFonts w:hint="eastAsia" w:ascii="仿宋_GB2312" w:hAnsi="Arial" w:eastAsia="仿宋_GB2312" w:cs="Arial"/>
                <w:color w:val="000000"/>
                <w:kern w:val="0"/>
                <w:sz w:val="24"/>
              </w:rPr>
              <w:t>政府性基金</w:t>
            </w:r>
            <w:r>
              <w:rPr>
                <w:rFonts w:hint="eastAsia" w:ascii="仿宋_GB2312" w:hAnsi="Arial" w:eastAsia="仿宋_GB2312" w:cs="Arial"/>
                <w:color w:val="000000"/>
                <w:kern w:val="0"/>
                <w:sz w:val="24"/>
                <w:lang w:eastAsia="zh-CN"/>
              </w:rPr>
              <w:t>预算支出</w:t>
            </w:r>
            <w:r>
              <w:rPr>
                <w:rFonts w:hint="eastAsia" w:ascii="仿宋_GB2312" w:hAnsi="Arial" w:eastAsia="仿宋_GB2312" w:cs="Arial"/>
                <w:color w:val="000000"/>
                <w:kern w:val="0"/>
                <w:sz w:val="24"/>
              </w:rPr>
              <w:t>合计</w:t>
            </w:r>
          </w:p>
        </w:tc>
        <w:tc>
          <w:tcPr>
            <w:tcW w:w="1122" w:type="dxa"/>
            <w:tcBorders>
              <w:bottom w:val="single" w:color="auto" w:sz="4" w:space="0"/>
              <w:tl2br w:val="nil"/>
              <w:tr2bl w:val="nil"/>
            </w:tcBorders>
            <w:noWrap w:val="0"/>
            <w:vAlign w:val="center"/>
          </w:tcPr>
          <w:p>
            <w:pPr>
              <w:widowControl/>
              <w:jc w:val="center"/>
              <w:rPr>
                <w:color w:val="000000"/>
                <w:kern w:val="0"/>
                <w:sz w:val="24"/>
              </w:rPr>
            </w:pPr>
            <w:r>
              <w:rPr>
                <w:color w:val="000000"/>
                <w:kern w:val="0"/>
                <w:sz w:val="24"/>
              </w:rPr>
              <w:t xml:space="preserve">51,455 </w:t>
            </w:r>
          </w:p>
        </w:tc>
        <w:tc>
          <w:tcPr>
            <w:tcW w:w="975" w:type="dxa"/>
            <w:tcBorders>
              <w:bottom w:val="single" w:color="auto" w:sz="4" w:space="0"/>
              <w:tl2br w:val="nil"/>
              <w:tr2bl w:val="nil"/>
            </w:tcBorders>
            <w:noWrap w:val="0"/>
            <w:vAlign w:val="center"/>
          </w:tcPr>
          <w:p>
            <w:pPr>
              <w:widowControl/>
              <w:jc w:val="center"/>
              <w:rPr>
                <w:color w:val="000000"/>
                <w:kern w:val="0"/>
                <w:sz w:val="24"/>
              </w:rPr>
            </w:pPr>
            <w:r>
              <w:rPr>
                <w:color w:val="000000"/>
                <w:spacing w:val="-11"/>
                <w:kern w:val="0"/>
                <w:sz w:val="24"/>
              </w:rPr>
              <w:t xml:space="preserve">216,294 </w:t>
            </w:r>
          </w:p>
        </w:tc>
        <w:tc>
          <w:tcPr>
            <w:tcW w:w="967" w:type="dxa"/>
            <w:tcBorders>
              <w:bottom w:val="single" w:color="auto" w:sz="4" w:space="0"/>
              <w:tl2br w:val="nil"/>
              <w:tr2bl w:val="nil"/>
            </w:tcBorders>
            <w:noWrap w:val="0"/>
            <w:vAlign w:val="center"/>
          </w:tcPr>
          <w:p>
            <w:pPr>
              <w:widowControl/>
              <w:jc w:val="center"/>
              <w:rPr>
                <w:color w:val="000000"/>
                <w:kern w:val="0"/>
                <w:sz w:val="24"/>
              </w:rPr>
            </w:pPr>
            <w:r>
              <w:rPr>
                <w:color w:val="000000"/>
                <w:kern w:val="0"/>
                <w:sz w:val="24"/>
              </w:rPr>
              <w:t xml:space="preserve">320.4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9323" w:type="dxa"/>
            <w:gridSpan w:val="4"/>
            <w:tcBorders>
              <w:top w:val="single" w:color="auto" w:sz="4" w:space="0"/>
              <w:left w:val="nil"/>
              <w:bottom w:val="nil"/>
              <w:right w:val="nil"/>
              <w:tl2br w:val="nil"/>
              <w:tr2bl w:val="nil"/>
            </w:tcBorders>
            <w:noWrap w:val="0"/>
            <w:vAlign w:val="bottom"/>
          </w:tcPr>
          <w:p>
            <w:pPr>
              <w:widowControl/>
              <w:ind w:firstLine="420" w:firstLineChars="200"/>
              <w:jc w:val="left"/>
              <w:rPr>
                <w:rFonts w:ascii="仿宋_GB2312" w:hAnsi="Arial" w:eastAsia="仿宋_GB2312" w:cs="Arial"/>
                <w:color w:val="000000"/>
                <w:kern w:val="0"/>
                <w:sz w:val="22"/>
                <w:szCs w:val="22"/>
              </w:rPr>
            </w:pPr>
            <w:r>
              <w:rPr>
                <w:rFonts w:hint="eastAsia" w:ascii="仿宋_GB2312" w:hAnsi="Arial" w:eastAsia="仿宋_GB2312" w:cs="Arial"/>
                <w:color w:val="000000"/>
                <w:kern w:val="0"/>
                <w:sz w:val="21"/>
                <w:szCs w:val="21"/>
              </w:rPr>
              <w:t>注：2018年一般公共预算支出预计数包括本级一般公共预算收入、上年结转、专项债券资金、省市转移支付补助。</w:t>
            </w:r>
          </w:p>
        </w:tc>
      </w:tr>
    </w:tbl>
    <w:p>
      <w:pPr>
        <w:keepNext w:val="0"/>
        <w:keepLines w:val="0"/>
        <w:pageBreakBefore w:val="0"/>
        <w:widowControl w:val="0"/>
        <w:kinsoku/>
        <w:wordWrap/>
        <w:overflowPunct/>
        <w:topLinePunct w:val="0"/>
        <w:autoSpaceDE/>
        <w:autoSpaceDN/>
        <w:bidi w:val="0"/>
        <w:adjustRightInd/>
        <w:snapToGrid/>
        <w:spacing w:line="538" w:lineRule="exact"/>
        <w:jc w:val="left"/>
        <w:textAlignment w:val="auto"/>
        <w:rPr>
          <w:rFonts w:hint="eastAsia"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表五</w:t>
      </w:r>
    </w:p>
    <w:p>
      <w:pPr>
        <w:keepNext w:val="0"/>
        <w:keepLines w:val="0"/>
        <w:pageBreakBefore w:val="0"/>
        <w:widowControl w:val="0"/>
        <w:kinsoku/>
        <w:wordWrap/>
        <w:overflowPunct/>
        <w:topLinePunct w:val="0"/>
        <w:autoSpaceDE/>
        <w:autoSpaceDN/>
        <w:bidi w:val="0"/>
        <w:adjustRightInd/>
        <w:snapToGrid/>
        <w:spacing w:line="538" w:lineRule="exact"/>
        <w:jc w:val="center"/>
        <w:textAlignment w:val="auto"/>
        <w:rPr>
          <w:rFonts w:hint="eastAsia" w:ascii="方正小标宋_GBK" w:hAnsi="方正小标宋_GBK" w:eastAsia="方正小标宋_GBK" w:cs="方正小标宋_GBK"/>
          <w:color w:val="000000"/>
          <w:kern w:val="0"/>
          <w:sz w:val="36"/>
          <w:szCs w:val="36"/>
        </w:rPr>
      </w:pPr>
      <w:r>
        <w:rPr>
          <w:rFonts w:hint="eastAsia" w:ascii="方正小标宋_GBK" w:hAnsi="方正小标宋_GBK" w:eastAsia="方正小标宋_GBK" w:cs="方正小标宋_GBK"/>
          <w:color w:val="000000"/>
          <w:kern w:val="0"/>
          <w:sz w:val="36"/>
          <w:szCs w:val="36"/>
        </w:rPr>
        <w:t>2018年德化县国有资本经营预算收支情况表</w:t>
      </w:r>
    </w:p>
    <w:p>
      <w:pPr>
        <w:keepNext w:val="0"/>
        <w:keepLines w:val="0"/>
        <w:pageBreakBefore w:val="0"/>
        <w:widowControl w:val="0"/>
        <w:kinsoku/>
        <w:wordWrap/>
        <w:overflowPunct/>
        <w:topLinePunct w:val="0"/>
        <w:autoSpaceDE/>
        <w:autoSpaceDN/>
        <w:bidi w:val="0"/>
        <w:adjustRightInd/>
        <w:snapToGrid/>
        <w:spacing w:line="538" w:lineRule="exact"/>
        <w:jc w:val="right"/>
        <w:textAlignment w:val="auto"/>
        <w:rPr>
          <w:rFonts w:hint="eastAsia"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单位：万元</w:t>
      </w:r>
    </w:p>
    <w:tbl>
      <w:tblPr>
        <w:tblStyle w:val="8"/>
        <w:tblW w:w="8787" w:type="dxa"/>
        <w:jc w:val="center"/>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6"/>
        <w:gridCol w:w="1056"/>
        <w:gridCol w:w="3372"/>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3356" w:type="dxa"/>
            <w:tcBorders>
              <w:tl2br w:val="nil"/>
              <w:tr2bl w:val="nil"/>
            </w:tcBorders>
            <w:noWrap w:val="0"/>
            <w:vAlign w:val="center"/>
          </w:tcPr>
          <w:p>
            <w:pPr>
              <w:widowControl/>
              <w:jc w:val="center"/>
              <w:rPr>
                <w:rFonts w:ascii="仿宋_GB2312" w:hAnsi="Arial" w:eastAsia="仿宋_GB2312" w:cs="Arial"/>
                <w:color w:val="000000"/>
                <w:kern w:val="0"/>
                <w:sz w:val="24"/>
              </w:rPr>
            </w:pPr>
            <w:r>
              <w:rPr>
                <w:rFonts w:hint="eastAsia" w:ascii="仿宋_GB2312" w:hAnsi="Arial" w:eastAsia="仿宋_GB2312" w:cs="Arial"/>
                <w:color w:val="000000"/>
                <w:kern w:val="0"/>
                <w:sz w:val="24"/>
              </w:rPr>
              <w:t>科</w:t>
            </w:r>
            <w:r>
              <w:rPr>
                <w:rFonts w:eastAsia="仿宋_GB2312"/>
                <w:color w:val="000000"/>
                <w:kern w:val="0"/>
                <w:sz w:val="24"/>
              </w:rPr>
              <w:t xml:space="preserve">   </w:t>
            </w:r>
            <w:r>
              <w:rPr>
                <w:rFonts w:hint="eastAsia" w:ascii="仿宋_GB2312" w:hAnsi="Arial" w:eastAsia="仿宋_GB2312" w:cs="Arial"/>
                <w:color w:val="000000"/>
                <w:kern w:val="0"/>
                <w:sz w:val="24"/>
              </w:rPr>
              <w:t>目</w:t>
            </w:r>
          </w:p>
        </w:tc>
        <w:tc>
          <w:tcPr>
            <w:tcW w:w="1056" w:type="dxa"/>
            <w:tcBorders>
              <w:tl2br w:val="nil"/>
              <w:tr2bl w:val="nil"/>
            </w:tcBorders>
            <w:noWrap w:val="0"/>
            <w:vAlign w:val="center"/>
          </w:tcPr>
          <w:p>
            <w:pPr>
              <w:widowControl/>
              <w:jc w:val="center"/>
              <w:rPr>
                <w:color w:val="000000"/>
                <w:kern w:val="0"/>
                <w:sz w:val="24"/>
              </w:rPr>
            </w:pPr>
            <w:r>
              <w:rPr>
                <w:color w:val="000000"/>
                <w:kern w:val="0"/>
                <w:sz w:val="24"/>
              </w:rPr>
              <w:t>2018</w:t>
            </w:r>
            <w:r>
              <w:rPr>
                <w:rFonts w:hint="eastAsia" w:ascii="仿宋_GB2312" w:eastAsia="仿宋_GB2312"/>
                <w:color w:val="000000"/>
                <w:kern w:val="0"/>
                <w:sz w:val="24"/>
              </w:rPr>
              <w:t>年收入预计数</w:t>
            </w:r>
          </w:p>
        </w:tc>
        <w:tc>
          <w:tcPr>
            <w:tcW w:w="3372" w:type="dxa"/>
            <w:tcBorders>
              <w:tl2br w:val="nil"/>
              <w:tr2bl w:val="nil"/>
            </w:tcBorders>
            <w:noWrap w:val="0"/>
            <w:vAlign w:val="center"/>
          </w:tcPr>
          <w:p>
            <w:pPr>
              <w:widowControl/>
              <w:jc w:val="center"/>
              <w:rPr>
                <w:rFonts w:ascii="仿宋_GB2312" w:hAnsi="Arial" w:eastAsia="仿宋_GB2312" w:cs="Arial"/>
                <w:color w:val="000000"/>
                <w:kern w:val="0"/>
                <w:sz w:val="24"/>
              </w:rPr>
            </w:pPr>
            <w:r>
              <w:rPr>
                <w:rFonts w:hint="eastAsia" w:ascii="仿宋_GB2312" w:hAnsi="Arial" w:eastAsia="仿宋_GB2312" w:cs="Arial"/>
                <w:color w:val="000000"/>
                <w:kern w:val="0"/>
                <w:sz w:val="24"/>
              </w:rPr>
              <w:t>科</w:t>
            </w:r>
            <w:r>
              <w:rPr>
                <w:rFonts w:eastAsia="仿宋_GB2312"/>
                <w:color w:val="000000"/>
                <w:kern w:val="0"/>
                <w:sz w:val="24"/>
              </w:rPr>
              <w:t xml:space="preserve">   </w:t>
            </w:r>
            <w:r>
              <w:rPr>
                <w:rFonts w:hint="eastAsia" w:ascii="仿宋_GB2312" w:hAnsi="Arial" w:eastAsia="仿宋_GB2312" w:cs="Arial"/>
                <w:color w:val="000000"/>
                <w:kern w:val="0"/>
                <w:sz w:val="24"/>
              </w:rPr>
              <w:t>目</w:t>
            </w:r>
          </w:p>
        </w:tc>
        <w:tc>
          <w:tcPr>
            <w:tcW w:w="1003" w:type="dxa"/>
            <w:tcBorders>
              <w:tl2br w:val="nil"/>
              <w:tr2bl w:val="nil"/>
            </w:tcBorders>
            <w:noWrap w:val="0"/>
            <w:vAlign w:val="center"/>
          </w:tcPr>
          <w:p>
            <w:pPr>
              <w:widowControl/>
              <w:jc w:val="center"/>
              <w:rPr>
                <w:color w:val="000000"/>
                <w:kern w:val="0"/>
                <w:sz w:val="24"/>
              </w:rPr>
            </w:pPr>
            <w:r>
              <w:rPr>
                <w:color w:val="000000"/>
                <w:kern w:val="0"/>
                <w:sz w:val="24"/>
              </w:rPr>
              <w:t>2018</w:t>
            </w:r>
            <w:r>
              <w:rPr>
                <w:rFonts w:hint="eastAsia" w:ascii="仿宋_GB2312" w:eastAsia="仿宋_GB2312"/>
                <w:color w:val="000000"/>
                <w:kern w:val="0"/>
                <w:sz w:val="24"/>
              </w:rPr>
              <w:t>年支出预计数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3356" w:type="dxa"/>
            <w:tcBorders>
              <w:tl2br w:val="nil"/>
              <w:tr2bl w:val="nil"/>
            </w:tcBorders>
            <w:noWrap w:val="0"/>
            <w:vAlign w:val="center"/>
          </w:tcPr>
          <w:p>
            <w:pPr>
              <w:widowControl/>
              <w:jc w:val="left"/>
              <w:rPr>
                <w:rFonts w:ascii="仿宋_GB2312" w:hAnsi="Arial" w:eastAsia="仿宋_GB2312" w:cs="Arial"/>
                <w:color w:val="000000"/>
                <w:kern w:val="0"/>
                <w:sz w:val="24"/>
              </w:rPr>
            </w:pPr>
            <w:r>
              <w:rPr>
                <w:rFonts w:hint="eastAsia" w:ascii="仿宋_GB2312" w:hAnsi="Arial" w:eastAsia="仿宋_GB2312" w:cs="Arial"/>
                <w:color w:val="000000"/>
                <w:kern w:val="0"/>
                <w:sz w:val="24"/>
              </w:rPr>
              <w:t>一、利润收入</w:t>
            </w:r>
          </w:p>
        </w:tc>
        <w:tc>
          <w:tcPr>
            <w:tcW w:w="1056" w:type="dxa"/>
            <w:tcBorders>
              <w:tl2br w:val="nil"/>
              <w:tr2bl w:val="nil"/>
            </w:tcBorders>
            <w:noWrap w:val="0"/>
            <w:vAlign w:val="center"/>
          </w:tcPr>
          <w:p>
            <w:pPr>
              <w:widowControl/>
              <w:jc w:val="center"/>
              <w:rPr>
                <w:color w:val="000000"/>
                <w:kern w:val="0"/>
                <w:sz w:val="24"/>
              </w:rPr>
            </w:pPr>
            <w:r>
              <w:rPr>
                <w:color w:val="000000"/>
                <w:kern w:val="0"/>
                <w:sz w:val="24"/>
              </w:rPr>
              <w:t xml:space="preserve">287 </w:t>
            </w:r>
          </w:p>
        </w:tc>
        <w:tc>
          <w:tcPr>
            <w:tcW w:w="3372" w:type="dxa"/>
            <w:tcBorders>
              <w:tl2br w:val="nil"/>
              <w:tr2bl w:val="nil"/>
            </w:tcBorders>
            <w:noWrap w:val="0"/>
            <w:vAlign w:val="center"/>
          </w:tcPr>
          <w:p>
            <w:pPr>
              <w:widowControl/>
              <w:jc w:val="left"/>
              <w:rPr>
                <w:rFonts w:ascii="仿宋_GB2312" w:hAnsi="Arial" w:eastAsia="仿宋_GB2312" w:cs="Arial"/>
                <w:color w:val="000000"/>
                <w:kern w:val="0"/>
                <w:sz w:val="24"/>
              </w:rPr>
            </w:pPr>
            <w:r>
              <w:rPr>
                <w:rFonts w:hint="eastAsia" w:ascii="仿宋_GB2312" w:hAnsi="Arial" w:eastAsia="仿宋_GB2312" w:cs="Arial"/>
                <w:color w:val="000000"/>
                <w:kern w:val="0"/>
                <w:sz w:val="24"/>
              </w:rPr>
              <w:t>一、国有资本经营预算支出</w:t>
            </w:r>
          </w:p>
        </w:tc>
        <w:tc>
          <w:tcPr>
            <w:tcW w:w="1003" w:type="dxa"/>
            <w:tcBorders>
              <w:tl2br w:val="nil"/>
              <w:tr2bl w:val="nil"/>
            </w:tcBorders>
            <w:noWrap w:val="0"/>
            <w:vAlign w:val="center"/>
          </w:tcPr>
          <w:p>
            <w:pPr>
              <w:widowControl/>
              <w:jc w:val="center"/>
              <w:rPr>
                <w:color w:val="000000"/>
                <w:kern w:val="0"/>
                <w:sz w:val="24"/>
              </w:rPr>
            </w:pPr>
            <w:r>
              <w:rPr>
                <w:color w:val="000000"/>
                <w:kern w:val="0"/>
                <w:sz w:val="24"/>
              </w:rPr>
              <w:t xml:space="preserve">287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3356" w:type="dxa"/>
            <w:tcBorders>
              <w:tl2br w:val="nil"/>
              <w:tr2bl w:val="nil"/>
            </w:tcBorders>
            <w:noWrap w:val="0"/>
            <w:vAlign w:val="center"/>
          </w:tcPr>
          <w:p>
            <w:pPr>
              <w:widowControl/>
              <w:jc w:val="left"/>
              <w:rPr>
                <w:color w:val="000000"/>
                <w:kern w:val="0"/>
                <w:sz w:val="24"/>
              </w:rPr>
            </w:pPr>
            <w:r>
              <w:rPr>
                <w:color w:val="000000"/>
                <w:kern w:val="0"/>
                <w:sz w:val="24"/>
              </w:rPr>
              <w:t xml:space="preserve">    1.</w:t>
            </w:r>
            <w:r>
              <w:rPr>
                <w:rFonts w:hint="eastAsia" w:ascii="仿宋_GB2312" w:eastAsia="仿宋_GB2312"/>
                <w:color w:val="000000"/>
                <w:kern w:val="0"/>
                <w:sz w:val="24"/>
              </w:rPr>
              <w:t>运输企业利润收入</w:t>
            </w:r>
          </w:p>
        </w:tc>
        <w:tc>
          <w:tcPr>
            <w:tcW w:w="1056" w:type="dxa"/>
            <w:tcBorders>
              <w:tl2br w:val="nil"/>
              <w:tr2bl w:val="nil"/>
            </w:tcBorders>
            <w:noWrap w:val="0"/>
            <w:vAlign w:val="center"/>
          </w:tcPr>
          <w:p>
            <w:pPr>
              <w:widowControl/>
              <w:jc w:val="center"/>
              <w:rPr>
                <w:color w:val="000000"/>
                <w:kern w:val="0"/>
                <w:sz w:val="24"/>
              </w:rPr>
            </w:pPr>
            <w:r>
              <w:rPr>
                <w:color w:val="000000"/>
                <w:kern w:val="0"/>
                <w:sz w:val="24"/>
              </w:rPr>
              <w:t>　</w:t>
            </w:r>
          </w:p>
        </w:tc>
        <w:tc>
          <w:tcPr>
            <w:tcW w:w="337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ind w:left="0" w:firstLine="0" w:firstLineChars="0"/>
              <w:jc w:val="left"/>
              <w:textAlignment w:val="auto"/>
              <w:rPr>
                <w:color w:val="000000"/>
                <w:kern w:val="0"/>
                <w:sz w:val="24"/>
              </w:rPr>
            </w:pPr>
            <w:r>
              <w:rPr>
                <w:color w:val="000000"/>
                <w:kern w:val="0"/>
                <w:sz w:val="24"/>
              </w:rPr>
              <w:t xml:space="preserve">    1.</w:t>
            </w:r>
            <w:r>
              <w:rPr>
                <w:rFonts w:hint="eastAsia" w:ascii="仿宋_GB2312" w:eastAsia="仿宋_GB2312"/>
                <w:color w:val="000000"/>
                <w:kern w:val="0"/>
                <w:sz w:val="24"/>
              </w:rPr>
              <w:t>解决历史遗留问题及改革成本支出</w:t>
            </w:r>
          </w:p>
        </w:tc>
        <w:tc>
          <w:tcPr>
            <w:tcW w:w="1003" w:type="dxa"/>
            <w:tcBorders>
              <w:tl2br w:val="nil"/>
              <w:tr2bl w:val="nil"/>
            </w:tcBorders>
            <w:noWrap w:val="0"/>
            <w:vAlign w:val="center"/>
          </w:tcPr>
          <w:p>
            <w:pPr>
              <w:widowControl/>
              <w:jc w:val="center"/>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3356" w:type="dxa"/>
            <w:tcBorders>
              <w:tl2br w:val="nil"/>
              <w:tr2bl w:val="nil"/>
            </w:tcBorders>
            <w:noWrap w:val="0"/>
            <w:vAlign w:val="center"/>
          </w:tcPr>
          <w:p>
            <w:pPr>
              <w:widowControl/>
              <w:jc w:val="left"/>
              <w:rPr>
                <w:color w:val="000000"/>
                <w:kern w:val="0"/>
                <w:sz w:val="24"/>
              </w:rPr>
            </w:pPr>
            <w:r>
              <w:rPr>
                <w:color w:val="000000"/>
                <w:kern w:val="0"/>
                <w:sz w:val="24"/>
              </w:rPr>
              <w:t xml:space="preserve">    </w:t>
            </w:r>
            <w:r>
              <w:rPr>
                <w:color w:val="000000"/>
                <w:spacing w:val="-6"/>
                <w:kern w:val="0"/>
                <w:sz w:val="24"/>
              </w:rPr>
              <w:t>2.</w:t>
            </w:r>
            <w:r>
              <w:rPr>
                <w:rFonts w:hint="eastAsia" w:ascii="仿宋_GB2312" w:eastAsia="仿宋_GB2312"/>
                <w:color w:val="000000"/>
                <w:spacing w:val="-6"/>
                <w:kern w:val="0"/>
                <w:sz w:val="24"/>
              </w:rPr>
              <w:t>建筑施工企业利润收入</w:t>
            </w:r>
          </w:p>
        </w:tc>
        <w:tc>
          <w:tcPr>
            <w:tcW w:w="1056" w:type="dxa"/>
            <w:tcBorders>
              <w:tl2br w:val="nil"/>
              <w:tr2bl w:val="nil"/>
            </w:tcBorders>
            <w:noWrap w:val="0"/>
            <w:vAlign w:val="center"/>
          </w:tcPr>
          <w:p>
            <w:pPr>
              <w:widowControl/>
              <w:jc w:val="center"/>
              <w:rPr>
                <w:color w:val="000000"/>
                <w:kern w:val="0"/>
                <w:sz w:val="24"/>
              </w:rPr>
            </w:pPr>
            <w:r>
              <w:rPr>
                <w:color w:val="000000"/>
                <w:kern w:val="0"/>
                <w:sz w:val="24"/>
              </w:rPr>
              <w:t>　</w:t>
            </w:r>
          </w:p>
        </w:tc>
        <w:tc>
          <w:tcPr>
            <w:tcW w:w="3372" w:type="dxa"/>
            <w:tcBorders>
              <w:tl2br w:val="nil"/>
              <w:tr2bl w:val="nil"/>
            </w:tcBorders>
            <w:noWrap w:val="0"/>
            <w:vAlign w:val="center"/>
          </w:tcPr>
          <w:p>
            <w:pPr>
              <w:widowControl/>
              <w:jc w:val="left"/>
              <w:rPr>
                <w:color w:val="000000"/>
                <w:kern w:val="0"/>
                <w:sz w:val="24"/>
              </w:rPr>
            </w:pPr>
            <w:r>
              <w:rPr>
                <w:color w:val="000000"/>
                <w:kern w:val="0"/>
                <w:sz w:val="24"/>
              </w:rPr>
              <w:t xml:space="preserve">    2.</w:t>
            </w:r>
            <w:r>
              <w:rPr>
                <w:rFonts w:hint="eastAsia" w:ascii="仿宋_GB2312" w:eastAsia="仿宋_GB2312"/>
                <w:color w:val="000000"/>
                <w:kern w:val="0"/>
                <w:sz w:val="24"/>
              </w:rPr>
              <w:t>国有企业资本金注入</w:t>
            </w:r>
          </w:p>
        </w:tc>
        <w:tc>
          <w:tcPr>
            <w:tcW w:w="1003" w:type="dxa"/>
            <w:tcBorders>
              <w:tl2br w:val="nil"/>
              <w:tr2bl w:val="nil"/>
            </w:tcBorders>
            <w:noWrap w:val="0"/>
            <w:vAlign w:val="center"/>
          </w:tcPr>
          <w:p>
            <w:pPr>
              <w:widowControl/>
              <w:jc w:val="center"/>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3356" w:type="dxa"/>
            <w:tcBorders>
              <w:tl2br w:val="nil"/>
              <w:tr2bl w:val="nil"/>
            </w:tcBorders>
            <w:noWrap w:val="0"/>
            <w:vAlign w:val="center"/>
          </w:tcPr>
          <w:p>
            <w:pPr>
              <w:widowControl/>
              <w:jc w:val="left"/>
              <w:rPr>
                <w:color w:val="000000"/>
                <w:kern w:val="0"/>
                <w:sz w:val="24"/>
              </w:rPr>
            </w:pPr>
            <w:r>
              <w:rPr>
                <w:color w:val="000000"/>
                <w:kern w:val="0"/>
                <w:sz w:val="24"/>
              </w:rPr>
              <w:t xml:space="preserve">    3.</w:t>
            </w:r>
            <w:r>
              <w:rPr>
                <w:rFonts w:hint="eastAsia" w:ascii="仿宋_GB2312" w:eastAsia="仿宋_GB2312"/>
                <w:color w:val="000000"/>
                <w:kern w:val="0"/>
                <w:sz w:val="24"/>
              </w:rPr>
              <w:t>贸易企业利润收入</w:t>
            </w:r>
          </w:p>
        </w:tc>
        <w:tc>
          <w:tcPr>
            <w:tcW w:w="1056" w:type="dxa"/>
            <w:tcBorders>
              <w:tl2br w:val="nil"/>
              <w:tr2bl w:val="nil"/>
            </w:tcBorders>
            <w:noWrap w:val="0"/>
            <w:vAlign w:val="center"/>
          </w:tcPr>
          <w:p>
            <w:pPr>
              <w:widowControl/>
              <w:jc w:val="center"/>
              <w:rPr>
                <w:color w:val="000000"/>
                <w:kern w:val="0"/>
                <w:sz w:val="24"/>
              </w:rPr>
            </w:pPr>
            <w:r>
              <w:rPr>
                <w:color w:val="000000"/>
                <w:kern w:val="0"/>
                <w:sz w:val="24"/>
              </w:rPr>
              <w:t xml:space="preserve">27 </w:t>
            </w:r>
          </w:p>
        </w:tc>
        <w:tc>
          <w:tcPr>
            <w:tcW w:w="337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ind w:left="0" w:firstLine="0" w:firstLineChars="0"/>
              <w:jc w:val="left"/>
              <w:textAlignment w:val="auto"/>
              <w:rPr>
                <w:color w:val="000000"/>
                <w:kern w:val="0"/>
                <w:sz w:val="24"/>
              </w:rPr>
            </w:pPr>
            <w:r>
              <w:rPr>
                <w:color w:val="000000"/>
                <w:kern w:val="0"/>
                <w:sz w:val="24"/>
              </w:rPr>
              <w:t xml:space="preserve">    3.</w:t>
            </w:r>
            <w:r>
              <w:rPr>
                <w:rFonts w:hint="eastAsia" w:ascii="仿宋_GB2312" w:eastAsia="仿宋_GB2312"/>
                <w:color w:val="000000"/>
                <w:kern w:val="0"/>
                <w:sz w:val="24"/>
              </w:rPr>
              <w:t>其他国有资本经营预算支出</w:t>
            </w:r>
          </w:p>
        </w:tc>
        <w:tc>
          <w:tcPr>
            <w:tcW w:w="1003" w:type="dxa"/>
            <w:tcBorders>
              <w:tl2br w:val="nil"/>
              <w:tr2bl w:val="nil"/>
            </w:tcBorders>
            <w:noWrap w:val="0"/>
            <w:vAlign w:val="center"/>
          </w:tcPr>
          <w:p>
            <w:pPr>
              <w:widowControl/>
              <w:jc w:val="center"/>
              <w:rPr>
                <w:color w:val="000000"/>
                <w:kern w:val="0"/>
                <w:sz w:val="24"/>
              </w:rPr>
            </w:pPr>
            <w:r>
              <w:rPr>
                <w:color w:val="000000"/>
                <w:kern w:val="0"/>
                <w:sz w:val="24"/>
              </w:rPr>
              <w:t>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3356" w:type="dxa"/>
            <w:tcBorders>
              <w:tl2br w:val="nil"/>
              <w:tr2bl w:val="nil"/>
            </w:tcBorders>
            <w:noWrap w:val="0"/>
            <w:vAlign w:val="center"/>
          </w:tcPr>
          <w:p>
            <w:pPr>
              <w:widowControl/>
              <w:jc w:val="left"/>
              <w:rPr>
                <w:color w:val="000000"/>
                <w:kern w:val="0"/>
                <w:sz w:val="24"/>
              </w:rPr>
            </w:pPr>
            <w:r>
              <w:rPr>
                <w:color w:val="000000"/>
                <w:kern w:val="0"/>
                <w:sz w:val="24"/>
              </w:rPr>
              <w:t xml:space="preserve">    4.</w:t>
            </w:r>
            <w:r>
              <w:rPr>
                <w:rFonts w:hint="eastAsia" w:ascii="仿宋_GB2312" w:eastAsia="仿宋_GB2312"/>
                <w:color w:val="000000"/>
                <w:kern w:val="0"/>
                <w:sz w:val="24"/>
              </w:rPr>
              <w:t>房地产企业利润收入</w:t>
            </w:r>
          </w:p>
        </w:tc>
        <w:tc>
          <w:tcPr>
            <w:tcW w:w="1056" w:type="dxa"/>
            <w:tcBorders>
              <w:tl2br w:val="nil"/>
              <w:tr2bl w:val="nil"/>
            </w:tcBorders>
            <w:noWrap w:val="0"/>
            <w:vAlign w:val="center"/>
          </w:tcPr>
          <w:p>
            <w:pPr>
              <w:widowControl/>
              <w:jc w:val="center"/>
              <w:rPr>
                <w:color w:val="000000"/>
                <w:kern w:val="0"/>
                <w:sz w:val="24"/>
              </w:rPr>
            </w:pPr>
            <w:r>
              <w:rPr>
                <w:color w:val="000000"/>
                <w:kern w:val="0"/>
                <w:sz w:val="24"/>
              </w:rPr>
              <w:t xml:space="preserve">60 </w:t>
            </w:r>
          </w:p>
        </w:tc>
        <w:tc>
          <w:tcPr>
            <w:tcW w:w="3372" w:type="dxa"/>
            <w:tcBorders>
              <w:tl2br w:val="nil"/>
              <w:tr2bl w:val="nil"/>
            </w:tcBorders>
            <w:noWrap w:val="0"/>
            <w:vAlign w:val="center"/>
          </w:tcPr>
          <w:p>
            <w:pPr>
              <w:widowControl/>
              <w:jc w:val="left"/>
              <w:rPr>
                <w:rFonts w:ascii="仿宋_GB2312" w:hAnsi="Arial" w:eastAsia="仿宋_GB2312" w:cs="Arial"/>
                <w:color w:val="000000"/>
                <w:kern w:val="0"/>
                <w:sz w:val="24"/>
              </w:rPr>
            </w:pPr>
            <w:r>
              <w:rPr>
                <w:rFonts w:hint="eastAsia" w:ascii="仿宋_GB2312" w:hAnsi="Arial" w:eastAsia="仿宋_GB2312" w:cs="Arial"/>
                <w:color w:val="000000"/>
                <w:kern w:val="0"/>
                <w:sz w:val="24"/>
              </w:rPr>
              <w:t>二、转移性支出</w:t>
            </w:r>
          </w:p>
        </w:tc>
        <w:tc>
          <w:tcPr>
            <w:tcW w:w="1003" w:type="dxa"/>
            <w:tcBorders>
              <w:tl2br w:val="nil"/>
              <w:tr2bl w:val="nil"/>
            </w:tcBorders>
            <w:noWrap w:val="0"/>
            <w:vAlign w:val="center"/>
          </w:tcPr>
          <w:p>
            <w:pPr>
              <w:widowControl/>
              <w:jc w:val="center"/>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3356" w:type="dxa"/>
            <w:tcBorders>
              <w:tl2br w:val="nil"/>
              <w:tr2bl w:val="nil"/>
            </w:tcBorders>
            <w:noWrap w:val="0"/>
            <w:vAlign w:val="center"/>
          </w:tcPr>
          <w:p>
            <w:pPr>
              <w:widowControl/>
              <w:jc w:val="left"/>
              <w:rPr>
                <w:color w:val="000000"/>
                <w:kern w:val="0"/>
                <w:sz w:val="24"/>
              </w:rPr>
            </w:pPr>
            <w:r>
              <w:rPr>
                <w:color w:val="000000"/>
                <w:kern w:val="0"/>
                <w:sz w:val="24"/>
              </w:rPr>
              <w:t xml:space="preserve">    </w:t>
            </w:r>
            <w:r>
              <w:rPr>
                <w:color w:val="000000"/>
                <w:spacing w:val="-6"/>
                <w:kern w:val="0"/>
                <w:sz w:val="24"/>
              </w:rPr>
              <w:t>5.</w:t>
            </w:r>
            <w:r>
              <w:rPr>
                <w:rFonts w:hint="eastAsia" w:ascii="仿宋_GB2312" w:eastAsia="仿宋_GB2312"/>
                <w:color w:val="000000"/>
                <w:spacing w:val="-6"/>
                <w:kern w:val="0"/>
                <w:sz w:val="24"/>
              </w:rPr>
              <w:t>投资服务企业利润收入</w:t>
            </w:r>
          </w:p>
        </w:tc>
        <w:tc>
          <w:tcPr>
            <w:tcW w:w="1056" w:type="dxa"/>
            <w:tcBorders>
              <w:tl2br w:val="nil"/>
              <w:tr2bl w:val="nil"/>
            </w:tcBorders>
            <w:noWrap w:val="0"/>
            <w:vAlign w:val="center"/>
          </w:tcPr>
          <w:p>
            <w:pPr>
              <w:widowControl/>
              <w:jc w:val="center"/>
              <w:rPr>
                <w:color w:val="000000"/>
                <w:kern w:val="0"/>
                <w:sz w:val="24"/>
              </w:rPr>
            </w:pPr>
            <w:r>
              <w:rPr>
                <w:color w:val="000000"/>
                <w:kern w:val="0"/>
                <w:sz w:val="24"/>
              </w:rPr>
              <w:t>　</w:t>
            </w:r>
          </w:p>
        </w:tc>
        <w:tc>
          <w:tcPr>
            <w:tcW w:w="3372" w:type="dxa"/>
            <w:tcBorders>
              <w:tl2br w:val="nil"/>
              <w:tr2bl w:val="nil"/>
            </w:tcBorders>
            <w:noWrap w:val="0"/>
            <w:vAlign w:val="center"/>
          </w:tcPr>
          <w:p>
            <w:pPr>
              <w:widowControl/>
              <w:jc w:val="left"/>
              <w:rPr>
                <w:color w:val="000000"/>
                <w:kern w:val="0"/>
                <w:sz w:val="24"/>
              </w:rPr>
            </w:pPr>
            <w:r>
              <w:rPr>
                <w:color w:val="000000"/>
                <w:kern w:val="0"/>
                <w:sz w:val="24"/>
              </w:rPr>
              <w:t xml:space="preserve">    1. </w:t>
            </w:r>
            <w:r>
              <w:rPr>
                <w:rFonts w:hint="eastAsia" w:ascii="仿宋_GB2312" w:eastAsia="仿宋_GB2312"/>
                <w:color w:val="000000"/>
                <w:kern w:val="0"/>
                <w:sz w:val="24"/>
              </w:rPr>
              <w:t>调出资金</w:t>
            </w:r>
          </w:p>
        </w:tc>
        <w:tc>
          <w:tcPr>
            <w:tcW w:w="1003" w:type="dxa"/>
            <w:tcBorders>
              <w:tl2br w:val="nil"/>
              <w:tr2bl w:val="nil"/>
            </w:tcBorders>
            <w:noWrap w:val="0"/>
            <w:vAlign w:val="center"/>
          </w:tcPr>
          <w:p>
            <w:pPr>
              <w:widowControl/>
              <w:jc w:val="center"/>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335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ind w:left="0" w:firstLine="0" w:firstLineChars="0"/>
              <w:jc w:val="left"/>
              <w:textAlignment w:val="auto"/>
              <w:rPr>
                <w:color w:val="000000"/>
                <w:kern w:val="0"/>
                <w:sz w:val="24"/>
              </w:rPr>
            </w:pPr>
            <w:r>
              <w:rPr>
                <w:color w:val="000000"/>
                <w:kern w:val="0"/>
                <w:sz w:val="24"/>
              </w:rPr>
              <w:t xml:space="preserve">    6.</w:t>
            </w:r>
            <w:r>
              <w:rPr>
                <w:rFonts w:hint="eastAsia" w:ascii="仿宋_GB2312" w:eastAsia="仿宋_GB2312"/>
                <w:color w:val="000000"/>
                <w:kern w:val="0"/>
                <w:sz w:val="24"/>
              </w:rPr>
              <w:t>其他国有资本经营预算企业利润收入</w:t>
            </w:r>
          </w:p>
        </w:tc>
        <w:tc>
          <w:tcPr>
            <w:tcW w:w="1056" w:type="dxa"/>
            <w:tcBorders>
              <w:tl2br w:val="nil"/>
              <w:tr2bl w:val="nil"/>
            </w:tcBorders>
            <w:noWrap w:val="0"/>
            <w:vAlign w:val="center"/>
          </w:tcPr>
          <w:p>
            <w:pPr>
              <w:widowControl/>
              <w:jc w:val="center"/>
              <w:rPr>
                <w:color w:val="000000"/>
                <w:kern w:val="0"/>
                <w:sz w:val="24"/>
              </w:rPr>
            </w:pPr>
            <w:r>
              <w:rPr>
                <w:color w:val="000000"/>
                <w:kern w:val="0"/>
                <w:sz w:val="24"/>
              </w:rPr>
              <w:t xml:space="preserve">200 </w:t>
            </w:r>
          </w:p>
        </w:tc>
        <w:tc>
          <w:tcPr>
            <w:tcW w:w="3372" w:type="dxa"/>
            <w:tcBorders>
              <w:tl2br w:val="nil"/>
              <w:tr2bl w:val="nil"/>
            </w:tcBorders>
            <w:noWrap w:val="0"/>
            <w:vAlign w:val="bottom"/>
          </w:tcPr>
          <w:p>
            <w:pPr>
              <w:widowControl/>
              <w:jc w:val="left"/>
              <w:rPr>
                <w:color w:val="000000"/>
                <w:kern w:val="0"/>
                <w:sz w:val="24"/>
              </w:rPr>
            </w:pPr>
            <w:r>
              <w:rPr>
                <w:color w:val="000000"/>
                <w:kern w:val="0"/>
                <w:sz w:val="24"/>
              </w:rPr>
              <w:t>　</w:t>
            </w:r>
          </w:p>
        </w:tc>
        <w:tc>
          <w:tcPr>
            <w:tcW w:w="1003" w:type="dxa"/>
            <w:tcBorders>
              <w:tl2br w:val="nil"/>
              <w:tr2bl w:val="nil"/>
            </w:tcBorders>
            <w:noWrap w:val="0"/>
            <w:vAlign w:val="bottom"/>
          </w:tcPr>
          <w:p>
            <w:pPr>
              <w:widowControl/>
              <w:jc w:val="center"/>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3356" w:type="dxa"/>
            <w:tcBorders>
              <w:tl2br w:val="nil"/>
              <w:tr2bl w:val="nil"/>
            </w:tcBorders>
            <w:noWrap w:val="0"/>
            <w:vAlign w:val="center"/>
          </w:tcPr>
          <w:p>
            <w:pPr>
              <w:widowControl/>
              <w:jc w:val="left"/>
              <w:rPr>
                <w:rFonts w:ascii="仿宋_GB2312" w:hAnsi="Arial" w:eastAsia="仿宋_GB2312" w:cs="Arial"/>
                <w:color w:val="000000"/>
                <w:kern w:val="0"/>
                <w:sz w:val="24"/>
              </w:rPr>
            </w:pPr>
            <w:r>
              <w:rPr>
                <w:rFonts w:hint="eastAsia" w:ascii="仿宋_GB2312" w:hAnsi="Arial" w:eastAsia="仿宋_GB2312" w:cs="Arial"/>
                <w:color w:val="000000"/>
                <w:kern w:val="0"/>
                <w:sz w:val="24"/>
              </w:rPr>
              <w:t>二、股利、利息收入</w:t>
            </w:r>
          </w:p>
        </w:tc>
        <w:tc>
          <w:tcPr>
            <w:tcW w:w="1056" w:type="dxa"/>
            <w:tcBorders>
              <w:tl2br w:val="nil"/>
              <w:tr2bl w:val="nil"/>
            </w:tcBorders>
            <w:noWrap w:val="0"/>
            <w:vAlign w:val="center"/>
          </w:tcPr>
          <w:p>
            <w:pPr>
              <w:widowControl/>
              <w:jc w:val="center"/>
              <w:rPr>
                <w:color w:val="000000"/>
                <w:kern w:val="0"/>
                <w:sz w:val="24"/>
              </w:rPr>
            </w:pPr>
            <w:r>
              <w:rPr>
                <w:color w:val="000000"/>
                <w:kern w:val="0"/>
                <w:sz w:val="24"/>
              </w:rPr>
              <w:t>　</w:t>
            </w:r>
          </w:p>
        </w:tc>
        <w:tc>
          <w:tcPr>
            <w:tcW w:w="3372" w:type="dxa"/>
            <w:tcBorders>
              <w:tl2br w:val="nil"/>
              <w:tr2bl w:val="nil"/>
            </w:tcBorders>
            <w:noWrap w:val="0"/>
            <w:vAlign w:val="bottom"/>
          </w:tcPr>
          <w:p>
            <w:pPr>
              <w:widowControl/>
              <w:jc w:val="left"/>
              <w:rPr>
                <w:color w:val="000000"/>
                <w:kern w:val="0"/>
                <w:sz w:val="24"/>
              </w:rPr>
            </w:pPr>
            <w:r>
              <w:rPr>
                <w:color w:val="000000"/>
                <w:kern w:val="0"/>
                <w:sz w:val="24"/>
              </w:rPr>
              <w:t>　</w:t>
            </w:r>
          </w:p>
        </w:tc>
        <w:tc>
          <w:tcPr>
            <w:tcW w:w="1003" w:type="dxa"/>
            <w:tcBorders>
              <w:tl2br w:val="nil"/>
              <w:tr2bl w:val="nil"/>
            </w:tcBorders>
            <w:noWrap w:val="0"/>
            <w:vAlign w:val="bottom"/>
          </w:tcPr>
          <w:p>
            <w:pPr>
              <w:widowControl/>
              <w:jc w:val="center"/>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3356" w:type="dxa"/>
            <w:tcBorders>
              <w:tl2br w:val="nil"/>
              <w:tr2bl w:val="nil"/>
            </w:tcBorders>
            <w:noWrap w:val="0"/>
            <w:vAlign w:val="center"/>
          </w:tcPr>
          <w:p>
            <w:pPr>
              <w:widowControl/>
              <w:jc w:val="left"/>
              <w:rPr>
                <w:rFonts w:ascii="仿宋_GB2312" w:hAnsi="Arial" w:eastAsia="仿宋_GB2312" w:cs="Arial"/>
                <w:color w:val="000000"/>
                <w:kern w:val="0"/>
                <w:sz w:val="24"/>
              </w:rPr>
            </w:pPr>
            <w:r>
              <w:rPr>
                <w:rFonts w:hint="eastAsia" w:ascii="仿宋_GB2312" w:hAnsi="Arial" w:eastAsia="仿宋_GB2312" w:cs="Arial"/>
                <w:color w:val="000000"/>
                <w:kern w:val="0"/>
                <w:sz w:val="24"/>
              </w:rPr>
              <w:t>　</w:t>
            </w:r>
          </w:p>
        </w:tc>
        <w:tc>
          <w:tcPr>
            <w:tcW w:w="1056" w:type="dxa"/>
            <w:tcBorders>
              <w:tl2br w:val="nil"/>
              <w:tr2bl w:val="nil"/>
            </w:tcBorders>
            <w:noWrap w:val="0"/>
            <w:vAlign w:val="center"/>
          </w:tcPr>
          <w:p>
            <w:pPr>
              <w:widowControl/>
              <w:jc w:val="center"/>
              <w:rPr>
                <w:color w:val="000000"/>
                <w:kern w:val="0"/>
                <w:sz w:val="24"/>
              </w:rPr>
            </w:pPr>
            <w:r>
              <w:rPr>
                <w:color w:val="000000"/>
                <w:kern w:val="0"/>
                <w:sz w:val="24"/>
              </w:rPr>
              <w:t>　</w:t>
            </w:r>
          </w:p>
        </w:tc>
        <w:tc>
          <w:tcPr>
            <w:tcW w:w="3372" w:type="dxa"/>
            <w:tcBorders>
              <w:tl2br w:val="nil"/>
              <w:tr2bl w:val="nil"/>
            </w:tcBorders>
            <w:noWrap w:val="0"/>
            <w:vAlign w:val="bottom"/>
          </w:tcPr>
          <w:p>
            <w:pPr>
              <w:widowControl/>
              <w:jc w:val="left"/>
              <w:rPr>
                <w:color w:val="000000"/>
                <w:kern w:val="0"/>
                <w:sz w:val="24"/>
              </w:rPr>
            </w:pPr>
            <w:r>
              <w:rPr>
                <w:color w:val="000000"/>
                <w:kern w:val="0"/>
                <w:sz w:val="24"/>
              </w:rPr>
              <w:t>　</w:t>
            </w:r>
          </w:p>
        </w:tc>
        <w:tc>
          <w:tcPr>
            <w:tcW w:w="1003" w:type="dxa"/>
            <w:tcBorders>
              <w:tl2br w:val="nil"/>
              <w:tr2bl w:val="nil"/>
            </w:tcBorders>
            <w:noWrap w:val="0"/>
            <w:vAlign w:val="bottom"/>
          </w:tcPr>
          <w:p>
            <w:pPr>
              <w:widowControl/>
              <w:jc w:val="center"/>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3356" w:type="dxa"/>
            <w:tcBorders>
              <w:tl2br w:val="nil"/>
              <w:tr2bl w:val="nil"/>
            </w:tcBorders>
            <w:noWrap w:val="0"/>
            <w:vAlign w:val="center"/>
          </w:tcPr>
          <w:p>
            <w:pPr>
              <w:widowControl/>
              <w:jc w:val="left"/>
              <w:rPr>
                <w:rFonts w:ascii="仿宋_GB2312" w:hAnsi="Arial" w:eastAsia="仿宋_GB2312" w:cs="Arial"/>
                <w:color w:val="000000"/>
                <w:kern w:val="0"/>
                <w:sz w:val="24"/>
              </w:rPr>
            </w:pPr>
            <w:r>
              <w:rPr>
                <w:rFonts w:hint="eastAsia" w:ascii="仿宋_GB2312" w:hAnsi="Arial" w:eastAsia="仿宋_GB2312" w:cs="Arial"/>
                <w:color w:val="000000"/>
                <w:kern w:val="0"/>
                <w:sz w:val="24"/>
              </w:rPr>
              <w:t>　</w:t>
            </w:r>
          </w:p>
        </w:tc>
        <w:tc>
          <w:tcPr>
            <w:tcW w:w="1056" w:type="dxa"/>
            <w:tcBorders>
              <w:tl2br w:val="nil"/>
              <w:tr2bl w:val="nil"/>
            </w:tcBorders>
            <w:noWrap w:val="0"/>
            <w:vAlign w:val="center"/>
          </w:tcPr>
          <w:p>
            <w:pPr>
              <w:widowControl/>
              <w:jc w:val="center"/>
              <w:rPr>
                <w:color w:val="000000"/>
                <w:kern w:val="0"/>
                <w:sz w:val="24"/>
              </w:rPr>
            </w:pPr>
            <w:r>
              <w:rPr>
                <w:color w:val="000000"/>
                <w:kern w:val="0"/>
                <w:sz w:val="24"/>
              </w:rPr>
              <w:t>　</w:t>
            </w:r>
          </w:p>
        </w:tc>
        <w:tc>
          <w:tcPr>
            <w:tcW w:w="3372" w:type="dxa"/>
            <w:tcBorders>
              <w:tl2br w:val="nil"/>
              <w:tr2bl w:val="nil"/>
            </w:tcBorders>
            <w:noWrap w:val="0"/>
            <w:vAlign w:val="bottom"/>
          </w:tcPr>
          <w:p>
            <w:pPr>
              <w:widowControl/>
              <w:jc w:val="left"/>
              <w:rPr>
                <w:color w:val="000000"/>
                <w:kern w:val="0"/>
                <w:sz w:val="24"/>
              </w:rPr>
            </w:pPr>
            <w:r>
              <w:rPr>
                <w:color w:val="000000"/>
                <w:kern w:val="0"/>
                <w:sz w:val="24"/>
              </w:rPr>
              <w:t>　</w:t>
            </w:r>
          </w:p>
        </w:tc>
        <w:tc>
          <w:tcPr>
            <w:tcW w:w="1003" w:type="dxa"/>
            <w:tcBorders>
              <w:tl2br w:val="nil"/>
              <w:tr2bl w:val="nil"/>
            </w:tcBorders>
            <w:noWrap w:val="0"/>
            <w:vAlign w:val="bottom"/>
          </w:tcPr>
          <w:p>
            <w:pPr>
              <w:widowControl/>
              <w:jc w:val="center"/>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3356" w:type="dxa"/>
            <w:tcBorders>
              <w:tl2br w:val="nil"/>
              <w:tr2bl w:val="nil"/>
            </w:tcBorders>
            <w:noWrap w:val="0"/>
            <w:vAlign w:val="center"/>
          </w:tcPr>
          <w:p>
            <w:pPr>
              <w:widowControl/>
              <w:jc w:val="left"/>
              <w:rPr>
                <w:color w:val="000000"/>
                <w:kern w:val="0"/>
                <w:sz w:val="24"/>
              </w:rPr>
            </w:pPr>
            <w:r>
              <w:rPr>
                <w:color w:val="000000"/>
                <w:kern w:val="0"/>
                <w:sz w:val="24"/>
              </w:rPr>
              <w:t>　</w:t>
            </w:r>
          </w:p>
        </w:tc>
        <w:tc>
          <w:tcPr>
            <w:tcW w:w="1056" w:type="dxa"/>
            <w:tcBorders>
              <w:tl2br w:val="nil"/>
              <w:tr2bl w:val="nil"/>
            </w:tcBorders>
            <w:noWrap w:val="0"/>
            <w:vAlign w:val="center"/>
          </w:tcPr>
          <w:p>
            <w:pPr>
              <w:widowControl/>
              <w:jc w:val="center"/>
              <w:rPr>
                <w:color w:val="000000"/>
                <w:kern w:val="0"/>
                <w:sz w:val="24"/>
              </w:rPr>
            </w:pPr>
            <w:r>
              <w:rPr>
                <w:color w:val="000000"/>
                <w:kern w:val="0"/>
                <w:sz w:val="24"/>
              </w:rPr>
              <w:t>　</w:t>
            </w:r>
          </w:p>
        </w:tc>
        <w:tc>
          <w:tcPr>
            <w:tcW w:w="3372" w:type="dxa"/>
            <w:tcBorders>
              <w:tl2br w:val="nil"/>
              <w:tr2bl w:val="nil"/>
            </w:tcBorders>
            <w:noWrap w:val="0"/>
            <w:vAlign w:val="bottom"/>
          </w:tcPr>
          <w:p>
            <w:pPr>
              <w:widowControl/>
              <w:jc w:val="center"/>
              <w:rPr>
                <w:color w:val="000000"/>
                <w:kern w:val="0"/>
                <w:sz w:val="24"/>
              </w:rPr>
            </w:pPr>
            <w:r>
              <w:rPr>
                <w:color w:val="000000"/>
                <w:kern w:val="0"/>
                <w:sz w:val="24"/>
              </w:rPr>
              <w:t>　</w:t>
            </w:r>
          </w:p>
        </w:tc>
        <w:tc>
          <w:tcPr>
            <w:tcW w:w="1003" w:type="dxa"/>
            <w:tcBorders>
              <w:tl2br w:val="nil"/>
              <w:tr2bl w:val="nil"/>
            </w:tcBorders>
            <w:noWrap w:val="0"/>
            <w:vAlign w:val="bottom"/>
          </w:tcPr>
          <w:p>
            <w:pPr>
              <w:widowControl/>
              <w:jc w:val="center"/>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3356" w:type="dxa"/>
            <w:tcBorders>
              <w:tl2br w:val="nil"/>
              <w:tr2bl w:val="nil"/>
            </w:tcBorders>
            <w:noWrap w:val="0"/>
            <w:vAlign w:val="center"/>
          </w:tcPr>
          <w:p>
            <w:pPr>
              <w:widowControl/>
              <w:jc w:val="left"/>
              <w:rPr>
                <w:color w:val="000000"/>
                <w:kern w:val="0"/>
                <w:sz w:val="24"/>
              </w:rPr>
            </w:pPr>
            <w:r>
              <w:rPr>
                <w:color w:val="000000"/>
                <w:kern w:val="0"/>
                <w:sz w:val="24"/>
              </w:rPr>
              <w:t>　</w:t>
            </w:r>
          </w:p>
        </w:tc>
        <w:tc>
          <w:tcPr>
            <w:tcW w:w="1056" w:type="dxa"/>
            <w:tcBorders>
              <w:tl2br w:val="nil"/>
              <w:tr2bl w:val="nil"/>
            </w:tcBorders>
            <w:noWrap w:val="0"/>
            <w:vAlign w:val="center"/>
          </w:tcPr>
          <w:p>
            <w:pPr>
              <w:widowControl/>
              <w:jc w:val="center"/>
              <w:rPr>
                <w:color w:val="000000"/>
                <w:kern w:val="0"/>
                <w:sz w:val="24"/>
              </w:rPr>
            </w:pPr>
            <w:r>
              <w:rPr>
                <w:color w:val="000000"/>
                <w:kern w:val="0"/>
                <w:sz w:val="24"/>
              </w:rPr>
              <w:t>　</w:t>
            </w:r>
          </w:p>
        </w:tc>
        <w:tc>
          <w:tcPr>
            <w:tcW w:w="3372" w:type="dxa"/>
            <w:tcBorders>
              <w:tl2br w:val="nil"/>
              <w:tr2bl w:val="nil"/>
            </w:tcBorders>
            <w:noWrap w:val="0"/>
            <w:vAlign w:val="center"/>
          </w:tcPr>
          <w:p>
            <w:pPr>
              <w:widowControl/>
              <w:jc w:val="center"/>
              <w:rPr>
                <w:color w:val="000000"/>
                <w:kern w:val="0"/>
                <w:sz w:val="24"/>
              </w:rPr>
            </w:pPr>
            <w:r>
              <w:rPr>
                <w:color w:val="000000"/>
                <w:kern w:val="0"/>
                <w:sz w:val="24"/>
              </w:rPr>
              <w:t>　</w:t>
            </w:r>
          </w:p>
        </w:tc>
        <w:tc>
          <w:tcPr>
            <w:tcW w:w="1003" w:type="dxa"/>
            <w:tcBorders>
              <w:tl2br w:val="nil"/>
              <w:tr2bl w:val="nil"/>
            </w:tcBorders>
            <w:noWrap w:val="0"/>
            <w:vAlign w:val="center"/>
          </w:tcPr>
          <w:p>
            <w:pPr>
              <w:widowControl/>
              <w:jc w:val="center"/>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3356" w:type="dxa"/>
            <w:tcBorders>
              <w:tl2br w:val="nil"/>
              <w:tr2bl w:val="nil"/>
            </w:tcBorders>
            <w:noWrap w:val="0"/>
            <w:vAlign w:val="center"/>
          </w:tcPr>
          <w:p>
            <w:pPr>
              <w:widowControl/>
              <w:jc w:val="left"/>
              <w:rPr>
                <w:color w:val="000000"/>
                <w:kern w:val="0"/>
                <w:sz w:val="24"/>
              </w:rPr>
            </w:pPr>
          </w:p>
        </w:tc>
        <w:tc>
          <w:tcPr>
            <w:tcW w:w="1056" w:type="dxa"/>
            <w:tcBorders>
              <w:tl2br w:val="nil"/>
              <w:tr2bl w:val="nil"/>
            </w:tcBorders>
            <w:noWrap w:val="0"/>
            <w:vAlign w:val="center"/>
          </w:tcPr>
          <w:p>
            <w:pPr>
              <w:widowControl/>
              <w:jc w:val="center"/>
              <w:rPr>
                <w:color w:val="000000"/>
                <w:kern w:val="0"/>
                <w:sz w:val="24"/>
              </w:rPr>
            </w:pPr>
          </w:p>
        </w:tc>
        <w:tc>
          <w:tcPr>
            <w:tcW w:w="3372" w:type="dxa"/>
            <w:tcBorders>
              <w:tl2br w:val="nil"/>
              <w:tr2bl w:val="nil"/>
            </w:tcBorders>
            <w:noWrap w:val="0"/>
            <w:vAlign w:val="center"/>
          </w:tcPr>
          <w:p>
            <w:pPr>
              <w:widowControl/>
              <w:jc w:val="center"/>
              <w:rPr>
                <w:color w:val="000000"/>
                <w:kern w:val="0"/>
                <w:sz w:val="24"/>
              </w:rPr>
            </w:pPr>
          </w:p>
        </w:tc>
        <w:tc>
          <w:tcPr>
            <w:tcW w:w="1003" w:type="dxa"/>
            <w:tcBorders>
              <w:tl2br w:val="nil"/>
              <w:tr2bl w:val="nil"/>
            </w:tcBorders>
            <w:noWrap w:val="0"/>
            <w:vAlign w:val="center"/>
          </w:tcPr>
          <w:p>
            <w:pPr>
              <w:widowControl/>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3356" w:type="dxa"/>
            <w:tcBorders>
              <w:tl2br w:val="nil"/>
              <w:tr2bl w:val="nil"/>
            </w:tcBorders>
            <w:noWrap w:val="0"/>
            <w:vAlign w:val="center"/>
          </w:tcPr>
          <w:p>
            <w:pPr>
              <w:widowControl/>
              <w:jc w:val="left"/>
              <w:rPr>
                <w:color w:val="000000"/>
                <w:kern w:val="0"/>
                <w:sz w:val="24"/>
              </w:rPr>
            </w:pPr>
          </w:p>
        </w:tc>
        <w:tc>
          <w:tcPr>
            <w:tcW w:w="1056" w:type="dxa"/>
            <w:tcBorders>
              <w:tl2br w:val="nil"/>
              <w:tr2bl w:val="nil"/>
            </w:tcBorders>
            <w:noWrap w:val="0"/>
            <w:vAlign w:val="center"/>
          </w:tcPr>
          <w:p>
            <w:pPr>
              <w:widowControl/>
              <w:jc w:val="center"/>
              <w:rPr>
                <w:color w:val="000000"/>
                <w:kern w:val="0"/>
                <w:sz w:val="24"/>
              </w:rPr>
            </w:pPr>
          </w:p>
        </w:tc>
        <w:tc>
          <w:tcPr>
            <w:tcW w:w="3372" w:type="dxa"/>
            <w:tcBorders>
              <w:tl2br w:val="nil"/>
              <w:tr2bl w:val="nil"/>
            </w:tcBorders>
            <w:noWrap w:val="0"/>
            <w:vAlign w:val="center"/>
          </w:tcPr>
          <w:p>
            <w:pPr>
              <w:widowControl/>
              <w:jc w:val="center"/>
              <w:rPr>
                <w:color w:val="000000"/>
                <w:kern w:val="0"/>
                <w:sz w:val="24"/>
              </w:rPr>
            </w:pPr>
          </w:p>
        </w:tc>
        <w:tc>
          <w:tcPr>
            <w:tcW w:w="1003" w:type="dxa"/>
            <w:tcBorders>
              <w:tl2br w:val="nil"/>
              <w:tr2bl w:val="nil"/>
            </w:tcBorders>
            <w:noWrap w:val="0"/>
            <w:vAlign w:val="center"/>
          </w:tcPr>
          <w:p>
            <w:pPr>
              <w:widowControl/>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3356" w:type="dxa"/>
            <w:tcBorders>
              <w:tl2br w:val="nil"/>
              <w:tr2bl w:val="nil"/>
            </w:tcBorders>
            <w:noWrap w:val="0"/>
            <w:vAlign w:val="center"/>
          </w:tcPr>
          <w:p>
            <w:pPr>
              <w:widowControl/>
              <w:jc w:val="center"/>
              <w:rPr>
                <w:rFonts w:ascii="仿宋_GB2312" w:hAnsi="Arial" w:eastAsia="仿宋_GB2312" w:cs="Arial"/>
                <w:color w:val="000000"/>
                <w:kern w:val="0"/>
                <w:sz w:val="24"/>
              </w:rPr>
            </w:pPr>
            <w:r>
              <w:rPr>
                <w:rFonts w:hint="eastAsia" w:ascii="仿宋_GB2312" w:hAnsi="Arial" w:eastAsia="仿宋_GB2312" w:cs="Arial"/>
                <w:color w:val="000000"/>
                <w:kern w:val="0"/>
                <w:sz w:val="24"/>
              </w:rPr>
              <w:t>国有资本经营</w:t>
            </w:r>
            <w:r>
              <w:rPr>
                <w:rFonts w:hint="eastAsia" w:ascii="仿宋_GB2312" w:hAnsi="Arial" w:eastAsia="仿宋_GB2312" w:cs="Arial"/>
                <w:color w:val="000000"/>
                <w:kern w:val="0"/>
                <w:sz w:val="24"/>
                <w:lang w:eastAsia="zh-CN"/>
              </w:rPr>
              <w:t>预算</w:t>
            </w:r>
            <w:r>
              <w:rPr>
                <w:rFonts w:hint="eastAsia" w:ascii="仿宋_GB2312" w:hAnsi="Arial" w:eastAsia="仿宋_GB2312" w:cs="Arial"/>
                <w:color w:val="000000"/>
                <w:kern w:val="0"/>
                <w:sz w:val="24"/>
              </w:rPr>
              <w:t>收入合计</w:t>
            </w:r>
          </w:p>
        </w:tc>
        <w:tc>
          <w:tcPr>
            <w:tcW w:w="1056" w:type="dxa"/>
            <w:tcBorders>
              <w:tl2br w:val="nil"/>
              <w:tr2bl w:val="nil"/>
            </w:tcBorders>
            <w:noWrap w:val="0"/>
            <w:vAlign w:val="center"/>
          </w:tcPr>
          <w:p>
            <w:pPr>
              <w:widowControl/>
              <w:jc w:val="center"/>
              <w:rPr>
                <w:color w:val="000000"/>
                <w:kern w:val="0"/>
                <w:sz w:val="24"/>
              </w:rPr>
            </w:pPr>
            <w:r>
              <w:rPr>
                <w:color w:val="000000"/>
                <w:kern w:val="0"/>
                <w:sz w:val="24"/>
              </w:rPr>
              <w:t xml:space="preserve">287 </w:t>
            </w:r>
          </w:p>
        </w:tc>
        <w:tc>
          <w:tcPr>
            <w:tcW w:w="3372" w:type="dxa"/>
            <w:tcBorders>
              <w:tl2br w:val="nil"/>
              <w:tr2bl w:val="nil"/>
            </w:tcBorders>
            <w:noWrap w:val="0"/>
            <w:vAlign w:val="center"/>
          </w:tcPr>
          <w:p>
            <w:pPr>
              <w:widowControl/>
              <w:jc w:val="center"/>
              <w:rPr>
                <w:rFonts w:ascii="仿宋_GB2312" w:hAnsi="Arial" w:eastAsia="仿宋_GB2312" w:cs="Arial"/>
                <w:color w:val="000000"/>
                <w:kern w:val="0"/>
                <w:sz w:val="24"/>
              </w:rPr>
            </w:pPr>
            <w:r>
              <w:rPr>
                <w:rFonts w:hint="eastAsia" w:ascii="仿宋_GB2312" w:hAnsi="Arial" w:eastAsia="仿宋_GB2312" w:cs="Arial"/>
                <w:color w:val="000000"/>
                <w:kern w:val="0"/>
                <w:sz w:val="24"/>
              </w:rPr>
              <w:t>国有资本经营预算支出合计</w:t>
            </w:r>
          </w:p>
        </w:tc>
        <w:tc>
          <w:tcPr>
            <w:tcW w:w="1003" w:type="dxa"/>
            <w:tcBorders>
              <w:tl2br w:val="nil"/>
              <w:tr2bl w:val="nil"/>
            </w:tcBorders>
            <w:noWrap w:val="0"/>
            <w:vAlign w:val="center"/>
          </w:tcPr>
          <w:p>
            <w:pPr>
              <w:widowControl/>
              <w:jc w:val="center"/>
              <w:rPr>
                <w:color w:val="000000"/>
                <w:kern w:val="0"/>
                <w:sz w:val="24"/>
              </w:rPr>
            </w:pPr>
            <w:r>
              <w:rPr>
                <w:color w:val="000000"/>
                <w:kern w:val="0"/>
                <w:sz w:val="24"/>
              </w:rPr>
              <w:t xml:space="preserve">287 </w:t>
            </w:r>
          </w:p>
        </w:tc>
      </w:tr>
    </w:tbl>
    <w:p>
      <w:pPr>
        <w:keepNext w:val="0"/>
        <w:keepLines w:val="0"/>
        <w:pageBreakBefore w:val="0"/>
        <w:widowControl w:val="0"/>
        <w:kinsoku/>
        <w:wordWrap/>
        <w:overflowPunct/>
        <w:topLinePunct w:val="0"/>
        <w:autoSpaceDE/>
        <w:autoSpaceDN/>
        <w:bidi w:val="0"/>
        <w:adjustRightInd/>
        <w:snapToGrid/>
        <w:spacing w:line="538" w:lineRule="exact"/>
        <w:jc w:val="right"/>
        <w:textAlignment w:val="auto"/>
        <w:rPr>
          <w:rFonts w:hint="eastAsia" w:ascii="仿宋_GB2312" w:hAnsi="Arial" w:eastAsia="仿宋_GB2312" w:cs="Arial"/>
          <w:color w:val="000000"/>
          <w:kern w:val="0"/>
          <w:sz w:val="24"/>
          <w:szCs w:val="24"/>
        </w:rPr>
      </w:pPr>
    </w:p>
    <w:p>
      <w:pPr>
        <w:keepNext w:val="0"/>
        <w:keepLines w:val="0"/>
        <w:pageBreakBefore w:val="0"/>
        <w:widowControl w:val="0"/>
        <w:kinsoku/>
        <w:wordWrap/>
        <w:overflowPunct/>
        <w:topLinePunct w:val="0"/>
        <w:autoSpaceDE/>
        <w:autoSpaceDN/>
        <w:bidi w:val="0"/>
        <w:adjustRightInd/>
        <w:snapToGrid/>
        <w:spacing w:line="538" w:lineRule="exact"/>
        <w:jc w:val="right"/>
        <w:textAlignment w:val="auto"/>
        <w:rPr>
          <w:rFonts w:hint="eastAsia" w:ascii="仿宋_GB2312" w:hAnsi="Arial" w:eastAsia="仿宋_GB2312" w:cs="Arial"/>
          <w:color w:val="000000"/>
          <w:kern w:val="0"/>
          <w:sz w:val="24"/>
          <w:szCs w:val="24"/>
        </w:rPr>
      </w:pPr>
    </w:p>
    <w:p>
      <w:pPr>
        <w:keepNext w:val="0"/>
        <w:keepLines w:val="0"/>
        <w:pageBreakBefore w:val="0"/>
        <w:widowControl w:val="0"/>
        <w:kinsoku/>
        <w:wordWrap/>
        <w:overflowPunct/>
        <w:topLinePunct w:val="0"/>
        <w:autoSpaceDE/>
        <w:autoSpaceDN/>
        <w:bidi w:val="0"/>
        <w:adjustRightInd/>
        <w:snapToGrid/>
        <w:spacing w:line="538" w:lineRule="exact"/>
        <w:jc w:val="both"/>
        <w:textAlignment w:val="auto"/>
        <w:rPr>
          <w:rFonts w:hint="eastAsia"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表六</w:t>
      </w:r>
    </w:p>
    <w:p>
      <w:pPr>
        <w:keepNext w:val="0"/>
        <w:keepLines w:val="0"/>
        <w:pageBreakBefore w:val="0"/>
        <w:widowControl w:val="0"/>
        <w:kinsoku/>
        <w:wordWrap/>
        <w:overflowPunct/>
        <w:topLinePunct w:val="0"/>
        <w:autoSpaceDE/>
        <w:autoSpaceDN/>
        <w:bidi w:val="0"/>
        <w:adjustRightInd/>
        <w:snapToGrid/>
        <w:spacing w:line="538" w:lineRule="exact"/>
        <w:jc w:val="center"/>
        <w:textAlignment w:val="auto"/>
        <w:rPr>
          <w:rFonts w:hint="eastAsia" w:ascii="方正小标宋_GBK" w:hAnsi="方正小标宋_GBK" w:eastAsia="方正小标宋_GBK" w:cs="方正小标宋_GBK"/>
          <w:color w:val="000000"/>
          <w:kern w:val="0"/>
          <w:sz w:val="36"/>
          <w:szCs w:val="36"/>
        </w:rPr>
      </w:pPr>
      <w:r>
        <w:rPr>
          <w:rFonts w:hint="eastAsia" w:ascii="方正小标宋_GBK" w:hAnsi="方正小标宋_GBK" w:eastAsia="方正小标宋_GBK" w:cs="方正小标宋_GBK"/>
          <w:color w:val="000000"/>
          <w:kern w:val="0"/>
          <w:sz w:val="36"/>
          <w:szCs w:val="36"/>
        </w:rPr>
        <w:t>2018年德化县社会保险基金预算收支情况表</w:t>
      </w:r>
    </w:p>
    <w:p>
      <w:pPr>
        <w:keepNext w:val="0"/>
        <w:keepLines w:val="0"/>
        <w:pageBreakBefore w:val="0"/>
        <w:widowControl w:val="0"/>
        <w:kinsoku/>
        <w:wordWrap/>
        <w:overflowPunct/>
        <w:topLinePunct w:val="0"/>
        <w:autoSpaceDE/>
        <w:autoSpaceDN/>
        <w:bidi w:val="0"/>
        <w:adjustRightInd/>
        <w:snapToGrid/>
        <w:spacing w:line="538" w:lineRule="exact"/>
        <w:jc w:val="right"/>
        <w:textAlignment w:val="auto"/>
        <w:rPr>
          <w:rFonts w:hint="eastAsia"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单位：万元</w:t>
      </w:r>
    </w:p>
    <w:tbl>
      <w:tblPr>
        <w:tblStyle w:val="8"/>
        <w:tblW w:w="87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5"/>
        <w:gridCol w:w="1033"/>
        <w:gridCol w:w="3346"/>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jc w:val="center"/>
        </w:trPr>
        <w:tc>
          <w:tcPr>
            <w:tcW w:w="3415" w:type="dxa"/>
            <w:tcBorders>
              <w:tl2br w:val="nil"/>
              <w:tr2bl w:val="nil"/>
            </w:tcBorders>
            <w:noWrap w:val="0"/>
            <w:vAlign w:val="center"/>
          </w:tcPr>
          <w:p>
            <w:pPr>
              <w:widowControl/>
              <w:jc w:val="center"/>
              <w:rPr>
                <w:rFonts w:ascii="仿宋_GB2312" w:hAnsi="Arial" w:eastAsia="仿宋_GB2312" w:cs="Arial"/>
                <w:color w:val="000000"/>
                <w:kern w:val="0"/>
                <w:sz w:val="24"/>
              </w:rPr>
            </w:pPr>
            <w:r>
              <w:rPr>
                <w:rFonts w:hint="eastAsia" w:ascii="仿宋_GB2312" w:hAnsi="Arial" w:eastAsia="仿宋_GB2312" w:cs="Arial"/>
                <w:color w:val="000000"/>
                <w:kern w:val="0"/>
                <w:sz w:val="24"/>
              </w:rPr>
              <w:t>科</w:t>
            </w:r>
            <w:r>
              <w:rPr>
                <w:rFonts w:eastAsia="仿宋_GB2312"/>
                <w:color w:val="000000"/>
                <w:kern w:val="0"/>
                <w:sz w:val="24"/>
              </w:rPr>
              <w:t xml:space="preserve">   </w:t>
            </w:r>
            <w:r>
              <w:rPr>
                <w:rFonts w:hint="eastAsia" w:ascii="仿宋_GB2312" w:hAnsi="Arial" w:eastAsia="仿宋_GB2312" w:cs="Arial"/>
                <w:color w:val="000000"/>
                <w:kern w:val="0"/>
                <w:sz w:val="24"/>
              </w:rPr>
              <w:t>目</w:t>
            </w:r>
          </w:p>
        </w:tc>
        <w:tc>
          <w:tcPr>
            <w:tcW w:w="1033" w:type="dxa"/>
            <w:tcBorders>
              <w:tl2br w:val="nil"/>
              <w:tr2bl w:val="nil"/>
            </w:tcBorders>
            <w:noWrap w:val="0"/>
            <w:vAlign w:val="center"/>
          </w:tcPr>
          <w:p>
            <w:pPr>
              <w:widowControl/>
              <w:jc w:val="center"/>
              <w:rPr>
                <w:rFonts w:hint="eastAsia" w:ascii="仿宋_GB2312" w:eastAsia="仿宋_GB2312"/>
                <w:color w:val="000000"/>
                <w:kern w:val="0"/>
                <w:sz w:val="24"/>
              </w:rPr>
            </w:pPr>
            <w:r>
              <w:rPr>
                <w:color w:val="000000"/>
                <w:kern w:val="0"/>
                <w:sz w:val="24"/>
              </w:rPr>
              <w:t>2018</w:t>
            </w:r>
            <w:r>
              <w:rPr>
                <w:rFonts w:hint="eastAsia" w:ascii="仿宋_GB2312" w:eastAsia="仿宋_GB2312"/>
                <w:color w:val="000000"/>
                <w:kern w:val="0"/>
                <w:sz w:val="24"/>
              </w:rPr>
              <w:t>年收入预</w:t>
            </w:r>
          </w:p>
          <w:p>
            <w:pPr>
              <w:widowControl/>
              <w:jc w:val="center"/>
              <w:rPr>
                <w:color w:val="000000"/>
                <w:kern w:val="0"/>
                <w:sz w:val="24"/>
              </w:rPr>
            </w:pPr>
            <w:r>
              <w:rPr>
                <w:rFonts w:hint="eastAsia" w:ascii="仿宋_GB2312" w:eastAsia="仿宋_GB2312"/>
                <w:color w:val="000000"/>
                <w:kern w:val="0"/>
                <w:sz w:val="24"/>
              </w:rPr>
              <w:t>计数</w:t>
            </w:r>
          </w:p>
        </w:tc>
        <w:tc>
          <w:tcPr>
            <w:tcW w:w="3346" w:type="dxa"/>
            <w:tcBorders>
              <w:tl2br w:val="nil"/>
              <w:tr2bl w:val="nil"/>
            </w:tcBorders>
            <w:noWrap w:val="0"/>
            <w:vAlign w:val="center"/>
          </w:tcPr>
          <w:p>
            <w:pPr>
              <w:widowControl/>
              <w:jc w:val="center"/>
              <w:rPr>
                <w:rFonts w:ascii="仿宋_GB2312" w:hAnsi="Arial" w:eastAsia="仿宋_GB2312" w:cs="Arial"/>
                <w:color w:val="000000"/>
                <w:kern w:val="0"/>
                <w:sz w:val="24"/>
              </w:rPr>
            </w:pPr>
            <w:r>
              <w:rPr>
                <w:rFonts w:hint="eastAsia" w:ascii="仿宋_GB2312" w:hAnsi="Arial" w:eastAsia="仿宋_GB2312" w:cs="Arial"/>
                <w:color w:val="000000"/>
                <w:kern w:val="0"/>
                <w:sz w:val="24"/>
              </w:rPr>
              <w:t>科</w:t>
            </w:r>
            <w:r>
              <w:rPr>
                <w:rFonts w:eastAsia="仿宋_GB2312"/>
                <w:color w:val="000000"/>
                <w:kern w:val="0"/>
                <w:sz w:val="24"/>
              </w:rPr>
              <w:t xml:space="preserve">   </w:t>
            </w:r>
            <w:r>
              <w:rPr>
                <w:rFonts w:hint="eastAsia" w:ascii="仿宋_GB2312" w:hAnsi="Arial" w:eastAsia="仿宋_GB2312" w:cs="Arial"/>
                <w:color w:val="000000"/>
                <w:kern w:val="0"/>
                <w:sz w:val="24"/>
              </w:rPr>
              <w:t>目</w:t>
            </w:r>
          </w:p>
        </w:tc>
        <w:tc>
          <w:tcPr>
            <w:tcW w:w="993" w:type="dxa"/>
            <w:tcBorders>
              <w:tl2br w:val="nil"/>
              <w:tr2bl w:val="nil"/>
            </w:tcBorders>
            <w:noWrap w:val="0"/>
            <w:vAlign w:val="center"/>
          </w:tcPr>
          <w:p>
            <w:pPr>
              <w:widowControl/>
              <w:jc w:val="center"/>
              <w:rPr>
                <w:color w:val="000000"/>
                <w:kern w:val="0"/>
                <w:sz w:val="24"/>
              </w:rPr>
            </w:pPr>
            <w:r>
              <w:rPr>
                <w:color w:val="000000"/>
                <w:kern w:val="0"/>
                <w:sz w:val="24"/>
              </w:rPr>
              <w:t>2018</w:t>
            </w:r>
            <w:r>
              <w:rPr>
                <w:rFonts w:hint="eastAsia" w:ascii="仿宋_GB2312" w:eastAsia="仿宋_GB2312"/>
                <w:color w:val="000000"/>
                <w:kern w:val="0"/>
                <w:sz w:val="24"/>
              </w:rPr>
              <w:t>年支出预计数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jc w:val="center"/>
        </w:trPr>
        <w:tc>
          <w:tcPr>
            <w:tcW w:w="3415" w:type="dxa"/>
            <w:tcBorders>
              <w:tl2br w:val="nil"/>
              <w:tr2bl w:val="nil"/>
            </w:tcBorders>
            <w:noWrap w:val="0"/>
            <w:vAlign w:val="center"/>
          </w:tcPr>
          <w:p>
            <w:pPr>
              <w:widowControl/>
              <w:jc w:val="left"/>
              <w:rPr>
                <w:rFonts w:ascii="仿宋_GB2312" w:hAnsi="Arial" w:eastAsia="仿宋_GB2312" w:cs="Arial"/>
                <w:color w:val="000000"/>
                <w:kern w:val="0"/>
                <w:sz w:val="24"/>
              </w:rPr>
            </w:pPr>
            <w:r>
              <w:rPr>
                <w:rFonts w:hint="eastAsia" w:ascii="仿宋_GB2312" w:hAnsi="Arial" w:eastAsia="仿宋_GB2312" w:cs="Arial"/>
                <w:color w:val="000000"/>
                <w:kern w:val="0"/>
                <w:sz w:val="24"/>
              </w:rPr>
              <w:t>一、机关事业单位基本养老保险基金收入</w:t>
            </w:r>
          </w:p>
        </w:tc>
        <w:tc>
          <w:tcPr>
            <w:tcW w:w="1033" w:type="dxa"/>
            <w:tcBorders>
              <w:tl2br w:val="nil"/>
              <w:tr2bl w:val="nil"/>
            </w:tcBorders>
            <w:noWrap w:val="0"/>
            <w:vAlign w:val="center"/>
          </w:tcPr>
          <w:p>
            <w:pPr>
              <w:widowControl/>
              <w:jc w:val="center"/>
              <w:rPr>
                <w:color w:val="000000"/>
                <w:kern w:val="0"/>
                <w:sz w:val="24"/>
              </w:rPr>
            </w:pPr>
            <w:r>
              <w:rPr>
                <w:color w:val="000000"/>
                <w:kern w:val="0"/>
                <w:sz w:val="24"/>
              </w:rPr>
              <w:t xml:space="preserve">13,050 </w:t>
            </w:r>
          </w:p>
        </w:tc>
        <w:tc>
          <w:tcPr>
            <w:tcW w:w="3346" w:type="dxa"/>
            <w:tcBorders>
              <w:tl2br w:val="nil"/>
              <w:tr2bl w:val="nil"/>
            </w:tcBorders>
            <w:noWrap w:val="0"/>
            <w:vAlign w:val="center"/>
          </w:tcPr>
          <w:p>
            <w:pPr>
              <w:widowControl/>
              <w:jc w:val="left"/>
              <w:rPr>
                <w:rFonts w:ascii="仿宋_GB2312" w:hAnsi="Arial" w:eastAsia="仿宋_GB2312" w:cs="Arial"/>
                <w:color w:val="000000"/>
                <w:kern w:val="0"/>
                <w:sz w:val="24"/>
              </w:rPr>
            </w:pPr>
            <w:r>
              <w:rPr>
                <w:rFonts w:hint="eastAsia" w:ascii="仿宋_GB2312" w:hAnsi="Arial" w:eastAsia="仿宋_GB2312" w:cs="Arial"/>
                <w:color w:val="000000"/>
                <w:kern w:val="0"/>
                <w:sz w:val="24"/>
              </w:rPr>
              <w:t>一、机关事业单位基本养老保险基金支出</w:t>
            </w:r>
          </w:p>
        </w:tc>
        <w:tc>
          <w:tcPr>
            <w:tcW w:w="993" w:type="dxa"/>
            <w:tcBorders>
              <w:tl2br w:val="nil"/>
              <w:tr2bl w:val="nil"/>
            </w:tcBorders>
            <w:noWrap w:val="0"/>
            <w:vAlign w:val="center"/>
          </w:tcPr>
          <w:p>
            <w:pPr>
              <w:widowControl/>
              <w:jc w:val="center"/>
              <w:rPr>
                <w:color w:val="000000"/>
                <w:kern w:val="0"/>
                <w:sz w:val="24"/>
              </w:rPr>
            </w:pPr>
            <w:r>
              <w:rPr>
                <w:color w:val="000000"/>
                <w:kern w:val="0"/>
                <w:sz w:val="24"/>
              </w:rPr>
              <w:t xml:space="preserve">14,000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jc w:val="center"/>
        </w:trPr>
        <w:tc>
          <w:tcPr>
            <w:tcW w:w="3415" w:type="dxa"/>
            <w:tcBorders>
              <w:tl2br w:val="nil"/>
              <w:tr2bl w:val="nil"/>
            </w:tcBorders>
            <w:noWrap w:val="0"/>
            <w:vAlign w:val="center"/>
          </w:tcPr>
          <w:p>
            <w:pPr>
              <w:widowControl/>
              <w:jc w:val="left"/>
              <w:rPr>
                <w:rFonts w:ascii="仿宋_GB2312" w:hAnsi="Arial" w:eastAsia="仿宋_GB2312" w:cs="Arial"/>
                <w:color w:val="000000"/>
                <w:kern w:val="0"/>
                <w:sz w:val="24"/>
              </w:rPr>
            </w:pPr>
            <w:r>
              <w:rPr>
                <w:rFonts w:hint="eastAsia" w:ascii="仿宋_GB2312" w:hAnsi="Arial" w:eastAsia="仿宋_GB2312" w:cs="Arial"/>
                <w:color w:val="000000"/>
                <w:kern w:val="0"/>
                <w:sz w:val="24"/>
              </w:rPr>
              <w:t>二、城乡居民基本养老保险基金收入</w:t>
            </w:r>
          </w:p>
        </w:tc>
        <w:tc>
          <w:tcPr>
            <w:tcW w:w="1033" w:type="dxa"/>
            <w:tcBorders>
              <w:tl2br w:val="nil"/>
              <w:tr2bl w:val="nil"/>
            </w:tcBorders>
            <w:noWrap w:val="0"/>
            <w:vAlign w:val="center"/>
          </w:tcPr>
          <w:p>
            <w:pPr>
              <w:widowControl/>
              <w:jc w:val="center"/>
              <w:rPr>
                <w:color w:val="000000"/>
                <w:kern w:val="0"/>
                <w:sz w:val="24"/>
              </w:rPr>
            </w:pPr>
            <w:r>
              <w:rPr>
                <w:color w:val="000000"/>
                <w:kern w:val="0"/>
                <w:sz w:val="24"/>
              </w:rPr>
              <w:t xml:space="preserve">7,279 </w:t>
            </w:r>
          </w:p>
        </w:tc>
        <w:tc>
          <w:tcPr>
            <w:tcW w:w="3346" w:type="dxa"/>
            <w:tcBorders>
              <w:tl2br w:val="nil"/>
              <w:tr2bl w:val="nil"/>
            </w:tcBorders>
            <w:noWrap w:val="0"/>
            <w:vAlign w:val="center"/>
          </w:tcPr>
          <w:p>
            <w:pPr>
              <w:widowControl/>
              <w:jc w:val="left"/>
              <w:rPr>
                <w:rFonts w:ascii="仿宋_GB2312" w:hAnsi="Arial" w:eastAsia="仿宋_GB2312" w:cs="Arial"/>
                <w:color w:val="000000"/>
                <w:kern w:val="0"/>
                <w:sz w:val="24"/>
              </w:rPr>
            </w:pPr>
            <w:r>
              <w:rPr>
                <w:rFonts w:hint="eastAsia" w:ascii="仿宋_GB2312" w:hAnsi="Arial" w:eastAsia="仿宋_GB2312" w:cs="Arial"/>
                <w:color w:val="000000"/>
                <w:kern w:val="0"/>
                <w:sz w:val="24"/>
              </w:rPr>
              <w:t>二、城乡居民基本养老保险基金支出</w:t>
            </w:r>
          </w:p>
        </w:tc>
        <w:tc>
          <w:tcPr>
            <w:tcW w:w="993" w:type="dxa"/>
            <w:tcBorders>
              <w:tl2br w:val="nil"/>
              <w:tr2bl w:val="nil"/>
            </w:tcBorders>
            <w:noWrap w:val="0"/>
            <w:vAlign w:val="center"/>
          </w:tcPr>
          <w:p>
            <w:pPr>
              <w:widowControl/>
              <w:jc w:val="center"/>
              <w:rPr>
                <w:color w:val="000000"/>
                <w:kern w:val="0"/>
                <w:sz w:val="24"/>
              </w:rPr>
            </w:pPr>
            <w:r>
              <w:rPr>
                <w:color w:val="000000"/>
                <w:kern w:val="0"/>
                <w:sz w:val="24"/>
              </w:rPr>
              <w:t xml:space="preserve">5,746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jc w:val="center"/>
        </w:trPr>
        <w:tc>
          <w:tcPr>
            <w:tcW w:w="3415" w:type="dxa"/>
            <w:tcBorders>
              <w:tl2br w:val="nil"/>
              <w:tr2bl w:val="nil"/>
            </w:tcBorders>
            <w:noWrap w:val="0"/>
            <w:vAlign w:val="center"/>
          </w:tcPr>
          <w:p>
            <w:pPr>
              <w:widowControl/>
              <w:jc w:val="left"/>
              <w:rPr>
                <w:rFonts w:ascii="仿宋_GB2312" w:hAnsi="Arial" w:eastAsia="仿宋_GB2312" w:cs="Arial"/>
                <w:color w:val="000000"/>
                <w:kern w:val="0"/>
                <w:sz w:val="24"/>
              </w:rPr>
            </w:pPr>
            <w:r>
              <w:rPr>
                <w:rFonts w:hint="eastAsia" w:ascii="仿宋_GB2312" w:hAnsi="Arial" w:eastAsia="仿宋_GB2312" w:cs="Arial"/>
                <w:color w:val="000000"/>
                <w:kern w:val="0"/>
                <w:sz w:val="24"/>
              </w:rPr>
              <w:t>　</w:t>
            </w:r>
          </w:p>
        </w:tc>
        <w:tc>
          <w:tcPr>
            <w:tcW w:w="1033" w:type="dxa"/>
            <w:tcBorders>
              <w:tl2br w:val="nil"/>
              <w:tr2bl w:val="nil"/>
            </w:tcBorders>
            <w:noWrap w:val="0"/>
            <w:vAlign w:val="center"/>
          </w:tcPr>
          <w:p>
            <w:pPr>
              <w:widowControl/>
              <w:jc w:val="center"/>
              <w:rPr>
                <w:color w:val="000000"/>
                <w:kern w:val="0"/>
                <w:sz w:val="24"/>
              </w:rPr>
            </w:pPr>
            <w:r>
              <w:rPr>
                <w:color w:val="000000"/>
                <w:kern w:val="0"/>
                <w:sz w:val="24"/>
              </w:rPr>
              <w:t>　</w:t>
            </w:r>
          </w:p>
        </w:tc>
        <w:tc>
          <w:tcPr>
            <w:tcW w:w="3346" w:type="dxa"/>
            <w:tcBorders>
              <w:tl2br w:val="nil"/>
              <w:tr2bl w:val="nil"/>
            </w:tcBorders>
            <w:noWrap w:val="0"/>
            <w:vAlign w:val="center"/>
          </w:tcPr>
          <w:p>
            <w:pPr>
              <w:widowControl/>
              <w:jc w:val="left"/>
              <w:rPr>
                <w:rFonts w:ascii="仿宋_GB2312" w:hAnsi="Arial" w:eastAsia="仿宋_GB2312" w:cs="Arial"/>
                <w:color w:val="000000"/>
                <w:kern w:val="0"/>
                <w:sz w:val="24"/>
              </w:rPr>
            </w:pPr>
            <w:r>
              <w:rPr>
                <w:rFonts w:hint="eastAsia" w:ascii="仿宋_GB2312" w:hAnsi="Arial" w:eastAsia="仿宋_GB2312" w:cs="Arial"/>
                <w:color w:val="000000"/>
                <w:kern w:val="0"/>
                <w:sz w:val="24"/>
              </w:rPr>
              <w:t>　</w:t>
            </w:r>
          </w:p>
        </w:tc>
        <w:tc>
          <w:tcPr>
            <w:tcW w:w="993" w:type="dxa"/>
            <w:tcBorders>
              <w:tl2br w:val="nil"/>
              <w:tr2bl w:val="nil"/>
            </w:tcBorders>
            <w:noWrap w:val="0"/>
            <w:vAlign w:val="center"/>
          </w:tcPr>
          <w:p>
            <w:pPr>
              <w:widowControl/>
              <w:jc w:val="center"/>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jc w:val="center"/>
        </w:trPr>
        <w:tc>
          <w:tcPr>
            <w:tcW w:w="3415" w:type="dxa"/>
            <w:tcBorders>
              <w:tl2br w:val="nil"/>
              <w:tr2bl w:val="nil"/>
            </w:tcBorders>
            <w:noWrap w:val="0"/>
            <w:vAlign w:val="center"/>
          </w:tcPr>
          <w:p>
            <w:pPr>
              <w:widowControl/>
              <w:jc w:val="left"/>
              <w:rPr>
                <w:rFonts w:ascii="仿宋_GB2312" w:hAnsi="Arial" w:eastAsia="仿宋_GB2312" w:cs="Arial"/>
                <w:color w:val="000000"/>
                <w:kern w:val="0"/>
                <w:sz w:val="24"/>
              </w:rPr>
            </w:pPr>
            <w:r>
              <w:rPr>
                <w:rFonts w:hint="eastAsia" w:ascii="仿宋_GB2312" w:hAnsi="Arial" w:eastAsia="仿宋_GB2312" w:cs="Arial"/>
                <w:color w:val="000000"/>
                <w:kern w:val="0"/>
                <w:sz w:val="24"/>
              </w:rPr>
              <w:t>　</w:t>
            </w:r>
          </w:p>
        </w:tc>
        <w:tc>
          <w:tcPr>
            <w:tcW w:w="1033" w:type="dxa"/>
            <w:tcBorders>
              <w:tl2br w:val="nil"/>
              <w:tr2bl w:val="nil"/>
            </w:tcBorders>
            <w:noWrap w:val="0"/>
            <w:vAlign w:val="center"/>
          </w:tcPr>
          <w:p>
            <w:pPr>
              <w:widowControl/>
              <w:jc w:val="center"/>
              <w:rPr>
                <w:color w:val="000000"/>
                <w:kern w:val="0"/>
                <w:sz w:val="24"/>
              </w:rPr>
            </w:pPr>
            <w:r>
              <w:rPr>
                <w:color w:val="000000"/>
                <w:kern w:val="0"/>
                <w:sz w:val="24"/>
              </w:rPr>
              <w:t>　</w:t>
            </w:r>
          </w:p>
        </w:tc>
        <w:tc>
          <w:tcPr>
            <w:tcW w:w="3346" w:type="dxa"/>
            <w:tcBorders>
              <w:tl2br w:val="nil"/>
              <w:tr2bl w:val="nil"/>
            </w:tcBorders>
            <w:noWrap w:val="0"/>
            <w:vAlign w:val="center"/>
          </w:tcPr>
          <w:p>
            <w:pPr>
              <w:widowControl/>
              <w:jc w:val="left"/>
              <w:rPr>
                <w:rFonts w:ascii="仿宋_GB2312" w:hAnsi="Arial" w:eastAsia="仿宋_GB2312" w:cs="Arial"/>
                <w:color w:val="000000"/>
                <w:kern w:val="0"/>
                <w:sz w:val="24"/>
              </w:rPr>
            </w:pPr>
            <w:r>
              <w:rPr>
                <w:rFonts w:hint="eastAsia" w:ascii="仿宋_GB2312" w:hAnsi="Arial" w:eastAsia="仿宋_GB2312" w:cs="Arial"/>
                <w:color w:val="000000"/>
                <w:kern w:val="0"/>
                <w:sz w:val="24"/>
              </w:rPr>
              <w:t>　</w:t>
            </w:r>
          </w:p>
        </w:tc>
        <w:tc>
          <w:tcPr>
            <w:tcW w:w="993" w:type="dxa"/>
            <w:tcBorders>
              <w:tl2br w:val="nil"/>
              <w:tr2bl w:val="nil"/>
            </w:tcBorders>
            <w:noWrap w:val="0"/>
            <w:vAlign w:val="center"/>
          </w:tcPr>
          <w:p>
            <w:pPr>
              <w:widowControl/>
              <w:jc w:val="center"/>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jc w:val="center"/>
        </w:trPr>
        <w:tc>
          <w:tcPr>
            <w:tcW w:w="3415" w:type="dxa"/>
            <w:tcBorders>
              <w:tl2br w:val="nil"/>
              <w:tr2bl w:val="nil"/>
            </w:tcBorders>
            <w:noWrap w:val="0"/>
            <w:vAlign w:val="center"/>
          </w:tcPr>
          <w:p>
            <w:pPr>
              <w:widowControl/>
              <w:jc w:val="left"/>
              <w:rPr>
                <w:rFonts w:ascii="仿宋_GB2312" w:hAnsi="Arial" w:eastAsia="仿宋_GB2312" w:cs="Arial"/>
                <w:color w:val="000000"/>
                <w:kern w:val="0"/>
                <w:sz w:val="24"/>
              </w:rPr>
            </w:pPr>
            <w:r>
              <w:rPr>
                <w:rFonts w:hint="eastAsia" w:ascii="仿宋_GB2312" w:hAnsi="Arial" w:eastAsia="仿宋_GB2312" w:cs="Arial"/>
                <w:color w:val="000000"/>
                <w:kern w:val="0"/>
                <w:sz w:val="24"/>
              </w:rPr>
              <w:t>　</w:t>
            </w:r>
          </w:p>
        </w:tc>
        <w:tc>
          <w:tcPr>
            <w:tcW w:w="1033" w:type="dxa"/>
            <w:tcBorders>
              <w:tl2br w:val="nil"/>
              <w:tr2bl w:val="nil"/>
            </w:tcBorders>
            <w:noWrap w:val="0"/>
            <w:vAlign w:val="center"/>
          </w:tcPr>
          <w:p>
            <w:pPr>
              <w:widowControl/>
              <w:jc w:val="center"/>
              <w:rPr>
                <w:color w:val="000000"/>
                <w:kern w:val="0"/>
                <w:sz w:val="24"/>
              </w:rPr>
            </w:pPr>
            <w:r>
              <w:rPr>
                <w:color w:val="000000"/>
                <w:kern w:val="0"/>
                <w:sz w:val="24"/>
              </w:rPr>
              <w:t>　</w:t>
            </w:r>
          </w:p>
        </w:tc>
        <w:tc>
          <w:tcPr>
            <w:tcW w:w="3346" w:type="dxa"/>
            <w:tcBorders>
              <w:tl2br w:val="nil"/>
              <w:tr2bl w:val="nil"/>
            </w:tcBorders>
            <w:noWrap w:val="0"/>
            <w:vAlign w:val="center"/>
          </w:tcPr>
          <w:p>
            <w:pPr>
              <w:widowControl/>
              <w:jc w:val="left"/>
              <w:rPr>
                <w:rFonts w:ascii="仿宋_GB2312" w:hAnsi="Arial" w:eastAsia="仿宋_GB2312" w:cs="Arial"/>
                <w:color w:val="000000"/>
                <w:kern w:val="0"/>
                <w:sz w:val="24"/>
              </w:rPr>
            </w:pPr>
            <w:r>
              <w:rPr>
                <w:rFonts w:hint="eastAsia" w:ascii="仿宋_GB2312" w:hAnsi="Arial" w:eastAsia="仿宋_GB2312" w:cs="Arial"/>
                <w:color w:val="000000"/>
                <w:kern w:val="0"/>
                <w:sz w:val="24"/>
              </w:rPr>
              <w:t>　</w:t>
            </w:r>
          </w:p>
        </w:tc>
        <w:tc>
          <w:tcPr>
            <w:tcW w:w="993" w:type="dxa"/>
            <w:tcBorders>
              <w:tl2br w:val="nil"/>
              <w:tr2bl w:val="nil"/>
            </w:tcBorders>
            <w:noWrap w:val="0"/>
            <w:vAlign w:val="center"/>
          </w:tcPr>
          <w:p>
            <w:pPr>
              <w:widowControl/>
              <w:jc w:val="center"/>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jc w:val="center"/>
        </w:trPr>
        <w:tc>
          <w:tcPr>
            <w:tcW w:w="3415" w:type="dxa"/>
            <w:tcBorders>
              <w:bottom w:val="single" w:color="auto" w:sz="4" w:space="0"/>
              <w:tl2br w:val="nil"/>
              <w:tr2bl w:val="nil"/>
            </w:tcBorders>
            <w:noWrap w:val="0"/>
            <w:vAlign w:val="center"/>
          </w:tcPr>
          <w:p>
            <w:pPr>
              <w:widowControl/>
              <w:jc w:val="center"/>
              <w:rPr>
                <w:rFonts w:ascii="仿宋_GB2312" w:hAnsi="Arial" w:eastAsia="仿宋_GB2312" w:cs="Arial"/>
                <w:color w:val="000000"/>
                <w:kern w:val="0"/>
                <w:sz w:val="24"/>
              </w:rPr>
            </w:pPr>
            <w:r>
              <w:rPr>
                <w:rFonts w:hint="eastAsia" w:ascii="仿宋_GB2312" w:hAnsi="Arial" w:eastAsia="仿宋_GB2312" w:cs="Arial"/>
                <w:color w:val="000000"/>
                <w:kern w:val="0"/>
                <w:sz w:val="24"/>
              </w:rPr>
              <w:t>社会保险基金</w:t>
            </w:r>
            <w:r>
              <w:rPr>
                <w:rFonts w:hint="eastAsia" w:ascii="仿宋_GB2312" w:hAnsi="Arial" w:eastAsia="仿宋_GB2312" w:cs="Arial"/>
                <w:color w:val="000000"/>
                <w:kern w:val="0"/>
                <w:sz w:val="24"/>
                <w:lang w:eastAsia="zh-CN"/>
              </w:rPr>
              <w:t>预算</w:t>
            </w:r>
            <w:r>
              <w:rPr>
                <w:rFonts w:hint="eastAsia" w:ascii="仿宋_GB2312" w:hAnsi="Arial" w:eastAsia="仿宋_GB2312" w:cs="Arial"/>
                <w:color w:val="000000"/>
                <w:kern w:val="0"/>
                <w:sz w:val="24"/>
              </w:rPr>
              <w:t>收入合计</w:t>
            </w:r>
          </w:p>
        </w:tc>
        <w:tc>
          <w:tcPr>
            <w:tcW w:w="1033" w:type="dxa"/>
            <w:tcBorders>
              <w:bottom w:val="single" w:color="auto" w:sz="4" w:space="0"/>
              <w:tl2br w:val="nil"/>
              <w:tr2bl w:val="nil"/>
            </w:tcBorders>
            <w:noWrap w:val="0"/>
            <w:vAlign w:val="center"/>
          </w:tcPr>
          <w:p>
            <w:pPr>
              <w:widowControl/>
              <w:jc w:val="center"/>
              <w:rPr>
                <w:color w:val="000000"/>
                <w:kern w:val="0"/>
                <w:sz w:val="24"/>
              </w:rPr>
            </w:pPr>
            <w:r>
              <w:rPr>
                <w:color w:val="000000"/>
                <w:kern w:val="0"/>
                <w:sz w:val="24"/>
              </w:rPr>
              <w:t xml:space="preserve">20,329 </w:t>
            </w:r>
          </w:p>
        </w:tc>
        <w:tc>
          <w:tcPr>
            <w:tcW w:w="3346" w:type="dxa"/>
            <w:tcBorders>
              <w:bottom w:val="single" w:color="auto" w:sz="4" w:space="0"/>
              <w:tl2br w:val="nil"/>
              <w:tr2bl w:val="nil"/>
            </w:tcBorders>
            <w:noWrap w:val="0"/>
            <w:vAlign w:val="center"/>
          </w:tcPr>
          <w:p>
            <w:pPr>
              <w:widowControl/>
              <w:jc w:val="center"/>
              <w:rPr>
                <w:rFonts w:ascii="仿宋_GB2312" w:hAnsi="Arial" w:eastAsia="仿宋_GB2312" w:cs="Arial"/>
                <w:color w:val="000000"/>
                <w:kern w:val="0"/>
                <w:sz w:val="24"/>
              </w:rPr>
            </w:pPr>
            <w:r>
              <w:rPr>
                <w:rFonts w:hint="eastAsia" w:ascii="仿宋_GB2312" w:hAnsi="Arial" w:eastAsia="仿宋_GB2312" w:cs="Arial"/>
                <w:color w:val="000000"/>
                <w:kern w:val="0"/>
                <w:sz w:val="24"/>
              </w:rPr>
              <w:t>社会保险基金</w:t>
            </w:r>
            <w:r>
              <w:rPr>
                <w:rFonts w:hint="eastAsia" w:ascii="仿宋_GB2312" w:hAnsi="Arial" w:eastAsia="仿宋_GB2312" w:cs="Arial"/>
                <w:color w:val="000000"/>
                <w:kern w:val="0"/>
                <w:sz w:val="24"/>
                <w:lang w:eastAsia="zh-CN"/>
              </w:rPr>
              <w:t>预算</w:t>
            </w:r>
            <w:r>
              <w:rPr>
                <w:rFonts w:hint="eastAsia" w:ascii="仿宋_GB2312" w:hAnsi="Arial" w:eastAsia="仿宋_GB2312" w:cs="Arial"/>
                <w:color w:val="000000"/>
                <w:kern w:val="0"/>
                <w:sz w:val="24"/>
              </w:rPr>
              <w:t>支出合计</w:t>
            </w:r>
          </w:p>
        </w:tc>
        <w:tc>
          <w:tcPr>
            <w:tcW w:w="993" w:type="dxa"/>
            <w:tcBorders>
              <w:bottom w:val="single" w:color="auto" w:sz="4" w:space="0"/>
              <w:tl2br w:val="nil"/>
              <w:tr2bl w:val="nil"/>
            </w:tcBorders>
            <w:noWrap w:val="0"/>
            <w:vAlign w:val="center"/>
          </w:tcPr>
          <w:p>
            <w:pPr>
              <w:widowControl/>
              <w:jc w:val="center"/>
              <w:rPr>
                <w:color w:val="000000"/>
                <w:kern w:val="0"/>
                <w:sz w:val="24"/>
              </w:rPr>
            </w:pPr>
            <w:r>
              <w:rPr>
                <w:color w:val="000000"/>
                <w:kern w:val="0"/>
                <w:sz w:val="24"/>
              </w:rPr>
              <w:t xml:space="preserve">19,746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jc w:val="center"/>
        </w:trPr>
        <w:tc>
          <w:tcPr>
            <w:tcW w:w="8787" w:type="dxa"/>
            <w:gridSpan w:val="4"/>
            <w:tcBorders>
              <w:top w:val="single" w:color="auto" w:sz="4" w:space="0"/>
              <w:left w:val="nil"/>
              <w:bottom w:val="nil"/>
              <w:right w:val="nil"/>
              <w:tl2br w:val="nil"/>
              <w:tr2bl w:val="nil"/>
            </w:tcBorders>
            <w:noWrap w:val="0"/>
            <w:vAlign w:val="center"/>
          </w:tcPr>
          <w:p>
            <w:pPr>
              <w:widowControl/>
              <w:ind w:firstLine="420" w:firstLineChars="200"/>
              <w:jc w:val="left"/>
              <w:rPr>
                <w:rFonts w:ascii="仿宋_GB2312" w:hAnsi="Arial" w:eastAsia="仿宋_GB2312" w:cs="Arial"/>
                <w:color w:val="000000"/>
                <w:kern w:val="0"/>
                <w:sz w:val="22"/>
                <w:szCs w:val="22"/>
              </w:rPr>
            </w:pPr>
            <w:r>
              <w:rPr>
                <w:rFonts w:hint="eastAsia" w:ascii="仿宋_GB2312" w:hAnsi="Arial" w:eastAsia="仿宋_GB2312" w:cs="Arial"/>
                <w:color w:val="000000"/>
                <w:kern w:val="0"/>
                <w:sz w:val="21"/>
                <w:szCs w:val="21"/>
              </w:rPr>
              <w:t xml:space="preserve">注：2018年起城乡居民基本医疗保险基金（新农合基金）纳入市级统筹、由市级统一编报预算。  </w:t>
            </w:r>
            <w:r>
              <w:rPr>
                <w:rFonts w:hint="eastAsia" w:ascii="仿宋_GB2312" w:hAnsi="Arial" w:eastAsia="仿宋_GB2312" w:cs="Arial"/>
                <w:color w:val="000000"/>
                <w:kern w:val="0"/>
                <w:sz w:val="22"/>
                <w:szCs w:val="22"/>
              </w:rPr>
              <w:t xml:space="preserve">                                                                                                      </w:t>
            </w:r>
          </w:p>
        </w:tc>
      </w:tr>
    </w:tbl>
    <w:p>
      <w:pPr>
        <w:keepNext w:val="0"/>
        <w:keepLines w:val="0"/>
        <w:pageBreakBefore w:val="0"/>
        <w:widowControl w:val="0"/>
        <w:kinsoku/>
        <w:wordWrap/>
        <w:overflowPunct/>
        <w:topLinePunct w:val="0"/>
        <w:autoSpaceDE/>
        <w:autoSpaceDN/>
        <w:bidi w:val="0"/>
        <w:adjustRightInd/>
        <w:snapToGrid/>
        <w:spacing w:line="538" w:lineRule="exact"/>
        <w:jc w:val="left"/>
        <w:textAlignment w:val="auto"/>
        <w:rPr>
          <w:rFonts w:hint="eastAsia" w:ascii="仿宋_GB2312" w:hAnsi="Arial" w:eastAsia="仿宋_GB2312" w:cs="Arial"/>
          <w:color w:val="000000"/>
          <w:kern w:val="0"/>
          <w:sz w:val="24"/>
          <w:szCs w:val="24"/>
        </w:rPr>
      </w:pPr>
    </w:p>
    <w:p>
      <w:pPr>
        <w:keepNext w:val="0"/>
        <w:keepLines w:val="0"/>
        <w:pageBreakBefore w:val="0"/>
        <w:widowControl w:val="0"/>
        <w:kinsoku/>
        <w:wordWrap/>
        <w:overflowPunct/>
        <w:topLinePunct w:val="0"/>
        <w:autoSpaceDE/>
        <w:autoSpaceDN/>
        <w:bidi w:val="0"/>
        <w:adjustRightInd/>
        <w:snapToGrid/>
        <w:spacing w:line="538" w:lineRule="exact"/>
        <w:jc w:val="left"/>
        <w:textAlignment w:val="auto"/>
        <w:rPr>
          <w:rFonts w:hint="eastAsia" w:ascii="仿宋_GB2312" w:hAnsi="Arial" w:eastAsia="仿宋_GB2312" w:cs="Arial"/>
          <w:color w:val="000000"/>
          <w:kern w:val="0"/>
          <w:sz w:val="24"/>
          <w:szCs w:val="24"/>
        </w:rPr>
      </w:pPr>
    </w:p>
    <w:p>
      <w:pPr>
        <w:keepNext w:val="0"/>
        <w:keepLines w:val="0"/>
        <w:pageBreakBefore w:val="0"/>
        <w:widowControl w:val="0"/>
        <w:kinsoku/>
        <w:wordWrap/>
        <w:overflowPunct/>
        <w:topLinePunct w:val="0"/>
        <w:autoSpaceDE/>
        <w:autoSpaceDN/>
        <w:bidi w:val="0"/>
        <w:adjustRightInd/>
        <w:snapToGrid/>
        <w:spacing w:line="538" w:lineRule="exact"/>
        <w:jc w:val="left"/>
        <w:textAlignment w:val="auto"/>
        <w:rPr>
          <w:rFonts w:hint="eastAsia" w:ascii="仿宋_GB2312" w:hAnsi="Arial" w:eastAsia="仿宋_GB2312" w:cs="Arial"/>
          <w:color w:val="000000"/>
          <w:kern w:val="0"/>
          <w:sz w:val="24"/>
          <w:szCs w:val="24"/>
        </w:rPr>
      </w:pPr>
    </w:p>
    <w:p>
      <w:pPr>
        <w:keepNext w:val="0"/>
        <w:keepLines w:val="0"/>
        <w:pageBreakBefore w:val="0"/>
        <w:widowControl w:val="0"/>
        <w:kinsoku/>
        <w:wordWrap/>
        <w:overflowPunct/>
        <w:topLinePunct w:val="0"/>
        <w:autoSpaceDE/>
        <w:autoSpaceDN/>
        <w:bidi w:val="0"/>
        <w:adjustRightInd/>
        <w:snapToGrid/>
        <w:spacing w:line="538" w:lineRule="exact"/>
        <w:jc w:val="left"/>
        <w:textAlignment w:val="auto"/>
        <w:rPr>
          <w:rFonts w:hint="eastAsia" w:ascii="仿宋_GB2312" w:hAnsi="Arial" w:eastAsia="仿宋_GB2312" w:cs="Arial"/>
          <w:color w:val="000000"/>
          <w:kern w:val="0"/>
          <w:sz w:val="24"/>
          <w:szCs w:val="24"/>
        </w:rPr>
      </w:pPr>
    </w:p>
    <w:p>
      <w:pPr>
        <w:keepNext w:val="0"/>
        <w:keepLines w:val="0"/>
        <w:pageBreakBefore w:val="0"/>
        <w:widowControl w:val="0"/>
        <w:kinsoku/>
        <w:wordWrap/>
        <w:overflowPunct/>
        <w:topLinePunct w:val="0"/>
        <w:autoSpaceDE/>
        <w:autoSpaceDN/>
        <w:bidi w:val="0"/>
        <w:adjustRightInd/>
        <w:snapToGrid/>
        <w:spacing w:line="538" w:lineRule="exact"/>
        <w:jc w:val="left"/>
        <w:textAlignment w:val="auto"/>
        <w:rPr>
          <w:rFonts w:hint="eastAsia" w:ascii="仿宋_GB2312" w:hAnsi="Arial" w:eastAsia="仿宋_GB2312" w:cs="Arial"/>
          <w:color w:val="000000"/>
          <w:kern w:val="0"/>
          <w:sz w:val="24"/>
          <w:szCs w:val="24"/>
        </w:rPr>
      </w:pPr>
    </w:p>
    <w:p>
      <w:pPr>
        <w:keepNext w:val="0"/>
        <w:keepLines w:val="0"/>
        <w:pageBreakBefore w:val="0"/>
        <w:widowControl w:val="0"/>
        <w:kinsoku/>
        <w:wordWrap/>
        <w:overflowPunct/>
        <w:topLinePunct w:val="0"/>
        <w:autoSpaceDE/>
        <w:autoSpaceDN/>
        <w:bidi w:val="0"/>
        <w:adjustRightInd/>
        <w:snapToGrid/>
        <w:spacing w:line="538" w:lineRule="exact"/>
        <w:jc w:val="left"/>
        <w:textAlignment w:val="auto"/>
        <w:rPr>
          <w:rFonts w:hint="eastAsia" w:ascii="仿宋_GB2312" w:hAnsi="Arial" w:eastAsia="仿宋_GB2312" w:cs="Arial"/>
          <w:color w:val="000000"/>
          <w:kern w:val="0"/>
          <w:sz w:val="24"/>
          <w:szCs w:val="24"/>
        </w:rPr>
      </w:pPr>
    </w:p>
    <w:p>
      <w:pPr>
        <w:keepNext w:val="0"/>
        <w:keepLines w:val="0"/>
        <w:pageBreakBefore w:val="0"/>
        <w:widowControl w:val="0"/>
        <w:kinsoku/>
        <w:wordWrap/>
        <w:overflowPunct/>
        <w:topLinePunct w:val="0"/>
        <w:autoSpaceDE/>
        <w:autoSpaceDN/>
        <w:bidi w:val="0"/>
        <w:adjustRightInd/>
        <w:snapToGrid/>
        <w:spacing w:line="538" w:lineRule="exact"/>
        <w:jc w:val="left"/>
        <w:textAlignment w:val="auto"/>
        <w:rPr>
          <w:rFonts w:hint="eastAsia" w:ascii="仿宋_GB2312" w:hAnsi="Arial" w:eastAsia="仿宋_GB2312" w:cs="Arial"/>
          <w:color w:val="000000"/>
          <w:kern w:val="0"/>
          <w:sz w:val="24"/>
          <w:szCs w:val="24"/>
        </w:rPr>
      </w:pPr>
    </w:p>
    <w:p>
      <w:pPr>
        <w:keepNext w:val="0"/>
        <w:keepLines w:val="0"/>
        <w:pageBreakBefore w:val="0"/>
        <w:widowControl w:val="0"/>
        <w:kinsoku/>
        <w:wordWrap/>
        <w:overflowPunct/>
        <w:topLinePunct w:val="0"/>
        <w:autoSpaceDE/>
        <w:autoSpaceDN/>
        <w:bidi w:val="0"/>
        <w:adjustRightInd/>
        <w:snapToGrid/>
        <w:spacing w:line="538" w:lineRule="exact"/>
        <w:jc w:val="left"/>
        <w:textAlignment w:val="auto"/>
        <w:rPr>
          <w:rFonts w:hint="eastAsia" w:ascii="仿宋_GB2312" w:hAnsi="Arial" w:eastAsia="仿宋_GB2312" w:cs="Arial"/>
          <w:color w:val="000000"/>
          <w:kern w:val="0"/>
          <w:sz w:val="22"/>
          <w:szCs w:val="22"/>
        </w:rPr>
      </w:pPr>
      <w:r>
        <w:rPr>
          <w:rFonts w:hint="eastAsia" w:ascii="仿宋_GB2312" w:hAnsi="Arial" w:eastAsia="仿宋_GB2312" w:cs="Arial"/>
          <w:color w:val="000000"/>
          <w:kern w:val="0"/>
          <w:sz w:val="22"/>
          <w:szCs w:val="22"/>
        </w:rPr>
        <w:t>表七</w:t>
      </w:r>
    </w:p>
    <w:p>
      <w:pPr>
        <w:keepNext w:val="0"/>
        <w:keepLines w:val="0"/>
        <w:pageBreakBefore w:val="0"/>
        <w:widowControl w:val="0"/>
        <w:kinsoku/>
        <w:wordWrap/>
        <w:overflowPunct/>
        <w:topLinePunct w:val="0"/>
        <w:autoSpaceDE/>
        <w:autoSpaceDN/>
        <w:bidi w:val="0"/>
        <w:adjustRightInd/>
        <w:snapToGrid/>
        <w:spacing w:line="538" w:lineRule="exact"/>
        <w:jc w:val="center"/>
        <w:textAlignment w:val="auto"/>
        <w:rPr>
          <w:rFonts w:hint="eastAsia" w:ascii="方正小标宋_GBK" w:hAnsi="方正小标宋_GBK" w:eastAsia="方正小标宋_GBK" w:cs="方正小标宋_GBK"/>
          <w:color w:val="000000"/>
          <w:kern w:val="0"/>
          <w:sz w:val="36"/>
          <w:szCs w:val="36"/>
        </w:rPr>
      </w:pPr>
      <w:r>
        <w:rPr>
          <w:rFonts w:hint="eastAsia" w:ascii="方正小标宋_GBK" w:hAnsi="方正小标宋_GBK" w:eastAsia="方正小标宋_GBK" w:cs="方正小标宋_GBK"/>
          <w:color w:val="000000"/>
          <w:kern w:val="0"/>
          <w:sz w:val="36"/>
          <w:szCs w:val="36"/>
        </w:rPr>
        <w:t>2019年德化县一般公共预算收入计划表</w:t>
      </w:r>
    </w:p>
    <w:p>
      <w:pPr>
        <w:keepNext w:val="0"/>
        <w:keepLines w:val="0"/>
        <w:pageBreakBefore w:val="0"/>
        <w:widowControl w:val="0"/>
        <w:kinsoku/>
        <w:wordWrap/>
        <w:overflowPunct/>
        <w:topLinePunct w:val="0"/>
        <w:autoSpaceDE/>
        <w:autoSpaceDN/>
        <w:bidi w:val="0"/>
        <w:adjustRightInd/>
        <w:snapToGrid/>
        <w:spacing w:line="538" w:lineRule="exact"/>
        <w:jc w:val="right"/>
        <w:textAlignment w:val="auto"/>
        <w:rPr>
          <w:rFonts w:hint="eastAsia" w:ascii="仿宋_GB2312" w:hAnsi="Arial" w:eastAsia="仿宋_GB2312" w:cs="Arial"/>
          <w:color w:val="000000"/>
          <w:kern w:val="0"/>
          <w:sz w:val="22"/>
          <w:szCs w:val="22"/>
        </w:rPr>
      </w:pPr>
      <w:r>
        <w:rPr>
          <w:rFonts w:hint="eastAsia" w:ascii="仿宋_GB2312" w:hAnsi="Arial" w:eastAsia="仿宋_GB2312" w:cs="Arial"/>
          <w:color w:val="000000"/>
          <w:kern w:val="0"/>
          <w:sz w:val="22"/>
          <w:szCs w:val="22"/>
        </w:rPr>
        <w:t>单位：万元</w:t>
      </w:r>
    </w:p>
    <w:tbl>
      <w:tblPr>
        <w:tblStyle w:val="8"/>
        <w:tblW w:w="8787" w:type="dxa"/>
        <w:jc w:val="center"/>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8"/>
        <w:gridCol w:w="1310"/>
        <w:gridCol w:w="1310"/>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858"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科</w:t>
            </w:r>
            <w:r>
              <w:rPr>
                <w:rFonts w:eastAsia="仿宋_GB2312"/>
                <w:color w:val="000000"/>
                <w:kern w:val="0"/>
                <w:sz w:val="24"/>
              </w:rPr>
              <w:t xml:space="preserve">   </w:t>
            </w:r>
            <w:r>
              <w:rPr>
                <w:rFonts w:hint="eastAsia" w:ascii="仿宋_GB2312" w:hAnsi="Arial" w:eastAsia="仿宋_GB2312" w:cs="Arial"/>
                <w:color w:val="000000"/>
                <w:kern w:val="0"/>
                <w:sz w:val="24"/>
              </w:rPr>
              <w:t>目</w:t>
            </w:r>
          </w:p>
        </w:tc>
        <w:tc>
          <w:tcPr>
            <w:tcW w:w="131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2018</w:t>
            </w:r>
            <w:r>
              <w:rPr>
                <w:rFonts w:hint="eastAsia" w:ascii="仿宋_GB2312" w:eastAsia="仿宋_GB2312"/>
                <w:color w:val="000000"/>
                <w:kern w:val="0"/>
                <w:sz w:val="24"/>
              </w:rPr>
              <w:t>年收入预计数</w:t>
            </w:r>
          </w:p>
        </w:tc>
        <w:tc>
          <w:tcPr>
            <w:tcW w:w="2619" w:type="dxa"/>
            <w:gridSpan w:val="2"/>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2019</w:t>
            </w:r>
            <w:r>
              <w:rPr>
                <w:rFonts w:hint="eastAsia" w:ascii="仿宋_GB2312" w:eastAsia="仿宋_GB2312"/>
                <w:color w:val="000000"/>
                <w:kern w:val="0"/>
                <w:sz w:val="24"/>
              </w:rPr>
              <w:t>年收入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485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rPr>
                <w:rFonts w:ascii="仿宋_GB2312" w:hAnsi="Arial" w:eastAsia="仿宋_GB2312" w:cs="Arial"/>
                <w:color w:val="000000"/>
                <w:kern w:val="0"/>
                <w:sz w:val="24"/>
              </w:rPr>
            </w:pPr>
          </w:p>
        </w:tc>
        <w:tc>
          <w:tcPr>
            <w:tcW w:w="131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rPr>
                <w:color w:val="000000"/>
                <w:kern w:val="0"/>
                <w:sz w:val="24"/>
              </w:rPr>
            </w:pP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预算数</w:t>
            </w:r>
          </w:p>
        </w:tc>
        <w:tc>
          <w:tcPr>
            <w:tcW w:w="130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rFonts w:hint="eastAsia" w:ascii="仿宋_GB2312" w:hAnsi="Arial" w:eastAsia="仿宋_GB2312" w:cs="Arial"/>
                <w:color w:val="000000"/>
                <w:kern w:val="0"/>
                <w:sz w:val="24"/>
                <w:lang w:eastAsia="zh-CN"/>
              </w:rPr>
            </w:pPr>
            <w:r>
              <w:rPr>
                <w:rFonts w:hint="eastAsia" w:ascii="仿宋_GB2312" w:hAnsi="Arial" w:eastAsia="仿宋_GB2312" w:cs="Arial"/>
                <w:color w:val="000000"/>
                <w:kern w:val="0"/>
                <w:sz w:val="24"/>
                <w:lang w:eastAsia="zh-CN"/>
              </w:rPr>
              <w:t>比上年</w:t>
            </w:r>
          </w:p>
          <w:p>
            <w:pPr>
              <w:keepNext w:val="0"/>
              <w:keepLines w:val="0"/>
              <w:pageBreakBefore w:val="0"/>
              <w:widowControl/>
              <w:kinsoku/>
              <w:wordWrap/>
              <w:overflowPunct/>
              <w:topLinePunct w:val="0"/>
              <w:autoSpaceDE/>
              <w:autoSpaceDN/>
              <w:bidi w:val="0"/>
              <w:adjustRightInd/>
              <w:snapToGrid/>
              <w:spacing w:line="370" w:lineRule="exact"/>
              <w:jc w:val="center"/>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增长</w:t>
            </w:r>
            <w:r>
              <w:rPr>
                <w:rFonts w:eastAsia="仿宋_GB2312"/>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858"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一、一般公共预算收入</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118,164 </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122,900 </w:t>
            </w:r>
          </w:p>
        </w:tc>
        <w:tc>
          <w:tcPr>
            <w:tcW w:w="130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8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（一）税收收入</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85,311 </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94,400 </w:t>
            </w:r>
          </w:p>
        </w:tc>
        <w:tc>
          <w:tcPr>
            <w:tcW w:w="130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10.7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8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rPr>
                <w:color w:val="000000"/>
                <w:kern w:val="0"/>
                <w:sz w:val="24"/>
              </w:rPr>
            </w:pPr>
            <w:r>
              <w:rPr>
                <w:color w:val="000000"/>
                <w:kern w:val="0"/>
                <w:sz w:val="24"/>
              </w:rPr>
              <w:t xml:space="preserve">      1.</w:t>
            </w:r>
            <w:r>
              <w:rPr>
                <w:rFonts w:hint="eastAsia" w:ascii="仿宋_GB2312" w:eastAsia="仿宋_GB2312"/>
                <w:color w:val="000000"/>
                <w:kern w:val="0"/>
                <w:sz w:val="24"/>
              </w:rPr>
              <w:t>增值税</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31,839 </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34,185 </w:t>
            </w:r>
          </w:p>
        </w:tc>
        <w:tc>
          <w:tcPr>
            <w:tcW w:w="130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8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rPr>
                <w:color w:val="000000"/>
                <w:kern w:val="0"/>
                <w:sz w:val="24"/>
              </w:rPr>
            </w:pPr>
            <w:r>
              <w:rPr>
                <w:color w:val="000000"/>
                <w:kern w:val="0"/>
                <w:sz w:val="24"/>
              </w:rPr>
              <w:t xml:space="preserve">      2.</w:t>
            </w:r>
            <w:r>
              <w:rPr>
                <w:rFonts w:hint="eastAsia" w:ascii="仿宋_GB2312" w:eastAsia="仿宋_GB2312"/>
                <w:color w:val="000000"/>
                <w:kern w:val="0"/>
                <w:sz w:val="24"/>
              </w:rPr>
              <w:t>企业所得税</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13,534 </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14,470 </w:t>
            </w:r>
          </w:p>
        </w:tc>
        <w:tc>
          <w:tcPr>
            <w:tcW w:w="130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8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rPr>
                <w:color w:val="000000"/>
                <w:kern w:val="0"/>
                <w:sz w:val="24"/>
              </w:rPr>
            </w:pPr>
            <w:r>
              <w:rPr>
                <w:color w:val="000000"/>
                <w:kern w:val="0"/>
                <w:sz w:val="24"/>
              </w:rPr>
              <w:t xml:space="preserve">      3</w:t>
            </w:r>
            <w:r>
              <w:rPr>
                <w:rFonts w:hint="eastAsia" w:ascii="仿宋_GB2312" w:eastAsia="仿宋_GB2312"/>
                <w:color w:val="000000"/>
                <w:kern w:val="0"/>
                <w:sz w:val="24"/>
              </w:rPr>
              <w:t>个人所得税</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4,748 </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5,000 </w:t>
            </w:r>
          </w:p>
        </w:tc>
        <w:tc>
          <w:tcPr>
            <w:tcW w:w="130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8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rPr>
                <w:color w:val="000000"/>
                <w:kern w:val="0"/>
                <w:sz w:val="24"/>
              </w:rPr>
            </w:pPr>
            <w:r>
              <w:rPr>
                <w:color w:val="000000"/>
                <w:kern w:val="0"/>
                <w:sz w:val="24"/>
              </w:rPr>
              <w:t xml:space="preserve">      4.</w:t>
            </w:r>
            <w:r>
              <w:rPr>
                <w:rFonts w:hint="eastAsia" w:ascii="仿宋_GB2312" w:eastAsia="仿宋_GB2312"/>
                <w:color w:val="000000"/>
                <w:kern w:val="0"/>
                <w:sz w:val="24"/>
              </w:rPr>
              <w:t>资源税</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1,551 </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3,200 </w:t>
            </w:r>
          </w:p>
        </w:tc>
        <w:tc>
          <w:tcPr>
            <w:tcW w:w="130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106.3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8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rPr>
                <w:color w:val="000000"/>
                <w:kern w:val="0"/>
                <w:sz w:val="24"/>
              </w:rPr>
            </w:pPr>
            <w:r>
              <w:rPr>
                <w:color w:val="000000"/>
                <w:kern w:val="0"/>
                <w:sz w:val="24"/>
              </w:rPr>
              <w:t xml:space="preserve">      5.</w:t>
            </w:r>
            <w:r>
              <w:rPr>
                <w:rFonts w:hint="eastAsia" w:ascii="仿宋_GB2312" w:eastAsia="仿宋_GB2312"/>
                <w:color w:val="000000"/>
                <w:kern w:val="0"/>
                <w:sz w:val="24"/>
              </w:rPr>
              <w:t>城市维护建设税</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3,871 </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4,500 </w:t>
            </w:r>
          </w:p>
        </w:tc>
        <w:tc>
          <w:tcPr>
            <w:tcW w:w="130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16.2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8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rPr>
                <w:color w:val="000000"/>
                <w:kern w:val="0"/>
                <w:sz w:val="24"/>
              </w:rPr>
            </w:pPr>
            <w:r>
              <w:rPr>
                <w:color w:val="000000"/>
                <w:kern w:val="0"/>
                <w:sz w:val="24"/>
              </w:rPr>
              <w:t xml:space="preserve">      6.</w:t>
            </w:r>
            <w:r>
              <w:rPr>
                <w:rFonts w:hint="eastAsia" w:ascii="仿宋_GB2312" w:eastAsia="仿宋_GB2312"/>
                <w:color w:val="000000"/>
                <w:kern w:val="0"/>
                <w:sz w:val="24"/>
              </w:rPr>
              <w:t>房产税</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4,696 </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5,500 </w:t>
            </w:r>
          </w:p>
        </w:tc>
        <w:tc>
          <w:tcPr>
            <w:tcW w:w="130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17.1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8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rPr>
                <w:color w:val="000000"/>
                <w:kern w:val="0"/>
                <w:sz w:val="24"/>
              </w:rPr>
            </w:pPr>
            <w:r>
              <w:rPr>
                <w:color w:val="000000"/>
                <w:kern w:val="0"/>
                <w:sz w:val="24"/>
              </w:rPr>
              <w:t xml:space="preserve">      7.</w:t>
            </w:r>
            <w:r>
              <w:rPr>
                <w:rFonts w:hint="eastAsia" w:ascii="仿宋_GB2312" w:eastAsia="仿宋_GB2312"/>
                <w:color w:val="000000"/>
                <w:kern w:val="0"/>
                <w:sz w:val="24"/>
              </w:rPr>
              <w:t>印花税</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972 </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1,020 </w:t>
            </w:r>
          </w:p>
        </w:tc>
        <w:tc>
          <w:tcPr>
            <w:tcW w:w="130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8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rPr>
                <w:color w:val="000000"/>
                <w:kern w:val="0"/>
                <w:sz w:val="24"/>
              </w:rPr>
            </w:pPr>
            <w:r>
              <w:rPr>
                <w:color w:val="000000"/>
                <w:kern w:val="0"/>
                <w:sz w:val="24"/>
              </w:rPr>
              <w:t xml:space="preserve">      8.</w:t>
            </w:r>
            <w:r>
              <w:rPr>
                <w:rFonts w:hint="eastAsia" w:ascii="仿宋_GB2312" w:eastAsia="仿宋_GB2312"/>
                <w:color w:val="000000"/>
                <w:kern w:val="0"/>
                <w:sz w:val="24"/>
              </w:rPr>
              <w:t>城镇土地使用税</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2,910 </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3,195 </w:t>
            </w:r>
          </w:p>
        </w:tc>
        <w:tc>
          <w:tcPr>
            <w:tcW w:w="130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8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rPr>
                <w:color w:val="000000"/>
                <w:kern w:val="0"/>
                <w:sz w:val="24"/>
              </w:rPr>
            </w:pPr>
            <w:r>
              <w:rPr>
                <w:color w:val="000000"/>
                <w:kern w:val="0"/>
                <w:sz w:val="24"/>
              </w:rPr>
              <w:t xml:space="preserve">      9.</w:t>
            </w:r>
            <w:r>
              <w:rPr>
                <w:rFonts w:hint="eastAsia" w:ascii="仿宋_GB2312" w:eastAsia="仿宋_GB2312"/>
                <w:color w:val="000000"/>
                <w:kern w:val="0"/>
                <w:sz w:val="24"/>
              </w:rPr>
              <w:t>土地增值税</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10,942 </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12,100 </w:t>
            </w:r>
          </w:p>
        </w:tc>
        <w:tc>
          <w:tcPr>
            <w:tcW w:w="130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10.6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8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rPr>
                <w:color w:val="000000"/>
                <w:kern w:val="0"/>
                <w:sz w:val="24"/>
              </w:rPr>
            </w:pPr>
            <w:r>
              <w:rPr>
                <w:color w:val="000000"/>
                <w:kern w:val="0"/>
                <w:sz w:val="24"/>
              </w:rPr>
              <w:t xml:space="preserve">      10.</w:t>
            </w:r>
            <w:r>
              <w:rPr>
                <w:rFonts w:hint="eastAsia" w:ascii="仿宋_GB2312" w:eastAsia="仿宋_GB2312"/>
                <w:color w:val="000000"/>
                <w:kern w:val="0"/>
                <w:sz w:val="24"/>
              </w:rPr>
              <w:t>车船税</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1,256 </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1,300 </w:t>
            </w:r>
          </w:p>
        </w:tc>
        <w:tc>
          <w:tcPr>
            <w:tcW w:w="130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8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rPr>
                <w:color w:val="000000"/>
                <w:kern w:val="0"/>
                <w:sz w:val="24"/>
              </w:rPr>
            </w:pPr>
            <w:r>
              <w:rPr>
                <w:color w:val="000000"/>
                <w:kern w:val="0"/>
                <w:sz w:val="24"/>
              </w:rPr>
              <w:t xml:space="preserve">      11.</w:t>
            </w:r>
            <w:r>
              <w:rPr>
                <w:rFonts w:hint="eastAsia" w:ascii="仿宋_GB2312" w:eastAsia="仿宋_GB2312"/>
                <w:color w:val="000000"/>
                <w:kern w:val="0"/>
                <w:sz w:val="24"/>
              </w:rPr>
              <w:t>耕地占用税</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1,990 </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5,000 </w:t>
            </w:r>
          </w:p>
        </w:tc>
        <w:tc>
          <w:tcPr>
            <w:tcW w:w="130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151.3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8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rPr>
                <w:color w:val="000000"/>
                <w:kern w:val="0"/>
                <w:sz w:val="24"/>
              </w:rPr>
            </w:pPr>
            <w:r>
              <w:rPr>
                <w:color w:val="000000"/>
                <w:kern w:val="0"/>
                <w:sz w:val="24"/>
              </w:rPr>
              <w:t xml:space="preserve">      12.</w:t>
            </w:r>
            <w:r>
              <w:rPr>
                <w:rFonts w:hint="eastAsia" w:ascii="仿宋_GB2312" w:eastAsia="仿宋_GB2312"/>
                <w:color w:val="000000"/>
                <w:kern w:val="0"/>
                <w:sz w:val="24"/>
              </w:rPr>
              <w:t>契税</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6,878 </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4,800 </w:t>
            </w:r>
          </w:p>
        </w:tc>
        <w:tc>
          <w:tcPr>
            <w:tcW w:w="130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-30.2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8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rPr>
                <w:color w:val="000000"/>
                <w:kern w:val="0"/>
                <w:sz w:val="24"/>
              </w:rPr>
            </w:pPr>
            <w:r>
              <w:rPr>
                <w:color w:val="000000"/>
                <w:kern w:val="0"/>
                <w:sz w:val="24"/>
              </w:rPr>
              <w:t xml:space="preserve">      13.</w:t>
            </w:r>
            <w:r>
              <w:rPr>
                <w:rFonts w:hint="eastAsia" w:ascii="仿宋_GB2312" w:eastAsia="仿宋_GB2312"/>
                <w:color w:val="000000"/>
                <w:kern w:val="0"/>
                <w:sz w:val="24"/>
              </w:rPr>
              <w:t>环保税</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124 </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130 </w:t>
            </w:r>
          </w:p>
        </w:tc>
        <w:tc>
          <w:tcPr>
            <w:tcW w:w="130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8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（二）非税收入</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32,853 </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28,500 </w:t>
            </w:r>
          </w:p>
        </w:tc>
        <w:tc>
          <w:tcPr>
            <w:tcW w:w="130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-13.2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8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rPr>
                <w:color w:val="000000"/>
                <w:kern w:val="0"/>
                <w:sz w:val="24"/>
              </w:rPr>
            </w:pPr>
            <w:r>
              <w:rPr>
                <w:color w:val="000000"/>
                <w:kern w:val="0"/>
                <w:sz w:val="24"/>
              </w:rPr>
              <w:t xml:space="preserve">      1.</w:t>
            </w:r>
            <w:r>
              <w:rPr>
                <w:rFonts w:hint="eastAsia" w:ascii="仿宋_GB2312" w:eastAsia="仿宋_GB2312"/>
                <w:color w:val="000000"/>
                <w:kern w:val="0"/>
                <w:sz w:val="24"/>
              </w:rPr>
              <w:t>专项收入</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6,782 </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6,150 </w:t>
            </w:r>
          </w:p>
        </w:tc>
        <w:tc>
          <w:tcPr>
            <w:tcW w:w="130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8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rPr>
                <w:color w:val="000000"/>
                <w:kern w:val="0"/>
                <w:sz w:val="24"/>
              </w:rPr>
            </w:pPr>
            <w:r>
              <w:rPr>
                <w:color w:val="000000"/>
                <w:kern w:val="0"/>
                <w:sz w:val="24"/>
              </w:rPr>
              <w:t xml:space="preserve">      2.</w:t>
            </w:r>
            <w:r>
              <w:rPr>
                <w:rFonts w:hint="eastAsia" w:ascii="仿宋_GB2312" w:eastAsia="仿宋_GB2312"/>
                <w:color w:val="000000"/>
                <w:kern w:val="0"/>
                <w:sz w:val="24"/>
              </w:rPr>
              <w:t>行政事业性收费收入</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5,426 </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5,500 </w:t>
            </w:r>
          </w:p>
        </w:tc>
        <w:tc>
          <w:tcPr>
            <w:tcW w:w="130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8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rPr>
                <w:color w:val="000000"/>
                <w:kern w:val="0"/>
                <w:sz w:val="24"/>
              </w:rPr>
            </w:pPr>
            <w:r>
              <w:rPr>
                <w:color w:val="000000"/>
                <w:kern w:val="0"/>
                <w:sz w:val="24"/>
              </w:rPr>
              <w:t xml:space="preserve">      3.</w:t>
            </w:r>
            <w:r>
              <w:rPr>
                <w:rFonts w:hint="eastAsia" w:ascii="仿宋_GB2312" w:eastAsia="仿宋_GB2312"/>
                <w:color w:val="000000"/>
                <w:kern w:val="0"/>
                <w:sz w:val="24"/>
              </w:rPr>
              <w:t>罚没收入</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3,489 </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3,400 </w:t>
            </w:r>
          </w:p>
        </w:tc>
        <w:tc>
          <w:tcPr>
            <w:tcW w:w="130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858"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rPr>
                <w:color w:val="000000"/>
                <w:kern w:val="0"/>
                <w:sz w:val="24"/>
              </w:rPr>
            </w:pPr>
            <w:r>
              <w:rPr>
                <w:color w:val="000000"/>
                <w:kern w:val="0"/>
                <w:sz w:val="24"/>
              </w:rPr>
              <w:t xml:space="preserve">      4.</w:t>
            </w:r>
            <w:r>
              <w:rPr>
                <w:rFonts w:hint="eastAsia" w:ascii="仿宋_GB2312" w:eastAsia="仿宋_GB2312"/>
                <w:color w:val="000000"/>
                <w:kern w:val="0"/>
                <w:sz w:val="24"/>
              </w:rPr>
              <w:t>国有资源（资产）有偿使用收入</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16,955 </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13,245 </w:t>
            </w:r>
          </w:p>
        </w:tc>
        <w:tc>
          <w:tcPr>
            <w:tcW w:w="130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-21.9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8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rPr>
                <w:color w:val="000000"/>
                <w:kern w:val="0"/>
                <w:sz w:val="24"/>
              </w:rPr>
            </w:pPr>
            <w:r>
              <w:rPr>
                <w:color w:val="000000"/>
                <w:kern w:val="0"/>
                <w:sz w:val="24"/>
              </w:rPr>
              <w:t xml:space="preserve">      5.</w:t>
            </w:r>
            <w:r>
              <w:rPr>
                <w:rFonts w:hint="eastAsia" w:ascii="仿宋_GB2312" w:eastAsia="仿宋_GB2312"/>
                <w:color w:val="000000"/>
                <w:kern w:val="0"/>
                <w:sz w:val="24"/>
              </w:rPr>
              <w:t>政府住房基金收入</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76 </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80 </w:t>
            </w:r>
          </w:p>
        </w:tc>
        <w:tc>
          <w:tcPr>
            <w:tcW w:w="130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85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rPr>
                <w:color w:val="000000"/>
                <w:kern w:val="0"/>
                <w:sz w:val="24"/>
              </w:rPr>
            </w:pPr>
            <w:r>
              <w:rPr>
                <w:color w:val="000000"/>
                <w:kern w:val="0"/>
                <w:sz w:val="24"/>
              </w:rPr>
              <w:t xml:space="preserve">      6.</w:t>
            </w:r>
            <w:r>
              <w:rPr>
                <w:rFonts w:hint="eastAsia" w:ascii="仿宋_GB2312" w:eastAsia="仿宋_GB2312"/>
                <w:color w:val="000000"/>
                <w:kern w:val="0"/>
                <w:sz w:val="24"/>
              </w:rPr>
              <w:t>其他收入</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125 </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125 </w:t>
            </w:r>
          </w:p>
        </w:tc>
        <w:tc>
          <w:tcPr>
            <w:tcW w:w="130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858"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二、上划中央收入</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59,304 </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63,440 </w:t>
            </w:r>
          </w:p>
        </w:tc>
        <w:tc>
          <w:tcPr>
            <w:tcW w:w="130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858"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rPr>
                <w:color w:val="000000"/>
                <w:kern w:val="0"/>
                <w:sz w:val="24"/>
              </w:rPr>
            </w:pPr>
            <w:r>
              <w:rPr>
                <w:color w:val="000000"/>
                <w:kern w:val="0"/>
                <w:sz w:val="24"/>
              </w:rPr>
              <w:t xml:space="preserve">      1.</w:t>
            </w:r>
            <w:r>
              <w:rPr>
                <w:rFonts w:hint="eastAsia" w:ascii="仿宋_GB2312" w:eastAsia="仿宋_GB2312"/>
                <w:color w:val="000000"/>
                <w:kern w:val="0"/>
                <w:sz w:val="24"/>
              </w:rPr>
              <w:t>增值税</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31,839 </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34,185 </w:t>
            </w:r>
          </w:p>
        </w:tc>
        <w:tc>
          <w:tcPr>
            <w:tcW w:w="130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858"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rPr>
                <w:color w:val="000000"/>
                <w:kern w:val="0"/>
                <w:sz w:val="24"/>
              </w:rPr>
            </w:pPr>
            <w:r>
              <w:rPr>
                <w:color w:val="000000"/>
                <w:kern w:val="0"/>
                <w:sz w:val="24"/>
              </w:rPr>
              <w:t xml:space="preserve">      2.</w:t>
            </w:r>
            <w:r>
              <w:rPr>
                <w:rFonts w:hint="eastAsia" w:ascii="仿宋_GB2312" w:eastAsia="仿宋_GB2312"/>
                <w:color w:val="000000"/>
                <w:kern w:val="0"/>
                <w:sz w:val="24"/>
              </w:rPr>
              <w:t>消费税</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42 </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50 </w:t>
            </w:r>
          </w:p>
        </w:tc>
        <w:tc>
          <w:tcPr>
            <w:tcW w:w="130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19.0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858"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rPr>
                <w:color w:val="000000"/>
                <w:kern w:val="0"/>
                <w:sz w:val="24"/>
              </w:rPr>
            </w:pPr>
            <w:r>
              <w:rPr>
                <w:color w:val="000000"/>
                <w:kern w:val="0"/>
                <w:sz w:val="24"/>
              </w:rPr>
              <w:t xml:space="preserve">      3.</w:t>
            </w:r>
            <w:r>
              <w:rPr>
                <w:rFonts w:hint="eastAsia" w:ascii="仿宋_GB2312" w:eastAsia="仿宋_GB2312"/>
                <w:color w:val="000000"/>
                <w:kern w:val="0"/>
                <w:sz w:val="24"/>
              </w:rPr>
              <w:t>企业所得税</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20,301 </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21,705 </w:t>
            </w:r>
          </w:p>
        </w:tc>
        <w:tc>
          <w:tcPr>
            <w:tcW w:w="130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858"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rPr>
                <w:color w:val="000000"/>
                <w:kern w:val="0"/>
                <w:sz w:val="24"/>
              </w:rPr>
            </w:pPr>
            <w:r>
              <w:rPr>
                <w:color w:val="000000"/>
                <w:kern w:val="0"/>
                <w:sz w:val="24"/>
              </w:rPr>
              <w:t xml:space="preserve">      4.</w:t>
            </w:r>
            <w:r>
              <w:rPr>
                <w:rFonts w:hint="eastAsia" w:ascii="仿宋_GB2312" w:eastAsia="仿宋_GB2312"/>
                <w:color w:val="000000"/>
                <w:kern w:val="0"/>
                <w:sz w:val="24"/>
              </w:rPr>
              <w:t>个人所得税</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7,122 </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7,500 </w:t>
            </w:r>
          </w:p>
        </w:tc>
        <w:tc>
          <w:tcPr>
            <w:tcW w:w="130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858"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三、一般公共预算总收入</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177,468 </w:t>
            </w:r>
          </w:p>
        </w:tc>
        <w:tc>
          <w:tcPr>
            <w:tcW w:w="13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186,340 </w:t>
            </w:r>
          </w:p>
        </w:tc>
        <w:tc>
          <w:tcPr>
            <w:tcW w:w="130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jc w:val="center"/>
              <w:textAlignment w:val="auto"/>
              <w:rPr>
                <w:color w:val="000000"/>
                <w:kern w:val="0"/>
                <w:sz w:val="24"/>
              </w:rPr>
            </w:pPr>
            <w:r>
              <w:rPr>
                <w:color w:val="000000"/>
                <w:kern w:val="0"/>
                <w:sz w:val="24"/>
              </w:rPr>
              <w:t xml:space="preserve">5.0 </w:t>
            </w:r>
          </w:p>
        </w:tc>
      </w:tr>
    </w:tbl>
    <w:p>
      <w:pPr>
        <w:keepNext w:val="0"/>
        <w:keepLines w:val="0"/>
        <w:pageBreakBefore w:val="0"/>
        <w:widowControl w:val="0"/>
        <w:kinsoku/>
        <w:wordWrap/>
        <w:overflowPunct/>
        <w:topLinePunct w:val="0"/>
        <w:autoSpaceDE/>
        <w:autoSpaceDN/>
        <w:bidi w:val="0"/>
        <w:adjustRightInd/>
        <w:snapToGrid/>
        <w:spacing w:line="538" w:lineRule="exact"/>
        <w:jc w:val="left"/>
        <w:textAlignment w:val="auto"/>
        <w:rPr>
          <w:rFonts w:hint="eastAsia"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表八</w:t>
      </w:r>
    </w:p>
    <w:p>
      <w:pPr>
        <w:keepNext w:val="0"/>
        <w:keepLines w:val="0"/>
        <w:pageBreakBefore w:val="0"/>
        <w:widowControl w:val="0"/>
        <w:kinsoku/>
        <w:wordWrap/>
        <w:overflowPunct/>
        <w:topLinePunct w:val="0"/>
        <w:autoSpaceDE/>
        <w:autoSpaceDN/>
        <w:bidi w:val="0"/>
        <w:adjustRightInd/>
        <w:snapToGrid/>
        <w:spacing w:line="538" w:lineRule="exact"/>
        <w:jc w:val="center"/>
        <w:textAlignment w:val="auto"/>
        <w:rPr>
          <w:rFonts w:hint="eastAsia" w:ascii="方正小标宋_GBK" w:hAnsi="方正小标宋_GBK" w:eastAsia="方正小标宋_GBK" w:cs="方正小标宋_GBK"/>
          <w:color w:val="000000"/>
          <w:kern w:val="0"/>
          <w:sz w:val="36"/>
          <w:szCs w:val="36"/>
        </w:rPr>
      </w:pPr>
      <w:r>
        <w:rPr>
          <w:rFonts w:hint="eastAsia" w:ascii="方正小标宋_GBK" w:hAnsi="方正小标宋_GBK" w:eastAsia="方正小标宋_GBK" w:cs="方正小标宋_GBK"/>
          <w:color w:val="000000"/>
          <w:kern w:val="0"/>
          <w:sz w:val="36"/>
          <w:szCs w:val="36"/>
        </w:rPr>
        <w:t>2019年德化县一般公共预算支出计划表</w:t>
      </w:r>
    </w:p>
    <w:p>
      <w:pPr>
        <w:keepNext w:val="0"/>
        <w:keepLines w:val="0"/>
        <w:pageBreakBefore w:val="0"/>
        <w:widowControl w:val="0"/>
        <w:kinsoku/>
        <w:wordWrap/>
        <w:overflowPunct/>
        <w:topLinePunct w:val="0"/>
        <w:autoSpaceDE/>
        <w:autoSpaceDN/>
        <w:bidi w:val="0"/>
        <w:adjustRightInd/>
        <w:snapToGrid/>
        <w:spacing w:line="538" w:lineRule="exact"/>
        <w:jc w:val="right"/>
        <w:textAlignment w:val="auto"/>
        <w:rPr>
          <w:rFonts w:hint="eastAsia"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单位：万元</w:t>
      </w:r>
    </w:p>
    <w:tbl>
      <w:tblPr>
        <w:tblStyle w:val="8"/>
        <w:tblW w:w="8787" w:type="dxa"/>
        <w:jc w:val="center"/>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7"/>
        <w:gridCol w:w="1180"/>
        <w:gridCol w:w="1180"/>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5247"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 </w:t>
            </w:r>
            <w:r>
              <w:rPr>
                <w:rFonts w:hint="eastAsia" w:ascii="仿宋_GB2312" w:eastAsia="仿宋_GB2312"/>
                <w:color w:val="000000"/>
                <w:kern w:val="0"/>
                <w:sz w:val="24"/>
              </w:rPr>
              <w:t>科</w:t>
            </w:r>
            <w:r>
              <w:rPr>
                <w:rFonts w:eastAsia="仿宋_GB2312"/>
                <w:color w:val="000000"/>
                <w:kern w:val="0"/>
                <w:sz w:val="24"/>
              </w:rPr>
              <w:t xml:space="preserve">   </w:t>
            </w:r>
            <w:r>
              <w:rPr>
                <w:rFonts w:hint="eastAsia" w:ascii="仿宋_GB2312" w:eastAsia="仿宋_GB2312"/>
                <w:color w:val="000000"/>
                <w:kern w:val="0"/>
                <w:sz w:val="24"/>
              </w:rPr>
              <w:t>目</w:t>
            </w:r>
          </w:p>
        </w:tc>
        <w:tc>
          <w:tcPr>
            <w:tcW w:w="118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2018</w:t>
            </w:r>
            <w:r>
              <w:rPr>
                <w:rFonts w:hint="eastAsia" w:ascii="仿宋_GB2312" w:eastAsia="仿宋_GB2312"/>
                <w:color w:val="000000"/>
                <w:kern w:val="0"/>
                <w:sz w:val="24"/>
              </w:rPr>
              <w:t>年预算基数</w:t>
            </w:r>
          </w:p>
        </w:tc>
        <w:tc>
          <w:tcPr>
            <w:tcW w:w="236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2019</w:t>
            </w:r>
            <w:r>
              <w:rPr>
                <w:rFonts w:hint="eastAsia" w:ascii="仿宋_GB2312" w:eastAsia="仿宋_GB2312"/>
                <w:color w:val="000000"/>
                <w:kern w:val="0"/>
                <w:sz w:val="24"/>
              </w:rPr>
              <w:t>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5247"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color w:val="000000"/>
                <w:kern w:val="0"/>
                <w:sz w:val="24"/>
              </w:rPr>
            </w:pPr>
          </w:p>
        </w:tc>
        <w:tc>
          <w:tcPr>
            <w:tcW w:w="118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color w:val="000000"/>
                <w:kern w:val="0"/>
                <w:sz w:val="24"/>
              </w:rPr>
            </w:pP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预算数</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Arial" w:eastAsia="仿宋_GB2312" w:cs="Arial"/>
                <w:color w:val="000000"/>
                <w:kern w:val="0"/>
                <w:sz w:val="24"/>
                <w:lang w:eastAsia="zh-CN"/>
              </w:rPr>
            </w:pPr>
            <w:r>
              <w:rPr>
                <w:rFonts w:hint="eastAsia" w:ascii="仿宋_GB2312" w:hAnsi="Arial" w:eastAsia="仿宋_GB2312" w:cs="Arial"/>
                <w:color w:val="000000"/>
                <w:kern w:val="0"/>
                <w:sz w:val="24"/>
                <w:lang w:eastAsia="zh-CN"/>
              </w:rPr>
              <w:t>比上年</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增长</w:t>
            </w:r>
            <w:r>
              <w:rPr>
                <w:rFonts w:eastAsia="仿宋_GB2312"/>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524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一、一般公共服务支出</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19,040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19,458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524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二、国防支出</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235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247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524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三、公共安全支出</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11,545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10,713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524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四、教育支出</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51,373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59,014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524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五、科学技术支出</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3,113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3,800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22.1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524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六、文化旅游体育与传媒支出</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2,729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2,966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524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七、社会保障和就业支出</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9,993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12,796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28.0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524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八、卫生健康支出</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8,492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8,777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524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九、节能环保支出</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2,607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2,654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524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十、城乡社区支出</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3,451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4,871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41.1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524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十一、农林水支出</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15,132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16,983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524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十二、交通运输支出</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1,771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1,913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524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十三、资源勘探信息等支出</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3,600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3,600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524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十四、商业服务业等支出</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178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178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524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十五、金融支出</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5247"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十六、援助其他地区支出</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524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十七、自然资源海洋气象等支出</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1,579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1,474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524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十八、住房保障支出</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395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2,468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524.8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524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十九、粮油物资储备支出</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544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744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36.8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524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二十、灾害防治及应急管理支出</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664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933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40.5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524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二十一、预备费</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3,200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3,200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524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二十二、其</w:t>
            </w:r>
            <w:r>
              <w:rPr>
                <w:rFonts w:hint="eastAsia" w:ascii="仿宋_GB2312" w:hAnsi="Arial" w:eastAsia="仿宋_GB2312" w:cs="Arial"/>
                <w:color w:val="000000"/>
                <w:kern w:val="0"/>
                <w:sz w:val="24"/>
                <w:lang w:eastAsia="zh-CN"/>
              </w:rPr>
              <w:t>他</w:t>
            </w:r>
            <w:r>
              <w:rPr>
                <w:rFonts w:hint="eastAsia" w:ascii="仿宋_GB2312" w:hAnsi="Arial" w:eastAsia="仿宋_GB2312" w:cs="Arial"/>
                <w:color w:val="000000"/>
                <w:kern w:val="0"/>
                <w:sz w:val="24"/>
              </w:rPr>
              <w:t>支出</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848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2,471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191.4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524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二十三、转移性支出（上解支出）</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7,696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8,500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524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二十四、债务还本支出</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524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二十五、债务付息支出</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3,000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8,500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183.3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524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二十六、债务发行费用支出</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w:t>
            </w:r>
          </w:p>
        </w:tc>
        <w:tc>
          <w:tcPr>
            <w:tcW w:w="11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5247" w:type="dxa"/>
            <w:tcBorders>
              <w:bottom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一般公共预算支出合计</w:t>
            </w:r>
          </w:p>
        </w:tc>
        <w:tc>
          <w:tcPr>
            <w:tcW w:w="1180" w:type="dxa"/>
            <w:tcBorders>
              <w:bottom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151,185 </w:t>
            </w:r>
          </w:p>
        </w:tc>
        <w:tc>
          <w:tcPr>
            <w:tcW w:w="1180" w:type="dxa"/>
            <w:tcBorders>
              <w:bottom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176,260 </w:t>
            </w:r>
          </w:p>
        </w:tc>
        <w:tc>
          <w:tcPr>
            <w:tcW w:w="1180" w:type="dxa"/>
            <w:tcBorders>
              <w:bottom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color w:val="000000"/>
                <w:kern w:val="0"/>
                <w:sz w:val="24"/>
              </w:rPr>
            </w:pPr>
            <w:r>
              <w:rPr>
                <w:color w:val="000000"/>
                <w:kern w:val="0"/>
                <w:sz w:val="24"/>
              </w:rPr>
              <w:t xml:space="preserve">16.6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8787" w:type="dxa"/>
            <w:gridSpan w:val="4"/>
            <w:tcBorders>
              <w:top w:val="single" w:color="auto" w:sz="4" w:space="0"/>
              <w:left w:val="nil"/>
              <w:bottom w:val="nil"/>
              <w:right w:val="nil"/>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ascii="仿宋_GB2312" w:hAnsi="Arial" w:eastAsia="仿宋_GB2312" w:cs="Arial"/>
                <w:color w:val="000000"/>
                <w:kern w:val="0"/>
                <w:sz w:val="22"/>
                <w:szCs w:val="22"/>
              </w:rPr>
            </w:pPr>
            <w:r>
              <w:rPr>
                <w:rFonts w:hint="eastAsia" w:ascii="仿宋_GB2312" w:hAnsi="Arial" w:eastAsia="仿宋_GB2312" w:cs="Arial"/>
                <w:color w:val="000000"/>
                <w:kern w:val="0"/>
                <w:sz w:val="22"/>
                <w:szCs w:val="22"/>
              </w:rPr>
              <w:t>注：按</w:t>
            </w:r>
            <w:r>
              <w:rPr>
                <w:rFonts w:eastAsia="仿宋_GB2312"/>
                <w:color w:val="000000"/>
                <w:kern w:val="0"/>
                <w:sz w:val="22"/>
                <w:szCs w:val="22"/>
              </w:rPr>
              <w:t>2019</w:t>
            </w:r>
            <w:r>
              <w:rPr>
                <w:rFonts w:hint="eastAsia" w:ascii="仿宋_GB2312" w:hAnsi="Arial" w:eastAsia="仿宋_GB2312" w:cs="Arial"/>
                <w:color w:val="000000"/>
                <w:kern w:val="0"/>
                <w:sz w:val="22"/>
                <w:szCs w:val="22"/>
              </w:rPr>
              <w:t>年支出口径恢复</w:t>
            </w:r>
            <w:r>
              <w:rPr>
                <w:rFonts w:eastAsia="仿宋_GB2312"/>
                <w:color w:val="000000"/>
                <w:kern w:val="0"/>
                <w:sz w:val="22"/>
                <w:szCs w:val="22"/>
              </w:rPr>
              <w:t>2018</w:t>
            </w:r>
            <w:r>
              <w:rPr>
                <w:rFonts w:hint="eastAsia" w:ascii="仿宋_GB2312" w:hAnsi="Arial" w:eastAsia="仿宋_GB2312" w:cs="Arial"/>
                <w:color w:val="000000"/>
                <w:kern w:val="0"/>
                <w:sz w:val="22"/>
                <w:szCs w:val="22"/>
              </w:rPr>
              <w:t>年预算基数，</w:t>
            </w:r>
            <w:r>
              <w:rPr>
                <w:rFonts w:eastAsia="仿宋_GB2312"/>
                <w:color w:val="000000"/>
                <w:kern w:val="0"/>
                <w:sz w:val="22"/>
                <w:szCs w:val="22"/>
              </w:rPr>
              <w:t>2019</w:t>
            </w:r>
            <w:r>
              <w:rPr>
                <w:rFonts w:hint="eastAsia" w:ascii="仿宋_GB2312" w:hAnsi="Arial" w:eastAsia="仿宋_GB2312" w:cs="Arial"/>
                <w:color w:val="000000"/>
                <w:kern w:val="0"/>
                <w:sz w:val="22"/>
                <w:szCs w:val="22"/>
              </w:rPr>
              <w:t>年支出预算数包括本级一般公共预算收入和上级提前下达</w:t>
            </w:r>
            <w:r>
              <w:rPr>
                <w:rFonts w:eastAsia="仿宋_GB2312"/>
                <w:color w:val="000000"/>
                <w:kern w:val="0"/>
                <w:sz w:val="22"/>
                <w:szCs w:val="22"/>
              </w:rPr>
              <w:t>2019</w:t>
            </w:r>
            <w:r>
              <w:rPr>
                <w:rFonts w:hint="eastAsia" w:ascii="仿宋_GB2312" w:hAnsi="Arial" w:eastAsia="仿宋_GB2312" w:cs="Arial"/>
                <w:color w:val="000000"/>
                <w:kern w:val="0"/>
                <w:sz w:val="22"/>
                <w:szCs w:val="22"/>
              </w:rPr>
              <w:t>年转移支付等形成的支出。</w:t>
            </w:r>
          </w:p>
        </w:tc>
      </w:tr>
    </w:tbl>
    <w:p>
      <w:pPr>
        <w:keepNext w:val="0"/>
        <w:keepLines w:val="0"/>
        <w:pageBreakBefore w:val="0"/>
        <w:widowControl w:val="0"/>
        <w:kinsoku/>
        <w:wordWrap/>
        <w:overflowPunct/>
        <w:topLinePunct w:val="0"/>
        <w:autoSpaceDE/>
        <w:autoSpaceDN/>
        <w:bidi w:val="0"/>
        <w:adjustRightInd/>
        <w:snapToGrid/>
        <w:spacing w:line="538" w:lineRule="exact"/>
        <w:jc w:val="left"/>
        <w:textAlignment w:val="auto"/>
        <w:rPr>
          <w:rFonts w:hint="eastAsia"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表九</w:t>
      </w:r>
    </w:p>
    <w:p>
      <w:pPr>
        <w:keepNext w:val="0"/>
        <w:keepLines w:val="0"/>
        <w:pageBreakBefore w:val="0"/>
        <w:widowControl w:val="0"/>
        <w:kinsoku/>
        <w:wordWrap/>
        <w:overflowPunct/>
        <w:topLinePunct w:val="0"/>
        <w:autoSpaceDE/>
        <w:autoSpaceDN/>
        <w:bidi w:val="0"/>
        <w:adjustRightInd/>
        <w:snapToGrid/>
        <w:spacing w:line="538" w:lineRule="exact"/>
        <w:jc w:val="center"/>
        <w:textAlignment w:val="auto"/>
        <w:rPr>
          <w:rFonts w:hint="eastAsia" w:ascii="方正小标宋_GBK" w:hAnsi="方正小标宋_GBK" w:eastAsia="方正小标宋_GBK" w:cs="方正小标宋_GBK"/>
          <w:color w:val="000000"/>
          <w:kern w:val="0"/>
          <w:sz w:val="36"/>
          <w:szCs w:val="36"/>
        </w:rPr>
      </w:pPr>
      <w:r>
        <w:rPr>
          <w:rFonts w:hint="eastAsia" w:ascii="方正小标宋_GBK" w:hAnsi="方正小标宋_GBK" w:eastAsia="方正小标宋_GBK" w:cs="方正小标宋_GBK"/>
          <w:color w:val="000000"/>
          <w:kern w:val="0"/>
          <w:sz w:val="36"/>
          <w:szCs w:val="36"/>
        </w:rPr>
        <w:t>2019年德化县政府性基金预算收入计划表</w:t>
      </w:r>
    </w:p>
    <w:p>
      <w:pPr>
        <w:keepNext w:val="0"/>
        <w:keepLines w:val="0"/>
        <w:pageBreakBefore w:val="0"/>
        <w:widowControl w:val="0"/>
        <w:kinsoku/>
        <w:wordWrap/>
        <w:overflowPunct/>
        <w:topLinePunct w:val="0"/>
        <w:autoSpaceDE/>
        <w:autoSpaceDN/>
        <w:bidi w:val="0"/>
        <w:adjustRightInd/>
        <w:snapToGrid/>
        <w:spacing w:line="538" w:lineRule="exact"/>
        <w:jc w:val="right"/>
        <w:textAlignment w:val="auto"/>
        <w:rPr>
          <w:rFonts w:hint="eastAsia"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单位：万元</w:t>
      </w:r>
    </w:p>
    <w:tbl>
      <w:tblPr>
        <w:tblStyle w:val="8"/>
        <w:tblW w:w="8787" w:type="dxa"/>
        <w:jc w:val="center"/>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5"/>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7065" w:type="dxa"/>
            <w:tcBorders>
              <w:tl2br w:val="nil"/>
              <w:tr2bl w:val="nil"/>
            </w:tcBorders>
            <w:noWrap w:val="0"/>
            <w:vAlign w:val="center"/>
          </w:tcPr>
          <w:p>
            <w:pPr>
              <w:widowControl/>
              <w:jc w:val="center"/>
              <w:rPr>
                <w:rFonts w:ascii="仿宋_GB2312" w:hAnsi="Arial" w:eastAsia="仿宋_GB2312" w:cs="Arial"/>
                <w:color w:val="000000"/>
                <w:kern w:val="0"/>
                <w:sz w:val="24"/>
              </w:rPr>
            </w:pPr>
            <w:r>
              <w:rPr>
                <w:rFonts w:hint="eastAsia" w:ascii="仿宋_GB2312" w:hAnsi="Arial" w:eastAsia="仿宋_GB2312" w:cs="Arial"/>
                <w:color w:val="000000"/>
                <w:kern w:val="0"/>
                <w:sz w:val="24"/>
              </w:rPr>
              <w:t>科</w:t>
            </w:r>
            <w:r>
              <w:rPr>
                <w:rFonts w:eastAsia="仿宋_GB2312"/>
                <w:color w:val="000000"/>
                <w:kern w:val="0"/>
                <w:sz w:val="24"/>
              </w:rPr>
              <w:t xml:space="preserve">   </w:t>
            </w:r>
            <w:r>
              <w:rPr>
                <w:rFonts w:hint="eastAsia" w:ascii="仿宋_GB2312" w:hAnsi="Arial" w:eastAsia="仿宋_GB2312" w:cs="Arial"/>
                <w:color w:val="000000"/>
                <w:kern w:val="0"/>
                <w:sz w:val="24"/>
              </w:rPr>
              <w:t>目</w:t>
            </w:r>
          </w:p>
        </w:tc>
        <w:tc>
          <w:tcPr>
            <w:tcW w:w="1722" w:type="dxa"/>
            <w:tcBorders>
              <w:tl2br w:val="nil"/>
              <w:tr2bl w:val="nil"/>
            </w:tcBorders>
            <w:noWrap w:val="0"/>
            <w:vAlign w:val="center"/>
          </w:tcPr>
          <w:p>
            <w:pPr>
              <w:widowControl/>
              <w:jc w:val="center"/>
              <w:rPr>
                <w:rFonts w:hint="eastAsia" w:ascii="仿宋_GB2312" w:eastAsia="仿宋_GB2312"/>
                <w:color w:val="000000"/>
                <w:kern w:val="0"/>
                <w:sz w:val="24"/>
              </w:rPr>
            </w:pPr>
            <w:r>
              <w:rPr>
                <w:color w:val="000000"/>
                <w:kern w:val="0"/>
                <w:sz w:val="24"/>
              </w:rPr>
              <w:t>2019</w:t>
            </w:r>
            <w:r>
              <w:rPr>
                <w:rFonts w:hint="eastAsia" w:ascii="仿宋_GB2312" w:eastAsia="仿宋_GB2312"/>
                <w:color w:val="000000"/>
                <w:kern w:val="0"/>
                <w:sz w:val="24"/>
              </w:rPr>
              <w:t>年收入</w:t>
            </w:r>
          </w:p>
          <w:p>
            <w:pPr>
              <w:widowControl/>
              <w:jc w:val="center"/>
              <w:rPr>
                <w:color w:val="000000"/>
                <w:kern w:val="0"/>
                <w:sz w:val="24"/>
              </w:rPr>
            </w:pPr>
            <w:r>
              <w:rPr>
                <w:rFonts w:hint="eastAsia" w:ascii="仿宋_GB2312" w:eastAsia="仿宋_GB2312"/>
                <w:color w:val="000000"/>
                <w:kern w:val="0"/>
                <w:sz w:val="24"/>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065" w:type="dxa"/>
            <w:tcBorders>
              <w:tl2br w:val="nil"/>
              <w:tr2bl w:val="nil"/>
            </w:tcBorders>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一、城市公用事业附加收入</w:t>
            </w:r>
          </w:p>
        </w:tc>
        <w:tc>
          <w:tcPr>
            <w:tcW w:w="1722" w:type="dxa"/>
            <w:tcBorders>
              <w:tl2br w:val="nil"/>
              <w:tr2bl w:val="nil"/>
            </w:tcBorders>
            <w:noWrap w:val="0"/>
            <w:vAlign w:val="center"/>
          </w:tcPr>
          <w:p>
            <w:pPr>
              <w:widowControl/>
              <w:jc w:val="center"/>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065" w:type="dxa"/>
            <w:tcBorders>
              <w:tl2br w:val="nil"/>
              <w:tr2bl w:val="nil"/>
            </w:tcBorders>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二、国有土地收益基金收入</w:t>
            </w:r>
          </w:p>
        </w:tc>
        <w:tc>
          <w:tcPr>
            <w:tcW w:w="1722" w:type="dxa"/>
            <w:tcBorders>
              <w:tl2br w:val="nil"/>
              <w:tr2bl w:val="nil"/>
            </w:tcBorders>
            <w:noWrap w:val="0"/>
            <w:vAlign w:val="center"/>
          </w:tcPr>
          <w:p>
            <w:pPr>
              <w:widowControl/>
              <w:jc w:val="center"/>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065" w:type="dxa"/>
            <w:tcBorders>
              <w:tl2br w:val="nil"/>
              <w:tr2bl w:val="nil"/>
            </w:tcBorders>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三、农业土地开发资金收入</w:t>
            </w:r>
          </w:p>
        </w:tc>
        <w:tc>
          <w:tcPr>
            <w:tcW w:w="1722" w:type="dxa"/>
            <w:tcBorders>
              <w:tl2br w:val="nil"/>
              <w:tr2bl w:val="nil"/>
            </w:tcBorders>
            <w:noWrap w:val="0"/>
            <w:vAlign w:val="center"/>
          </w:tcPr>
          <w:p>
            <w:pPr>
              <w:widowControl/>
              <w:jc w:val="center"/>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065" w:type="dxa"/>
            <w:tcBorders>
              <w:tl2br w:val="nil"/>
              <w:tr2bl w:val="nil"/>
            </w:tcBorders>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四、国有土地使用权出让收入</w:t>
            </w:r>
          </w:p>
        </w:tc>
        <w:tc>
          <w:tcPr>
            <w:tcW w:w="1722" w:type="dxa"/>
            <w:tcBorders>
              <w:tl2br w:val="nil"/>
              <w:tr2bl w:val="nil"/>
            </w:tcBorders>
            <w:noWrap w:val="0"/>
            <w:vAlign w:val="center"/>
          </w:tcPr>
          <w:p>
            <w:pPr>
              <w:widowControl/>
              <w:jc w:val="center"/>
              <w:rPr>
                <w:color w:val="000000"/>
                <w:kern w:val="0"/>
                <w:sz w:val="24"/>
              </w:rPr>
            </w:pPr>
            <w:r>
              <w:rPr>
                <w:color w:val="000000"/>
                <w:kern w:val="0"/>
                <w:sz w:val="24"/>
              </w:rPr>
              <w:t xml:space="preserve">80,000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065" w:type="dxa"/>
            <w:tcBorders>
              <w:tl2br w:val="nil"/>
              <w:tr2bl w:val="nil"/>
            </w:tcBorders>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1.土地出让价款收入</w:t>
            </w:r>
          </w:p>
        </w:tc>
        <w:tc>
          <w:tcPr>
            <w:tcW w:w="1722" w:type="dxa"/>
            <w:tcBorders>
              <w:tl2br w:val="nil"/>
              <w:tr2bl w:val="nil"/>
            </w:tcBorders>
            <w:noWrap w:val="0"/>
            <w:vAlign w:val="center"/>
          </w:tcPr>
          <w:p>
            <w:pPr>
              <w:widowControl/>
              <w:jc w:val="center"/>
              <w:rPr>
                <w:color w:val="000000"/>
                <w:kern w:val="0"/>
                <w:sz w:val="24"/>
              </w:rPr>
            </w:pPr>
            <w:r>
              <w:rPr>
                <w:color w:val="000000"/>
                <w:kern w:val="0"/>
                <w:sz w:val="24"/>
              </w:rPr>
              <w:t xml:space="preserve">80,000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065" w:type="dxa"/>
            <w:tcBorders>
              <w:tl2br w:val="nil"/>
              <w:tr2bl w:val="nil"/>
            </w:tcBorders>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2.其他土地出让收入</w:t>
            </w:r>
          </w:p>
        </w:tc>
        <w:tc>
          <w:tcPr>
            <w:tcW w:w="1722" w:type="dxa"/>
            <w:tcBorders>
              <w:tl2br w:val="nil"/>
              <w:tr2bl w:val="nil"/>
            </w:tcBorders>
            <w:noWrap w:val="0"/>
            <w:vAlign w:val="center"/>
          </w:tcPr>
          <w:p>
            <w:pPr>
              <w:widowControl/>
              <w:jc w:val="center"/>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065" w:type="dxa"/>
            <w:tcBorders>
              <w:tl2br w:val="nil"/>
              <w:tr2bl w:val="nil"/>
            </w:tcBorders>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五、彩票公益金收入</w:t>
            </w:r>
          </w:p>
        </w:tc>
        <w:tc>
          <w:tcPr>
            <w:tcW w:w="1722" w:type="dxa"/>
            <w:tcBorders>
              <w:tl2br w:val="nil"/>
              <w:tr2bl w:val="nil"/>
            </w:tcBorders>
            <w:noWrap w:val="0"/>
            <w:vAlign w:val="center"/>
          </w:tcPr>
          <w:p>
            <w:pPr>
              <w:widowControl/>
              <w:jc w:val="center"/>
              <w:rPr>
                <w:color w:val="000000"/>
                <w:kern w:val="0"/>
                <w:sz w:val="24"/>
              </w:rPr>
            </w:pPr>
            <w:r>
              <w:rPr>
                <w:color w:val="000000"/>
                <w:kern w:val="0"/>
                <w:sz w:val="24"/>
              </w:rPr>
              <w:t xml:space="preserve">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065" w:type="dxa"/>
            <w:tcBorders>
              <w:tl2br w:val="nil"/>
              <w:tr2bl w:val="nil"/>
            </w:tcBorders>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1.</w:t>
            </w:r>
            <w:r>
              <w:rPr>
                <w:rFonts w:hint="eastAsia" w:ascii="仿宋_GB2312" w:hAnsi="仿宋_GB2312" w:eastAsia="仿宋_GB2312" w:cs="仿宋_GB2312"/>
                <w:color w:val="000000"/>
                <w:kern w:val="0"/>
                <w:sz w:val="24"/>
                <w:lang w:eastAsia="zh-CN"/>
              </w:rPr>
              <w:t>福</w:t>
            </w:r>
            <w:r>
              <w:rPr>
                <w:rFonts w:hint="eastAsia" w:ascii="仿宋_GB2312" w:hAnsi="仿宋_GB2312" w:eastAsia="仿宋_GB2312" w:cs="仿宋_GB2312"/>
                <w:color w:val="000000"/>
                <w:kern w:val="0"/>
                <w:sz w:val="24"/>
              </w:rPr>
              <w:t>利彩票公益金收入</w:t>
            </w:r>
          </w:p>
        </w:tc>
        <w:tc>
          <w:tcPr>
            <w:tcW w:w="1722" w:type="dxa"/>
            <w:tcBorders>
              <w:tl2br w:val="nil"/>
              <w:tr2bl w:val="nil"/>
            </w:tcBorders>
            <w:noWrap w:val="0"/>
            <w:vAlign w:val="center"/>
          </w:tcPr>
          <w:p>
            <w:pPr>
              <w:widowControl/>
              <w:jc w:val="center"/>
              <w:rPr>
                <w:color w:val="000000"/>
                <w:kern w:val="0"/>
                <w:sz w:val="24"/>
              </w:rPr>
            </w:pPr>
            <w:r>
              <w:rPr>
                <w:color w:val="000000"/>
                <w:kern w:val="0"/>
                <w:sz w:val="24"/>
              </w:rPr>
              <w:t xml:space="preserve">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065" w:type="dxa"/>
            <w:tcBorders>
              <w:tl2br w:val="nil"/>
              <w:tr2bl w:val="nil"/>
            </w:tcBorders>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2.体育彩票公益金收入</w:t>
            </w:r>
          </w:p>
        </w:tc>
        <w:tc>
          <w:tcPr>
            <w:tcW w:w="1722" w:type="dxa"/>
            <w:tcBorders>
              <w:tl2br w:val="nil"/>
              <w:tr2bl w:val="nil"/>
            </w:tcBorders>
            <w:noWrap w:val="0"/>
            <w:vAlign w:val="center"/>
          </w:tcPr>
          <w:p>
            <w:pPr>
              <w:widowControl/>
              <w:jc w:val="center"/>
              <w:rPr>
                <w:color w:val="000000"/>
                <w:kern w:val="0"/>
                <w:sz w:val="24"/>
              </w:rPr>
            </w:pPr>
            <w:r>
              <w:rPr>
                <w:color w:val="000000"/>
                <w:kern w:val="0"/>
                <w:sz w:val="24"/>
              </w:rPr>
              <w:t xml:space="preserve">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065" w:type="dxa"/>
            <w:tcBorders>
              <w:tl2br w:val="nil"/>
              <w:tr2bl w:val="nil"/>
            </w:tcBorders>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六、城市基础设施配套费收入</w:t>
            </w:r>
          </w:p>
        </w:tc>
        <w:tc>
          <w:tcPr>
            <w:tcW w:w="1722" w:type="dxa"/>
            <w:tcBorders>
              <w:tl2br w:val="nil"/>
              <w:tr2bl w:val="nil"/>
            </w:tcBorders>
            <w:noWrap w:val="0"/>
            <w:vAlign w:val="center"/>
          </w:tcPr>
          <w:p>
            <w:pPr>
              <w:widowControl/>
              <w:jc w:val="center"/>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065" w:type="dxa"/>
            <w:tcBorders>
              <w:tl2br w:val="nil"/>
              <w:tr2bl w:val="nil"/>
            </w:tcBorders>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七、污水处理费收入</w:t>
            </w:r>
          </w:p>
        </w:tc>
        <w:tc>
          <w:tcPr>
            <w:tcW w:w="1722" w:type="dxa"/>
            <w:tcBorders>
              <w:tl2br w:val="nil"/>
              <w:tr2bl w:val="nil"/>
            </w:tcBorders>
            <w:noWrap w:val="0"/>
            <w:vAlign w:val="center"/>
          </w:tcPr>
          <w:p>
            <w:pPr>
              <w:widowControl/>
              <w:jc w:val="center"/>
              <w:rPr>
                <w:color w:val="000000"/>
                <w:kern w:val="0"/>
                <w:sz w:val="24"/>
              </w:rPr>
            </w:pPr>
            <w:r>
              <w:rPr>
                <w:color w:val="000000"/>
                <w:kern w:val="0"/>
                <w:sz w:val="24"/>
              </w:rPr>
              <w:t xml:space="preserve">1,120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065" w:type="dxa"/>
            <w:tcBorders>
              <w:tl2br w:val="nil"/>
              <w:tr2bl w:val="nil"/>
            </w:tcBorders>
            <w:noWrap/>
            <w:vAlign w:val="center"/>
          </w:tcPr>
          <w:p>
            <w:pPr>
              <w:widowControl/>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八、其他政府性基金收入</w:t>
            </w:r>
          </w:p>
        </w:tc>
        <w:tc>
          <w:tcPr>
            <w:tcW w:w="1722" w:type="dxa"/>
            <w:tcBorders>
              <w:tl2br w:val="nil"/>
              <w:tr2bl w:val="nil"/>
            </w:tcBorders>
            <w:noWrap w:val="0"/>
            <w:vAlign w:val="center"/>
          </w:tcPr>
          <w:p>
            <w:pPr>
              <w:widowControl/>
              <w:jc w:val="center"/>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065" w:type="dxa"/>
            <w:tcBorders>
              <w:tl2br w:val="nil"/>
              <w:tr2bl w:val="nil"/>
            </w:tcBorders>
            <w:noWrap w:val="0"/>
            <w:vAlign w:val="center"/>
          </w:tcPr>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政府性基金</w:t>
            </w:r>
            <w:r>
              <w:rPr>
                <w:rFonts w:hint="eastAsia" w:ascii="仿宋_GB2312" w:hAnsi="仿宋_GB2312" w:eastAsia="仿宋_GB2312" w:cs="仿宋_GB2312"/>
                <w:color w:val="000000"/>
                <w:kern w:val="0"/>
                <w:sz w:val="24"/>
                <w:lang w:eastAsia="zh-CN"/>
              </w:rPr>
              <w:t>预算</w:t>
            </w:r>
            <w:r>
              <w:rPr>
                <w:rFonts w:hint="eastAsia" w:ascii="仿宋_GB2312" w:hAnsi="仿宋_GB2312" w:eastAsia="仿宋_GB2312" w:cs="仿宋_GB2312"/>
                <w:color w:val="000000"/>
                <w:kern w:val="0"/>
                <w:sz w:val="24"/>
              </w:rPr>
              <w:t>收入合计</w:t>
            </w:r>
          </w:p>
        </w:tc>
        <w:tc>
          <w:tcPr>
            <w:tcW w:w="1722" w:type="dxa"/>
            <w:tcBorders>
              <w:tl2br w:val="nil"/>
              <w:tr2bl w:val="nil"/>
            </w:tcBorders>
            <w:noWrap w:val="0"/>
            <w:vAlign w:val="center"/>
          </w:tcPr>
          <w:p>
            <w:pPr>
              <w:widowControl/>
              <w:jc w:val="center"/>
              <w:rPr>
                <w:color w:val="000000"/>
                <w:kern w:val="0"/>
                <w:sz w:val="24"/>
              </w:rPr>
            </w:pPr>
            <w:r>
              <w:rPr>
                <w:color w:val="000000"/>
                <w:kern w:val="0"/>
                <w:sz w:val="24"/>
              </w:rPr>
              <w:t xml:space="preserve">81,720 </w:t>
            </w:r>
          </w:p>
        </w:tc>
      </w:tr>
    </w:tbl>
    <w:p>
      <w:pPr>
        <w:keepNext w:val="0"/>
        <w:keepLines w:val="0"/>
        <w:pageBreakBefore w:val="0"/>
        <w:widowControl w:val="0"/>
        <w:kinsoku/>
        <w:wordWrap/>
        <w:overflowPunct/>
        <w:topLinePunct w:val="0"/>
        <w:autoSpaceDE/>
        <w:autoSpaceDN/>
        <w:bidi w:val="0"/>
        <w:adjustRightInd/>
        <w:snapToGrid/>
        <w:spacing w:line="538" w:lineRule="exact"/>
        <w:jc w:val="both"/>
        <w:textAlignment w:val="auto"/>
        <w:rPr>
          <w:rFonts w:hint="eastAsia" w:ascii="仿宋_GB2312" w:hAnsi="Arial" w:eastAsia="仿宋_GB2312" w:cs="Arial"/>
          <w:color w:val="000000"/>
          <w:kern w:val="0"/>
          <w:sz w:val="24"/>
          <w:szCs w:val="24"/>
        </w:rPr>
      </w:pPr>
    </w:p>
    <w:p>
      <w:pPr>
        <w:keepNext w:val="0"/>
        <w:keepLines w:val="0"/>
        <w:pageBreakBefore w:val="0"/>
        <w:widowControl w:val="0"/>
        <w:kinsoku/>
        <w:wordWrap/>
        <w:overflowPunct/>
        <w:topLinePunct w:val="0"/>
        <w:autoSpaceDE/>
        <w:autoSpaceDN/>
        <w:bidi w:val="0"/>
        <w:adjustRightInd/>
        <w:snapToGrid/>
        <w:spacing w:line="538" w:lineRule="exact"/>
        <w:jc w:val="both"/>
        <w:textAlignment w:val="auto"/>
        <w:rPr>
          <w:rFonts w:hint="eastAsia" w:ascii="仿宋_GB2312" w:hAnsi="Arial" w:eastAsia="仿宋_GB2312" w:cs="Arial"/>
          <w:color w:val="000000"/>
          <w:kern w:val="0"/>
          <w:sz w:val="24"/>
          <w:szCs w:val="24"/>
        </w:rPr>
      </w:pPr>
    </w:p>
    <w:p>
      <w:pPr>
        <w:keepNext w:val="0"/>
        <w:keepLines w:val="0"/>
        <w:pageBreakBefore w:val="0"/>
        <w:widowControl w:val="0"/>
        <w:kinsoku/>
        <w:wordWrap/>
        <w:overflowPunct/>
        <w:topLinePunct w:val="0"/>
        <w:autoSpaceDE/>
        <w:autoSpaceDN/>
        <w:bidi w:val="0"/>
        <w:adjustRightInd/>
        <w:snapToGrid/>
        <w:spacing w:line="538" w:lineRule="exact"/>
        <w:jc w:val="both"/>
        <w:textAlignment w:val="auto"/>
        <w:rPr>
          <w:rFonts w:hint="eastAsia" w:ascii="仿宋_GB2312" w:hAnsi="Arial" w:eastAsia="仿宋_GB2312" w:cs="Arial"/>
          <w:color w:val="000000"/>
          <w:kern w:val="0"/>
          <w:sz w:val="24"/>
          <w:szCs w:val="24"/>
        </w:rPr>
      </w:pPr>
    </w:p>
    <w:p>
      <w:pPr>
        <w:keepNext w:val="0"/>
        <w:keepLines w:val="0"/>
        <w:pageBreakBefore w:val="0"/>
        <w:widowControl w:val="0"/>
        <w:kinsoku/>
        <w:wordWrap/>
        <w:overflowPunct/>
        <w:topLinePunct w:val="0"/>
        <w:autoSpaceDE/>
        <w:autoSpaceDN/>
        <w:bidi w:val="0"/>
        <w:adjustRightInd/>
        <w:snapToGrid/>
        <w:spacing w:line="538" w:lineRule="exact"/>
        <w:jc w:val="both"/>
        <w:textAlignment w:val="auto"/>
        <w:rPr>
          <w:rFonts w:hint="eastAsia" w:ascii="仿宋_GB2312" w:hAnsi="Arial" w:eastAsia="仿宋_GB2312" w:cs="Arial"/>
          <w:color w:val="000000"/>
          <w:kern w:val="0"/>
          <w:sz w:val="24"/>
          <w:szCs w:val="24"/>
        </w:rPr>
      </w:pPr>
    </w:p>
    <w:p>
      <w:pPr>
        <w:keepNext w:val="0"/>
        <w:keepLines w:val="0"/>
        <w:pageBreakBefore w:val="0"/>
        <w:widowControl w:val="0"/>
        <w:kinsoku/>
        <w:wordWrap/>
        <w:overflowPunct/>
        <w:topLinePunct w:val="0"/>
        <w:autoSpaceDE/>
        <w:autoSpaceDN/>
        <w:bidi w:val="0"/>
        <w:adjustRightInd/>
        <w:snapToGrid/>
        <w:spacing w:line="538" w:lineRule="exact"/>
        <w:jc w:val="both"/>
        <w:textAlignment w:val="auto"/>
        <w:rPr>
          <w:rFonts w:hint="eastAsia" w:ascii="仿宋_GB2312" w:hAnsi="Arial" w:eastAsia="仿宋_GB2312" w:cs="Arial"/>
          <w:color w:val="000000"/>
          <w:kern w:val="0"/>
          <w:sz w:val="24"/>
          <w:szCs w:val="24"/>
        </w:rPr>
      </w:pPr>
    </w:p>
    <w:p>
      <w:pPr>
        <w:keepNext w:val="0"/>
        <w:keepLines w:val="0"/>
        <w:pageBreakBefore w:val="0"/>
        <w:widowControl w:val="0"/>
        <w:kinsoku/>
        <w:wordWrap/>
        <w:overflowPunct/>
        <w:topLinePunct w:val="0"/>
        <w:autoSpaceDE/>
        <w:autoSpaceDN/>
        <w:bidi w:val="0"/>
        <w:adjustRightInd/>
        <w:snapToGrid/>
        <w:spacing w:line="538" w:lineRule="exact"/>
        <w:jc w:val="both"/>
        <w:textAlignment w:val="auto"/>
        <w:rPr>
          <w:rFonts w:hint="eastAsia"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表十</w:t>
      </w:r>
    </w:p>
    <w:p>
      <w:pPr>
        <w:keepNext w:val="0"/>
        <w:keepLines w:val="0"/>
        <w:pageBreakBefore w:val="0"/>
        <w:widowControl w:val="0"/>
        <w:kinsoku/>
        <w:wordWrap/>
        <w:overflowPunct/>
        <w:topLinePunct w:val="0"/>
        <w:autoSpaceDE/>
        <w:autoSpaceDN/>
        <w:bidi w:val="0"/>
        <w:adjustRightInd/>
        <w:snapToGrid/>
        <w:spacing w:line="538" w:lineRule="exact"/>
        <w:jc w:val="center"/>
        <w:textAlignment w:val="auto"/>
        <w:rPr>
          <w:rFonts w:hint="eastAsia" w:ascii="方正小标宋_GBK" w:hAnsi="方正小标宋_GBK" w:eastAsia="方正小标宋_GBK" w:cs="方正小标宋_GBK"/>
          <w:color w:val="000000"/>
          <w:kern w:val="0"/>
          <w:sz w:val="36"/>
          <w:szCs w:val="36"/>
        </w:rPr>
      </w:pPr>
      <w:r>
        <w:rPr>
          <w:rFonts w:hint="eastAsia" w:ascii="方正小标宋_GBK" w:hAnsi="方正小标宋_GBK" w:eastAsia="方正小标宋_GBK" w:cs="方正小标宋_GBK"/>
          <w:color w:val="000000"/>
          <w:kern w:val="0"/>
          <w:sz w:val="36"/>
          <w:szCs w:val="36"/>
        </w:rPr>
        <w:t>2019年德化县政府性基金预算支出计划表</w:t>
      </w:r>
    </w:p>
    <w:p>
      <w:pPr>
        <w:keepNext w:val="0"/>
        <w:keepLines w:val="0"/>
        <w:pageBreakBefore w:val="0"/>
        <w:widowControl w:val="0"/>
        <w:kinsoku/>
        <w:wordWrap/>
        <w:overflowPunct/>
        <w:topLinePunct w:val="0"/>
        <w:autoSpaceDE/>
        <w:autoSpaceDN/>
        <w:bidi w:val="0"/>
        <w:adjustRightInd/>
        <w:snapToGrid/>
        <w:spacing w:line="538" w:lineRule="exact"/>
        <w:jc w:val="right"/>
        <w:textAlignment w:val="auto"/>
        <w:rPr>
          <w:rFonts w:hint="eastAsia"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单位：万元</w:t>
      </w:r>
    </w:p>
    <w:tbl>
      <w:tblPr>
        <w:tblStyle w:val="8"/>
        <w:tblW w:w="8840" w:type="dxa"/>
        <w:jc w:val="center"/>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0"/>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72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科</w:t>
            </w:r>
            <w:r>
              <w:rPr>
                <w:rFonts w:eastAsia="仿宋_GB2312"/>
                <w:color w:val="000000"/>
                <w:kern w:val="0"/>
                <w:sz w:val="24"/>
              </w:rPr>
              <w:t xml:space="preserve">   </w:t>
            </w:r>
            <w:r>
              <w:rPr>
                <w:rFonts w:hint="eastAsia" w:ascii="仿宋_GB2312" w:hAnsi="Arial" w:eastAsia="仿宋_GB2312" w:cs="Arial"/>
                <w:color w:val="000000"/>
                <w:kern w:val="0"/>
                <w:sz w:val="24"/>
              </w:rPr>
              <w:t>目</w:t>
            </w:r>
          </w:p>
        </w:tc>
        <w:tc>
          <w:tcPr>
            <w:tcW w:w="15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color w:val="000000"/>
                <w:kern w:val="0"/>
                <w:sz w:val="24"/>
              </w:rPr>
            </w:pPr>
            <w:r>
              <w:rPr>
                <w:color w:val="000000"/>
                <w:kern w:val="0"/>
                <w:sz w:val="24"/>
              </w:rPr>
              <w:t>2019</w:t>
            </w:r>
            <w:r>
              <w:rPr>
                <w:rFonts w:hint="eastAsia" w:ascii="仿宋_GB2312" w:eastAsia="仿宋_GB2312"/>
                <w:color w:val="000000"/>
                <w:kern w:val="0"/>
                <w:sz w:val="24"/>
              </w:rPr>
              <w:t>年支出预算数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72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一、城乡社区支出</w:t>
            </w:r>
          </w:p>
        </w:tc>
        <w:tc>
          <w:tcPr>
            <w:tcW w:w="15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color w:val="000000"/>
                <w:kern w:val="0"/>
                <w:sz w:val="24"/>
              </w:rPr>
            </w:pPr>
            <w:r>
              <w:rPr>
                <w:color w:val="000000"/>
                <w:kern w:val="0"/>
                <w:sz w:val="24"/>
              </w:rPr>
              <w:t xml:space="preserve">76,120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72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color w:val="000000"/>
                <w:kern w:val="0"/>
                <w:sz w:val="24"/>
              </w:rPr>
            </w:pPr>
            <w:r>
              <w:rPr>
                <w:color w:val="000000"/>
                <w:kern w:val="0"/>
                <w:sz w:val="24"/>
              </w:rPr>
              <w:t xml:space="preserve">    1.</w:t>
            </w:r>
            <w:r>
              <w:rPr>
                <w:rFonts w:hint="eastAsia" w:ascii="仿宋_GB2312" w:eastAsia="仿宋_GB2312"/>
                <w:color w:val="000000"/>
                <w:kern w:val="0"/>
                <w:sz w:val="24"/>
              </w:rPr>
              <w:t>国有土地使用权出让收入及对应专项债务收入安排的支出</w:t>
            </w:r>
          </w:p>
        </w:tc>
        <w:tc>
          <w:tcPr>
            <w:tcW w:w="15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color w:val="000000"/>
                <w:kern w:val="0"/>
                <w:sz w:val="24"/>
              </w:rPr>
            </w:pPr>
            <w:r>
              <w:rPr>
                <w:color w:val="000000"/>
                <w:kern w:val="0"/>
                <w:sz w:val="24"/>
              </w:rPr>
              <w:t xml:space="preserve">75,000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72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888" w:firstLineChars="370"/>
              <w:jc w:val="left"/>
              <w:textAlignment w:val="auto"/>
              <w:rPr>
                <w:color w:val="000000"/>
                <w:kern w:val="0"/>
                <w:sz w:val="24"/>
              </w:rPr>
            </w:pPr>
            <w:r>
              <w:rPr>
                <w:rFonts w:hint="eastAsia" w:ascii="仿宋_GB2312" w:eastAsia="仿宋_GB2312"/>
                <w:color w:val="000000"/>
                <w:kern w:val="0"/>
                <w:sz w:val="24"/>
              </w:rPr>
              <w:t>征地和拆迁补偿支出</w:t>
            </w:r>
          </w:p>
        </w:tc>
        <w:tc>
          <w:tcPr>
            <w:tcW w:w="15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color w:val="000000"/>
                <w:kern w:val="0"/>
                <w:sz w:val="24"/>
              </w:rPr>
            </w:pPr>
            <w:r>
              <w:rPr>
                <w:color w:val="000000"/>
                <w:kern w:val="0"/>
                <w:sz w:val="24"/>
              </w:rPr>
              <w:t xml:space="preserve">49,500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72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888" w:firstLineChars="370"/>
              <w:jc w:val="left"/>
              <w:textAlignment w:val="auto"/>
              <w:rPr>
                <w:color w:val="000000"/>
                <w:kern w:val="0"/>
                <w:sz w:val="24"/>
              </w:rPr>
            </w:pPr>
            <w:r>
              <w:rPr>
                <w:rFonts w:hint="eastAsia" w:ascii="仿宋_GB2312" w:eastAsia="仿宋_GB2312"/>
                <w:color w:val="000000"/>
                <w:kern w:val="0"/>
                <w:sz w:val="24"/>
              </w:rPr>
              <w:t>土地开发支出</w:t>
            </w:r>
          </w:p>
        </w:tc>
        <w:tc>
          <w:tcPr>
            <w:tcW w:w="15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color w:val="000000"/>
                <w:kern w:val="0"/>
                <w:sz w:val="24"/>
              </w:rPr>
            </w:pPr>
            <w:r>
              <w:rPr>
                <w:color w:val="000000"/>
                <w:kern w:val="0"/>
                <w:sz w:val="24"/>
              </w:rPr>
              <w:t xml:space="preserve">21,000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72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888" w:firstLineChars="370"/>
              <w:jc w:val="left"/>
              <w:textAlignment w:val="auto"/>
              <w:rPr>
                <w:color w:val="000000"/>
                <w:kern w:val="0"/>
                <w:sz w:val="24"/>
              </w:rPr>
            </w:pPr>
            <w:r>
              <w:rPr>
                <w:rFonts w:hint="eastAsia" w:ascii="仿宋_GB2312" w:eastAsia="仿宋_GB2312"/>
                <w:color w:val="000000"/>
                <w:kern w:val="0"/>
                <w:sz w:val="24"/>
              </w:rPr>
              <w:t>补助被征地农民支出</w:t>
            </w:r>
          </w:p>
        </w:tc>
        <w:tc>
          <w:tcPr>
            <w:tcW w:w="15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color w:val="000000"/>
                <w:kern w:val="0"/>
                <w:sz w:val="24"/>
              </w:rPr>
            </w:pPr>
            <w:r>
              <w:rPr>
                <w:color w:val="000000"/>
                <w:kern w:val="0"/>
                <w:sz w:val="24"/>
              </w:rPr>
              <w:t xml:space="preserve">1,000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72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888" w:firstLineChars="370"/>
              <w:jc w:val="left"/>
              <w:textAlignment w:val="auto"/>
              <w:rPr>
                <w:color w:val="000000"/>
                <w:kern w:val="0"/>
                <w:sz w:val="24"/>
              </w:rPr>
            </w:pPr>
            <w:r>
              <w:rPr>
                <w:rFonts w:hint="eastAsia" w:ascii="仿宋_GB2312" w:eastAsia="仿宋_GB2312"/>
                <w:color w:val="000000"/>
                <w:kern w:val="0"/>
                <w:sz w:val="24"/>
              </w:rPr>
              <w:t>土地出让业务支出</w:t>
            </w:r>
          </w:p>
        </w:tc>
        <w:tc>
          <w:tcPr>
            <w:tcW w:w="15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color w:val="000000"/>
                <w:kern w:val="0"/>
                <w:sz w:val="24"/>
              </w:rPr>
            </w:pPr>
            <w:r>
              <w:rPr>
                <w:color w:val="000000"/>
                <w:kern w:val="0"/>
                <w:sz w:val="24"/>
              </w:rPr>
              <w:t xml:space="preserve">1,500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72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888" w:firstLineChars="370"/>
              <w:jc w:val="left"/>
              <w:textAlignment w:val="auto"/>
              <w:rPr>
                <w:color w:val="000000"/>
                <w:kern w:val="0"/>
                <w:sz w:val="24"/>
              </w:rPr>
            </w:pPr>
            <w:r>
              <w:rPr>
                <w:rFonts w:hint="eastAsia" w:ascii="仿宋_GB2312" w:eastAsia="仿宋_GB2312"/>
                <w:color w:val="000000"/>
                <w:kern w:val="0"/>
                <w:sz w:val="24"/>
              </w:rPr>
              <w:t>棚户区改造支出</w:t>
            </w:r>
          </w:p>
        </w:tc>
        <w:tc>
          <w:tcPr>
            <w:tcW w:w="15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color w:val="000000"/>
                <w:kern w:val="0"/>
                <w:sz w:val="24"/>
              </w:rPr>
            </w:pPr>
            <w:r>
              <w:rPr>
                <w:color w:val="000000"/>
                <w:kern w:val="0"/>
                <w:sz w:val="24"/>
              </w:rPr>
              <w:t xml:space="preserve">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72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color w:val="000000"/>
                <w:kern w:val="0"/>
                <w:sz w:val="24"/>
              </w:rPr>
            </w:pPr>
            <w:r>
              <w:rPr>
                <w:color w:val="000000"/>
                <w:kern w:val="0"/>
                <w:sz w:val="24"/>
              </w:rPr>
              <w:t xml:space="preserve">    </w:t>
            </w:r>
            <w:r>
              <w:rPr>
                <w:rFonts w:hint="eastAsia"/>
                <w:color w:val="000000"/>
                <w:kern w:val="0"/>
                <w:sz w:val="24"/>
                <w:lang w:val="en-US" w:eastAsia="zh-CN"/>
              </w:rPr>
              <w:t>2</w:t>
            </w:r>
            <w:r>
              <w:rPr>
                <w:color w:val="000000"/>
                <w:kern w:val="0"/>
                <w:sz w:val="24"/>
              </w:rPr>
              <w:t>.</w:t>
            </w:r>
            <w:r>
              <w:rPr>
                <w:rFonts w:hint="eastAsia" w:ascii="仿宋_GB2312" w:eastAsia="仿宋_GB2312"/>
                <w:color w:val="000000"/>
                <w:kern w:val="0"/>
                <w:sz w:val="24"/>
              </w:rPr>
              <w:t>农业土地开发资金及对应专项债务收入安排的支出</w:t>
            </w:r>
          </w:p>
        </w:tc>
        <w:tc>
          <w:tcPr>
            <w:tcW w:w="1580" w:type="dxa"/>
            <w:tcBorders>
              <w:tl2br w:val="nil"/>
              <w:tr2bl w:val="nil"/>
            </w:tcBorders>
            <w:noWrap w:val="0"/>
            <w:vAlign w:val="bottom"/>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72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color w:val="000000"/>
                <w:kern w:val="0"/>
                <w:sz w:val="24"/>
              </w:rPr>
            </w:pPr>
            <w:r>
              <w:rPr>
                <w:color w:val="000000"/>
                <w:kern w:val="0"/>
                <w:sz w:val="24"/>
              </w:rPr>
              <w:t xml:space="preserve">    </w:t>
            </w:r>
            <w:r>
              <w:rPr>
                <w:rFonts w:hint="eastAsia"/>
                <w:color w:val="000000"/>
                <w:kern w:val="0"/>
                <w:sz w:val="24"/>
                <w:lang w:val="en-US" w:eastAsia="zh-CN"/>
              </w:rPr>
              <w:t>3</w:t>
            </w:r>
            <w:r>
              <w:rPr>
                <w:color w:val="000000"/>
                <w:kern w:val="0"/>
                <w:sz w:val="24"/>
              </w:rPr>
              <w:t>.</w:t>
            </w:r>
            <w:r>
              <w:rPr>
                <w:rFonts w:hint="eastAsia" w:ascii="仿宋_GB2312" w:eastAsia="仿宋_GB2312"/>
                <w:color w:val="000000"/>
                <w:kern w:val="0"/>
                <w:sz w:val="24"/>
              </w:rPr>
              <w:t>污水处理费及对应专项债务收入安排的支出</w:t>
            </w:r>
          </w:p>
        </w:tc>
        <w:tc>
          <w:tcPr>
            <w:tcW w:w="1580" w:type="dxa"/>
            <w:tcBorders>
              <w:tl2br w:val="nil"/>
              <w:tr2bl w:val="nil"/>
            </w:tcBorders>
            <w:noWrap w:val="0"/>
            <w:vAlign w:val="bottom"/>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color w:val="000000"/>
                <w:kern w:val="0"/>
                <w:sz w:val="24"/>
              </w:rPr>
            </w:pPr>
            <w:r>
              <w:rPr>
                <w:color w:val="000000"/>
                <w:kern w:val="0"/>
                <w:sz w:val="24"/>
              </w:rPr>
              <w:t xml:space="preserve">1,120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72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888" w:firstLineChars="370"/>
              <w:jc w:val="left"/>
              <w:textAlignment w:val="auto"/>
              <w:rPr>
                <w:color w:val="000000"/>
                <w:kern w:val="0"/>
                <w:sz w:val="24"/>
              </w:rPr>
            </w:pPr>
            <w:r>
              <w:rPr>
                <w:rFonts w:hint="eastAsia" w:ascii="仿宋_GB2312" w:eastAsia="仿宋_GB2312"/>
                <w:color w:val="000000"/>
                <w:kern w:val="0"/>
                <w:sz w:val="24"/>
              </w:rPr>
              <w:t>污水处理设施建设和运营</w:t>
            </w:r>
          </w:p>
        </w:tc>
        <w:tc>
          <w:tcPr>
            <w:tcW w:w="1580" w:type="dxa"/>
            <w:tcBorders>
              <w:tl2br w:val="nil"/>
              <w:tr2bl w:val="nil"/>
            </w:tcBorders>
            <w:noWrap w:val="0"/>
            <w:vAlign w:val="bottom"/>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color w:val="000000"/>
                <w:kern w:val="0"/>
                <w:sz w:val="24"/>
              </w:rPr>
            </w:pPr>
            <w:r>
              <w:rPr>
                <w:color w:val="000000"/>
                <w:kern w:val="0"/>
                <w:sz w:val="24"/>
              </w:rPr>
              <w:t xml:space="preserve">1,120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72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二、其他支出</w:t>
            </w:r>
          </w:p>
        </w:tc>
        <w:tc>
          <w:tcPr>
            <w:tcW w:w="1580" w:type="dxa"/>
            <w:tcBorders>
              <w:tl2br w:val="nil"/>
              <w:tr2bl w:val="nil"/>
            </w:tcBorders>
            <w:noWrap w:val="0"/>
            <w:vAlign w:val="bottom"/>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color w:val="000000"/>
                <w:kern w:val="0"/>
                <w:sz w:val="24"/>
              </w:rPr>
            </w:pPr>
            <w:r>
              <w:rPr>
                <w:color w:val="000000"/>
                <w:kern w:val="0"/>
                <w:sz w:val="24"/>
              </w:rPr>
              <w:t xml:space="preserve">961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72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color w:val="000000"/>
                <w:kern w:val="0"/>
                <w:sz w:val="24"/>
              </w:rPr>
            </w:pPr>
            <w:r>
              <w:rPr>
                <w:color w:val="000000"/>
                <w:kern w:val="0"/>
                <w:sz w:val="24"/>
              </w:rPr>
              <w:t xml:space="preserve">    1.</w:t>
            </w:r>
            <w:r>
              <w:rPr>
                <w:rFonts w:hint="eastAsia" w:ascii="仿宋_GB2312" w:eastAsia="仿宋_GB2312"/>
                <w:color w:val="000000"/>
                <w:kern w:val="0"/>
                <w:sz w:val="24"/>
              </w:rPr>
              <w:t>其他政府性基金及对应专项债务收入安排的支出</w:t>
            </w:r>
          </w:p>
        </w:tc>
        <w:tc>
          <w:tcPr>
            <w:tcW w:w="1580" w:type="dxa"/>
            <w:tcBorders>
              <w:tl2br w:val="nil"/>
              <w:tr2bl w:val="nil"/>
            </w:tcBorders>
            <w:noWrap w:val="0"/>
            <w:vAlign w:val="bottom"/>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72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color w:val="000000"/>
                <w:kern w:val="0"/>
                <w:sz w:val="24"/>
              </w:rPr>
            </w:pPr>
            <w:r>
              <w:rPr>
                <w:color w:val="000000"/>
                <w:kern w:val="0"/>
                <w:sz w:val="24"/>
              </w:rPr>
              <w:t xml:space="preserve">    2.</w:t>
            </w:r>
            <w:r>
              <w:rPr>
                <w:rFonts w:hint="eastAsia" w:ascii="仿宋_GB2312" w:eastAsia="仿宋_GB2312"/>
                <w:color w:val="000000"/>
                <w:kern w:val="0"/>
                <w:sz w:val="24"/>
              </w:rPr>
              <w:t>彩票公益金及对应专项债务收入安排的支出</w:t>
            </w:r>
          </w:p>
        </w:tc>
        <w:tc>
          <w:tcPr>
            <w:tcW w:w="1580" w:type="dxa"/>
            <w:tcBorders>
              <w:tl2br w:val="nil"/>
              <w:tr2bl w:val="nil"/>
            </w:tcBorders>
            <w:noWrap w:val="0"/>
            <w:vAlign w:val="bottom"/>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color w:val="000000"/>
                <w:kern w:val="0"/>
                <w:sz w:val="24"/>
              </w:rPr>
            </w:pPr>
            <w:r>
              <w:rPr>
                <w:color w:val="000000"/>
                <w:kern w:val="0"/>
                <w:sz w:val="24"/>
              </w:rPr>
              <w:t xml:space="preserve">961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72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888" w:firstLineChars="370"/>
              <w:jc w:val="left"/>
              <w:textAlignment w:val="auto"/>
              <w:rPr>
                <w:color w:val="000000"/>
                <w:kern w:val="0"/>
                <w:sz w:val="24"/>
              </w:rPr>
            </w:pPr>
            <w:r>
              <w:rPr>
                <w:rFonts w:hint="eastAsia" w:ascii="仿宋_GB2312" w:eastAsia="仿宋_GB2312"/>
                <w:color w:val="000000"/>
                <w:kern w:val="0"/>
                <w:sz w:val="24"/>
              </w:rPr>
              <w:t>用于社会福利的彩票公益金支出</w:t>
            </w:r>
          </w:p>
        </w:tc>
        <w:tc>
          <w:tcPr>
            <w:tcW w:w="1580" w:type="dxa"/>
            <w:tcBorders>
              <w:tl2br w:val="nil"/>
              <w:tr2bl w:val="nil"/>
            </w:tcBorders>
            <w:noWrap w:val="0"/>
            <w:vAlign w:val="bottom"/>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color w:val="000000"/>
                <w:kern w:val="0"/>
                <w:sz w:val="24"/>
              </w:rPr>
            </w:pPr>
            <w:r>
              <w:rPr>
                <w:color w:val="000000"/>
                <w:kern w:val="0"/>
                <w:sz w:val="24"/>
              </w:rPr>
              <w:t xml:space="preserve">614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72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888" w:firstLineChars="370"/>
              <w:jc w:val="left"/>
              <w:textAlignment w:val="auto"/>
              <w:rPr>
                <w:color w:val="000000"/>
                <w:kern w:val="0"/>
                <w:sz w:val="24"/>
              </w:rPr>
            </w:pPr>
            <w:r>
              <w:rPr>
                <w:rFonts w:hint="eastAsia" w:ascii="仿宋_GB2312" w:eastAsia="仿宋_GB2312"/>
                <w:color w:val="000000"/>
                <w:kern w:val="0"/>
                <w:sz w:val="24"/>
              </w:rPr>
              <w:t>用于体育事业的彩票公益金支出</w:t>
            </w:r>
          </w:p>
        </w:tc>
        <w:tc>
          <w:tcPr>
            <w:tcW w:w="1580" w:type="dxa"/>
            <w:tcBorders>
              <w:tl2br w:val="nil"/>
              <w:tr2bl w:val="nil"/>
            </w:tcBorders>
            <w:noWrap w:val="0"/>
            <w:vAlign w:val="bottom"/>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color w:val="000000"/>
                <w:kern w:val="0"/>
                <w:sz w:val="24"/>
              </w:rPr>
            </w:pPr>
            <w:r>
              <w:rPr>
                <w:color w:val="000000"/>
                <w:kern w:val="0"/>
                <w:sz w:val="24"/>
              </w:rPr>
              <w:t xml:space="preserve">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72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888" w:firstLineChars="370"/>
              <w:jc w:val="left"/>
              <w:textAlignment w:val="auto"/>
              <w:rPr>
                <w:color w:val="000000"/>
                <w:kern w:val="0"/>
                <w:sz w:val="24"/>
              </w:rPr>
            </w:pPr>
            <w:r>
              <w:rPr>
                <w:rFonts w:hint="eastAsia" w:ascii="仿宋_GB2312" w:eastAsia="仿宋_GB2312"/>
                <w:color w:val="000000"/>
                <w:kern w:val="0"/>
                <w:sz w:val="24"/>
              </w:rPr>
              <w:t>用于残疾人事业的彩票公益金支出</w:t>
            </w:r>
          </w:p>
        </w:tc>
        <w:tc>
          <w:tcPr>
            <w:tcW w:w="1580" w:type="dxa"/>
            <w:tcBorders>
              <w:tl2br w:val="nil"/>
              <w:tr2bl w:val="nil"/>
            </w:tcBorders>
            <w:noWrap w:val="0"/>
            <w:vAlign w:val="bottom"/>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color w:val="000000"/>
                <w:kern w:val="0"/>
                <w:sz w:val="24"/>
              </w:rPr>
            </w:pPr>
            <w:r>
              <w:rPr>
                <w:color w:val="000000"/>
                <w:kern w:val="0"/>
                <w:sz w:val="24"/>
              </w:rPr>
              <w:t xml:space="preserve">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7260"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三、债务还本支出</w:t>
            </w:r>
          </w:p>
        </w:tc>
        <w:tc>
          <w:tcPr>
            <w:tcW w:w="1580" w:type="dxa"/>
            <w:tcBorders>
              <w:tl2br w:val="nil"/>
              <w:tr2bl w:val="nil"/>
            </w:tcBorders>
            <w:noWrap w:val="0"/>
            <w:vAlign w:val="bottom"/>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7260"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四、债务付息支出</w:t>
            </w:r>
          </w:p>
        </w:tc>
        <w:tc>
          <w:tcPr>
            <w:tcW w:w="1580" w:type="dxa"/>
            <w:tcBorders>
              <w:tl2br w:val="nil"/>
              <w:tr2bl w:val="nil"/>
            </w:tcBorders>
            <w:noWrap w:val="0"/>
            <w:vAlign w:val="bottom"/>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color w:val="000000"/>
                <w:kern w:val="0"/>
                <w:sz w:val="24"/>
              </w:rPr>
            </w:pPr>
            <w:r>
              <w:rPr>
                <w:color w:val="000000"/>
                <w:kern w:val="0"/>
                <w:sz w:val="24"/>
              </w:rPr>
              <w:t xml:space="preserve">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7260"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color w:val="000000"/>
                <w:kern w:val="0"/>
                <w:sz w:val="24"/>
              </w:rPr>
            </w:pPr>
            <w:r>
              <w:rPr>
                <w:color w:val="000000"/>
                <w:kern w:val="0"/>
                <w:sz w:val="24"/>
              </w:rPr>
              <w:t xml:space="preserve">    1.</w:t>
            </w:r>
            <w:r>
              <w:rPr>
                <w:rFonts w:hint="eastAsia" w:ascii="仿宋_GB2312" w:eastAsia="仿宋_GB2312"/>
                <w:color w:val="000000"/>
                <w:kern w:val="0"/>
                <w:sz w:val="24"/>
              </w:rPr>
              <w:t>地方政府专项债务付息支出</w:t>
            </w:r>
          </w:p>
        </w:tc>
        <w:tc>
          <w:tcPr>
            <w:tcW w:w="1580" w:type="dxa"/>
            <w:tcBorders>
              <w:tl2br w:val="nil"/>
              <w:tr2bl w:val="nil"/>
            </w:tcBorders>
            <w:noWrap w:val="0"/>
            <w:vAlign w:val="bottom"/>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color w:val="000000"/>
                <w:kern w:val="0"/>
                <w:sz w:val="24"/>
              </w:rPr>
            </w:pPr>
            <w:r>
              <w:rPr>
                <w:color w:val="000000"/>
                <w:kern w:val="0"/>
                <w:sz w:val="24"/>
              </w:rPr>
              <w:t xml:space="preserve">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7260"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五、债务发行费用支出</w:t>
            </w:r>
          </w:p>
        </w:tc>
        <w:tc>
          <w:tcPr>
            <w:tcW w:w="1580" w:type="dxa"/>
            <w:tcBorders>
              <w:tl2br w:val="nil"/>
              <w:tr2bl w:val="nil"/>
            </w:tcBorders>
            <w:noWrap w:val="0"/>
            <w:vAlign w:val="bottom"/>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7260" w:type="dxa"/>
            <w:tcBorders>
              <w:bottom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rPr>
              <w:t>政府性基金</w:t>
            </w:r>
            <w:r>
              <w:rPr>
                <w:rFonts w:hint="eastAsia" w:ascii="仿宋_GB2312" w:hAnsi="Arial" w:eastAsia="仿宋_GB2312" w:cs="Arial"/>
                <w:color w:val="000000"/>
                <w:kern w:val="0"/>
                <w:sz w:val="24"/>
                <w:lang w:eastAsia="zh-CN"/>
              </w:rPr>
              <w:t>预算</w:t>
            </w:r>
            <w:r>
              <w:rPr>
                <w:rFonts w:hint="eastAsia" w:ascii="仿宋_GB2312" w:hAnsi="Arial" w:eastAsia="仿宋_GB2312" w:cs="Arial"/>
                <w:color w:val="000000"/>
                <w:kern w:val="0"/>
                <w:sz w:val="24"/>
              </w:rPr>
              <w:t>支出合计</w:t>
            </w:r>
          </w:p>
        </w:tc>
        <w:tc>
          <w:tcPr>
            <w:tcW w:w="1580" w:type="dxa"/>
            <w:tcBorders>
              <w:bottom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color w:val="000000"/>
                <w:kern w:val="0"/>
                <w:sz w:val="24"/>
              </w:rPr>
            </w:pPr>
            <w:r>
              <w:rPr>
                <w:color w:val="000000"/>
                <w:kern w:val="0"/>
                <w:sz w:val="24"/>
              </w:rPr>
              <w:t xml:space="preserve">82,081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8840" w:type="dxa"/>
            <w:gridSpan w:val="2"/>
            <w:tcBorders>
              <w:top w:val="single" w:color="auto" w:sz="4" w:space="0"/>
              <w:left w:val="nil"/>
              <w:bottom w:val="nil"/>
              <w:right w:val="nil"/>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420" w:firstLineChars="200"/>
              <w:jc w:val="left"/>
              <w:textAlignment w:val="auto"/>
              <w:rPr>
                <w:rFonts w:ascii="仿宋_GB2312" w:hAnsi="Arial" w:eastAsia="仿宋_GB2312" w:cs="Arial"/>
                <w:color w:val="000000"/>
                <w:kern w:val="0"/>
                <w:sz w:val="22"/>
                <w:szCs w:val="22"/>
              </w:rPr>
            </w:pPr>
            <w:r>
              <w:rPr>
                <w:rFonts w:hint="eastAsia" w:ascii="仿宋_GB2312" w:hAnsi="仿宋_GB2312" w:eastAsia="仿宋_GB2312" w:cs="仿宋_GB2312"/>
                <w:color w:val="000000"/>
                <w:kern w:val="0"/>
                <w:sz w:val="21"/>
                <w:szCs w:val="21"/>
              </w:rPr>
              <w:t>注：2019年支出预算数包括本级政府</w:t>
            </w:r>
            <w:r>
              <w:rPr>
                <w:rFonts w:hint="eastAsia" w:ascii="仿宋_GB2312" w:hAnsi="仿宋_GB2312" w:eastAsia="仿宋_GB2312" w:cs="仿宋_GB2312"/>
                <w:color w:val="000000"/>
                <w:kern w:val="0"/>
                <w:sz w:val="21"/>
                <w:szCs w:val="21"/>
                <w:lang w:eastAsia="zh-CN"/>
              </w:rPr>
              <w:t>性</w:t>
            </w:r>
            <w:r>
              <w:rPr>
                <w:rFonts w:hint="eastAsia" w:ascii="仿宋_GB2312" w:hAnsi="仿宋_GB2312" w:eastAsia="仿宋_GB2312" w:cs="仿宋_GB2312"/>
                <w:color w:val="000000"/>
                <w:kern w:val="0"/>
                <w:sz w:val="21"/>
                <w:szCs w:val="21"/>
              </w:rPr>
              <w:t>基金收入、上级提前下达2019年转移支付等形成的支出。</w:t>
            </w:r>
          </w:p>
        </w:tc>
      </w:tr>
    </w:tbl>
    <w:p>
      <w:pPr>
        <w:keepNext w:val="0"/>
        <w:keepLines w:val="0"/>
        <w:pageBreakBefore w:val="0"/>
        <w:widowControl w:val="0"/>
        <w:kinsoku/>
        <w:wordWrap/>
        <w:overflowPunct/>
        <w:topLinePunct w:val="0"/>
        <w:autoSpaceDE/>
        <w:autoSpaceDN/>
        <w:bidi w:val="0"/>
        <w:adjustRightInd/>
        <w:snapToGrid/>
        <w:spacing w:line="538" w:lineRule="exact"/>
        <w:jc w:val="both"/>
        <w:textAlignment w:val="auto"/>
        <w:rPr>
          <w:rFonts w:hint="eastAsia"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表十一</w:t>
      </w:r>
    </w:p>
    <w:p>
      <w:pPr>
        <w:keepNext w:val="0"/>
        <w:keepLines w:val="0"/>
        <w:pageBreakBefore w:val="0"/>
        <w:widowControl w:val="0"/>
        <w:kinsoku/>
        <w:wordWrap/>
        <w:overflowPunct/>
        <w:topLinePunct w:val="0"/>
        <w:autoSpaceDE/>
        <w:autoSpaceDN/>
        <w:bidi w:val="0"/>
        <w:adjustRightInd/>
        <w:snapToGrid/>
        <w:spacing w:line="538" w:lineRule="exact"/>
        <w:jc w:val="center"/>
        <w:textAlignment w:val="auto"/>
        <w:rPr>
          <w:rFonts w:hint="eastAsia" w:ascii="方正小标宋_GBK" w:hAnsi="方正小标宋_GBK" w:eastAsia="方正小标宋_GBK" w:cs="方正小标宋_GBK"/>
          <w:color w:val="000000"/>
          <w:kern w:val="0"/>
          <w:sz w:val="36"/>
          <w:szCs w:val="36"/>
        </w:rPr>
      </w:pPr>
      <w:r>
        <w:rPr>
          <w:rFonts w:hint="eastAsia" w:ascii="方正小标宋_GBK" w:hAnsi="方正小标宋_GBK" w:eastAsia="方正小标宋_GBK" w:cs="方正小标宋_GBK"/>
          <w:color w:val="000000"/>
          <w:kern w:val="0"/>
          <w:sz w:val="36"/>
          <w:szCs w:val="36"/>
        </w:rPr>
        <w:t>2019年德化县国有资本经营预算收支计划表</w:t>
      </w:r>
    </w:p>
    <w:p>
      <w:pPr>
        <w:keepNext w:val="0"/>
        <w:keepLines w:val="0"/>
        <w:pageBreakBefore w:val="0"/>
        <w:widowControl w:val="0"/>
        <w:kinsoku/>
        <w:wordWrap/>
        <w:overflowPunct/>
        <w:topLinePunct w:val="0"/>
        <w:autoSpaceDE/>
        <w:autoSpaceDN/>
        <w:bidi w:val="0"/>
        <w:adjustRightInd/>
        <w:snapToGrid/>
        <w:spacing w:line="538" w:lineRule="exact"/>
        <w:jc w:val="right"/>
        <w:textAlignment w:val="auto"/>
        <w:rPr>
          <w:rFonts w:hint="eastAsia"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单位：万元</w:t>
      </w:r>
    </w:p>
    <w:tbl>
      <w:tblPr>
        <w:tblStyle w:val="8"/>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0"/>
        <w:gridCol w:w="1234"/>
        <w:gridCol w:w="3305"/>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3270" w:type="dxa"/>
            <w:tcBorders>
              <w:tl2br w:val="nil"/>
              <w:tr2bl w:val="nil"/>
            </w:tcBorders>
            <w:noWrap w:val="0"/>
            <w:vAlign w:val="center"/>
          </w:tcPr>
          <w:p>
            <w:pPr>
              <w:widowControl/>
              <w:jc w:val="center"/>
              <w:rPr>
                <w:rFonts w:ascii="仿宋_GB2312" w:hAnsi="Arial" w:eastAsia="仿宋_GB2312" w:cs="Arial"/>
                <w:color w:val="000000"/>
                <w:kern w:val="0"/>
                <w:sz w:val="24"/>
              </w:rPr>
            </w:pPr>
            <w:r>
              <w:rPr>
                <w:rFonts w:hint="eastAsia" w:ascii="仿宋_GB2312" w:hAnsi="Arial" w:eastAsia="仿宋_GB2312" w:cs="Arial"/>
                <w:color w:val="000000"/>
                <w:kern w:val="0"/>
                <w:sz w:val="24"/>
              </w:rPr>
              <w:t>科</w:t>
            </w:r>
            <w:r>
              <w:rPr>
                <w:rFonts w:eastAsia="仿宋_GB2312"/>
                <w:color w:val="000000"/>
                <w:kern w:val="0"/>
                <w:sz w:val="24"/>
              </w:rPr>
              <w:t xml:space="preserve">   </w:t>
            </w:r>
            <w:r>
              <w:rPr>
                <w:rFonts w:hint="eastAsia" w:ascii="仿宋_GB2312" w:hAnsi="Arial" w:eastAsia="仿宋_GB2312" w:cs="Arial"/>
                <w:color w:val="000000"/>
                <w:kern w:val="0"/>
                <w:sz w:val="24"/>
              </w:rPr>
              <w:t>目</w:t>
            </w:r>
          </w:p>
        </w:tc>
        <w:tc>
          <w:tcPr>
            <w:tcW w:w="1234" w:type="dxa"/>
            <w:tcBorders>
              <w:tl2br w:val="nil"/>
              <w:tr2bl w:val="nil"/>
            </w:tcBorders>
            <w:noWrap w:val="0"/>
            <w:vAlign w:val="center"/>
          </w:tcPr>
          <w:p>
            <w:pPr>
              <w:widowControl/>
              <w:jc w:val="center"/>
              <w:rPr>
                <w:color w:val="000000"/>
                <w:kern w:val="0"/>
                <w:sz w:val="24"/>
              </w:rPr>
            </w:pPr>
            <w:r>
              <w:rPr>
                <w:color w:val="000000"/>
                <w:kern w:val="0"/>
                <w:sz w:val="24"/>
              </w:rPr>
              <w:t>2019</w:t>
            </w:r>
            <w:r>
              <w:rPr>
                <w:rFonts w:hint="eastAsia" w:ascii="仿宋_GB2312" w:eastAsia="仿宋_GB2312"/>
                <w:color w:val="000000"/>
                <w:kern w:val="0"/>
                <w:sz w:val="24"/>
              </w:rPr>
              <w:t>年收入预算数</w:t>
            </w:r>
          </w:p>
        </w:tc>
        <w:tc>
          <w:tcPr>
            <w:tcW w:w="3305" w:type="dxa"/>
            <w:tcBorders>
              <w:tl2br w:val="nil"/>
              <w:tr2bl w:val="nil"/>
            </w:tcBorders>
            <w:noWrap w:val="0"/>
            <w:vAlign w:val="center"/>
          </w:tcPr>
          <w:p>
            <w:pPr>
              <w:widowControl/>
              <w:jc w:val="center"/>
              <w:rPr>
                <w:rFonts w:ascii="仿宋_GB2312" w:hAnsi="Arial" w:eastAsia="仿宋_GB2312" w:cs="Arial"/>
                <w:color w:val="000000"/>
                <w:kern w:val="0"/>
                <w:sz w:val="24"/>
              </w:rPr>
            </w:pPr>
            <w:r>
              <w:rPr>
                <w:rFonts w:hint="eastAsia" w:ascii="仿宋_GB2312" w:hAnsi="Arial" w:eastAsia="仿宋_GB2312" w:cs="Arial"/>
                <w:color w:val="000000"/>
                <w:kern w:val="0"/>
                <w:sz w:val="24"/>
              </w:rPr>
              <w:t>科</w:t>
            </w:r>
            <w:r>
              <w:rPr>
                <w:rFonts w:eastAsia="仿宋_GB2312"/>
                <w:color w:val="000000"/>
                <w:kern w:val="0"/>
                <w:sz w:val="24"/>
              </w:rPr>
              <w:t xml:space="preserve">   </w:t>
            </w:r>
            <w:r>
              <w:rPr>
                <w:rFonts w:hint="eastAsia" w:ascii="仿宋_GB2312" w:hAnsi="Arial" w:eastAsia="仿宋_GB2312" w:cs="Arial"/>
                <w:color w:val="000000"/>
                <w:kern w:val="0"/>
                <w:sz w:val="24"/>
              </w:rPr>
              <w:t>目</w:t>
            </w:r>
          </w:p>
        </w:tc>
        <w:tc>
          <w:tcPr>
            <w:tcW w:w="1262" w:type="dxa"/>
            <w:tcBorders>
              <w:tl2br w:val="nil"/>
              <w:tr2bl w:val="nil"/>
            </w:tcBorders>
            <w:noWrap w:val="0"/>
            <w:vAlign w:val="center"/>
          </w:tcPr>
          <w:p>
            <w:pPr>
              <w:widowControl/>
              <w:jc w:val="center"/>
              <w:rPr>
                <w:color w:val="000000"/>
                <w:kern w:val="0"/>
                <w:sz w:val="24"/>
              </w:rPr>
            </w:pPr>
            <w:r>
              <w:rPr>
                <w:color w:val="000000"/>
                <w:kern w:val="0"/>
                <w:sz w:val="24"/>
              </w:rPr>
              <w:t>2019</w:t>
            </w:r>
            <w:r>
              <w:rPr>
                <w:rFonts w:hint="eastAsia" w:ascii="仿宋_GB2312" w:eastAsia="仿宋_GB2312"/>
                <w:color w:val="000000"/>
                <w:kern w:val="0"/>
                <w:sz w:val="24"/>
              </w:rPr>
              <w:t>年支出预算数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3270" w:type="dxa"/>
            <w:tcBorders>
              <w:tl2br w:val="nil"/>
              <w:tr2bl w:val="nil"/>
            </w:tcBorders>
            <w:noWrap w:val="0"/>
            <w:vAlign w:val="center"/>
          </w:tcPr>
          <w:p>
            <w:pPr>
              <w:widowControl/>
              <w:jc w:val="left"/>
              <w:rPr>
                <w:rFonts w:ascii="仿宋_GB2312" w:hAnsi="Arial" w:eastAsia="仿宋_GB2312" w:cs="Arial"/>
                <w:color w:val="000000"/>
                <w:kern w:val="0"/>
                <w:sz w:val="24"/>
              </w:rPr>
            </w:pPr>
            <w:r>
              <w:rPr>
                <w:rFonts w:hint="eastAsia" w:ascii="仿宋_GB2312" w:hAnsi="Arial" w:eastAsia="仿宋_GB2312" w:cs="Arial"/>
                <w:color w:val="000000"/>
                <w:kern w:val="0"/>
                <w:sz w:val="24"/>
              </w:rPr>
              <w:t>一、国有资本经营收入</w:t>
            </w:r>
          </w:p>
        </w:tc>
        <w:tc>
          <w:tcPr>
            <w:tcW w:w="1234" w:type="dxa"/>
            <w:tcBorders>
              <w:tl2br w:val="nil"/>
              <w:tr2bl w:val="nil"/>
            </w:tcBorders>
            <w:noWrap w:val="0"/>
            <w:vAlign w:val="center"/>
          </w:tcPr>
          <w:p>
            <w:pPr>
              <w:widowControl/>
              <w:jc w:val="center"/>
              <w:rPr>
                <w:color w:val="000000"/>
                <w:kern w:val="0"/>
                <w:sz w:val="24"/>
              </w:rPr>
            </w:pPr>
            <w:r>
              <w:rPr>
                <w:color w:val="000000"/>
                <w:kern w:val="0"/>
                <w:sz w:val="24"/>
              </w:rPr>
              <w:t>323</w:t>
            </w:r>
          </w:p>
        </w:tc>
        <w:tc>
          <w:tcPr>
            <w:tcW w:w="3305" w:type="dxa"/>
            <w:tcBorders>
              <w:tl2br w:val="nil"/>
              <w:tr2bl w:val="nil"/>
            </w:tcBorders>
            <w:noWrap w:val="0"/>
            <w:vAlign w:val="center"/>
          </w:tcPr>
          <w:p>
            <w:pPr>
              <w:widowControl/>
              <w:jc w:val="left"/>
              <w:rPr>
                <w:rFonts w:ascii="仿宋_GB2312" w:hAnsi="Arial" w:eastAsia="仿宋_GB2312" w:cs="Arial"/>
                <w:color w:val="000000"/>
                <w:kern w:val="0"/>
                <w:sz w:val="24"/>
              </w:rPr>
            </w:pPr>
            <w:r>
              <w:rPr>
                <w:rFonts w:hint="eastAsia" w:ascii="仿宋_GB2312" w:hAnsi="Arial" w:eastAsia="仿宋_GB2312" w:cs="Arial"/>
                <w:color w:val="000000"/>
                <w:kern w:val="0"/>
                <w:sz w:val="24"/>
              </w:rPr>
              <w:t>一、国有资本经营预算支出</w:t>
            </w:r>
          </w:p>
        </w:tc>
        <w:tc>
          <w:tcPr>
            <w:tcW w:w="1262" w:type="dxa"/>
            <w:tcBorders>
              <w:tl2br w:val="nil"/>
              <w:tr2bl w:val="nil"/>
            </w:tcBorders>
            <w:noWrap w:val="0"/>
            <w:vAlign w:val="center"/>
          </w:tcPr>
          <w:p>
            <w:pPr>
              <w:widowControl/>
              <w:jc w:val="center"/>
              <w:rPr>
                <w:color w:val="000000"/>
                <w:kern w:val="0"/>
                <w:sz w:val="24"/>
              </w:rPr>
            </w:pPr>
            <w:r>
              <w:rPr>
                <w:color w:val="000000"/>
                <w:kern w:val="0"/>
                <w:sz w:val="24"/>
              </w:rPr>
              <w:t>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3270" w:type="dxa"/>
            <w:tcBorders>
              <w:tl2br w:val="nil"/>
              <w:tr2bl w:val="nil"/>
            </w:tcBorders>
            <w:noWrap w:val="0"/>
            <w:vAlign w:val="center"/>
          </w:tcPr>
          <w:p>
            <w:pPr>
              <w:widowControl/>
              <w:jc w:val="left"/>
              <w:rPr>
                <w:color w:val="000000"/>
                <w:kern w:val="0"/>
                <w:sz w:val="24"/>
              </w:rPr>
            </w:pPr>
            <w:r>
              <w:rPr>
                <w:color w:val="000000"/>
                <w:kern w:val="0"/>
                <w:sz w:val="24"/>
              </w:rPr>
              <w:t xml:space="preserve">    1.</w:t>
            </w:r>
            <w:r>
              <w:rPr>
                <w:rFonts w:hint="eastAsia" w:ascii="仿宋_GB2312" w:eastAsia="仿宋_GB2312"/>
                <w:color w:val="000000"/>
                <w:kern w:val="0"/>
                <w:sz w:val="24"/>
              </w:rPr>
              <w:t>利润收入</w:t>
            </w:r>
          </w:p>
        </w:tc>
        <w:tc>
          <w:tcPr>
            <w:tcW w:w="1234" w:type="dxa"/>
            <w:tcBorders>
              <w:tl2br w:val="nil"/>
              <w:tr2bl w:val="nil"/>
            </w:tcBorders>
            <w:noWrap w:val="0"/>
            <w:vAlign w:val="center"/>
          </w:tcPr>
          <w:p>
            <w:pPr>
              <w:widowControl/>
              <w:jc w:val="center"/>
              <w:rPr>
                <w:color w:val="000000"/>
                <w:kern w:val="0"/>
                <w:sz w:val="24"/>
              </w:rPr>
            </w:pPr>
            <w:r>
              <w:rPr>
                <w:color w:val="000000"/>
                <w:kern w:val="0"/>
                <w:sz w:val="24"/>
              </w:rPr>
              <w:t>323</w:t>
            </w:r>
          </w:p>
        </w:tc>
        <w:tc>
          <w:tcPr>
            <w:tcW w:w="3305" w:type="dxa"/>
            <w:tcBorders>
              <w:tl2br w:val="nil"/>
              <w:tr2bl w:val="nil"/>
            </w:tcBorders>
            <w:noWrap w:val="0"/>
            <w:vAlign w:val="center"/>
          </w:tcPr>
          <w:p>
            <w:pPr>
              <w:widowControl/>
              <w:jc w:val="left"/>
              <w:rPr>
                <w:color w:val="000000"/>
                <w:kern w:val="0"/>
                <w:sz w:val="24"/>
              </w:rPr>
            </w:pPr>
            <w:r>
              <w:rPr>
                <w:color w:val="000000"/>
                <w:kern w:val="0"/>
                <w:sz w:val="24"/>
              </w:rPr>
              <w:t xml:space="preserve">    1.</w:t>
            </w:r>
            <w:r>
              <w:rPr>
                <w:rFonts w:hint="eastAsia" w:ascii="仿宋_GB2312" w:eastAsia="仿宋_GB2312"/>
                <w:color w:val="000000"/>
                <w:kern w:val="0"/>
                <w:sz w:val="24"/>
              </w:rPr>
              <w:t>解决历史遗留问题及改革成本支出</w:t>
            </w:r>
          </w:p>
        </w:tc>
        <w:tc>
          <w:tcPr>
            <w:tcW w:w="1262" w:type="dxa"/>
            <w:tcBorders>
              <w:tl2br w:val="nil"/>
              <w:tr2bl w:val="nil"/>
            </w:tcBorders>
            <w:noWrap w:val="0"/>
            <w:vAlign w:val="center"/>
          </w:tcPr>
          <w:p>
            <w:pPr>
              <w:widowControl/>
              <w:jc w:val="center"/>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32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ind w:firstLine="888" w:firstLineChars="370"/>
              <w:jc w:val="left"/>
              <w:textAlignment w:val="auto"/>
              <w:rPr>
                <w:color w:val="000000"/>
                <w:kern w:val="0"/>
                <w:sz w:val="24"/>
              </w:rPr>
            </w:pPr>
            <w:r>
              <w:rPr>
                <w:rFonts w:hint="eastAsia" w:ascii="仿宋_GB2312" w:eastAsia="仿宋_GB2312"/>
                <w:color w:val="000000"/>
                <w:kern w:val="0"/>
                <w:sz w:val="24"/>
              </w:rPr>
              <w:t>运输企业利润收入</w:t>
            </w:r>
          </w:p>
        </w:tc>
        <w:tc>
          <w:tcPr>
            <w:tcW w:w="1234" w:type="dxa"/>
            <w:tcBorders>
              <w:tl2br w:val="nil"/>
              <w:tr2bl w:val="nil"/>
            </w:tcBorders>
            <w:noWrap w:val="0"/>
            <w:vAlign w:val="center"/>
          </w:tcPr>
          <w:p>
            <w:pPr>
              <w:widowControl/>
              <w:jc w:val="center"/>
              <w:rPr>
                <w:color w:val="000000"/>
                <w:kern w:val="0"/>
                <w:sz w:val="24"/>
              </w:rPr>
            </w:pPr>
            <w:r>
              <w:rPr>
                <w:color w:val="000000"/>
                <w:kern w:val="0"/>
                <w:sz w:val="24"/>
              </w:rPr>
              <w:t>　</w:t>
            </w:r>
          </w:p>
        </w:tc>
        <w:tc>
          <w:tcPr>
            <w:tcW w:w="3305" w:type="dxa"/>
            <w:tcBorders>
              <w:tl2br w:val="nil"/>
              <w:tr2bl w:val="nil"/>
            </w:tcBorders>
            <w:noWrap w:val="0"/>
            <w:vAlign w:val="center"/>
          </w:tcPr>
          <w:p>
            <w:pPr>
              <w:widowControl/>
              <w:jc w:val="left"/>
              <w:rPr>
                <w:color w:val="000000"/>
                <w:kern w:val="0"/>
                <w:sz w:val="24"/>
              </w:rPr>
            </w:pPr>
            <w:r>
              <w:rPr>
                <w:color w:val="000000"/>
                <w:kern w:val="0"/>
                <w:sz w:val="24"/>
              </w:rPr>
              <w:t xml:space="preserve">    2.</w:t>
            </w:r>
            <w:r>
              <w:rPr>
                <w:rFonts w:hint="eastAsia" w:ascii="仿宋_GB2312" w:eastAsia="仿宋_GB2312"/>
                <w:color w:val="000000"/>
                <w:kern w:val="0"/>
                <w:sz w:val="24"/>
              </w:rPr>
              <w:t>国有企业资本金注入</w:t>
            </w:r>
          </w:p>
        </w:tc>
        <w:tc>
          <w:tcPr>
            <w:tcW w:w="1262" w:type="dxa"/>
            <w:tcBorders>
              <w:tl2br w:val="nil"/>
              <w:tr2bl w:val="nil"/>
            </w:tcBorders>
            <w:noWrap w:val="0"/>
            <w:vAlign w:val="center"/>
          </w:tcPr>
          <w:p>
            <w:pPr>
              <w:widowControl/>
              <w:jc w:val="center"/>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32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ind w:firstLine="806" w:firstLineChars="370"/>
              <w:jc w:val="left"/>
              <w:textAlignment w:val="auto"/>
              <w:rPr>
                <w:color w:val="000000"/>
                <w:kern w:val="0"/>
                <w:sz w:val="24"/>
              </w:rPr>
            </w:pPr>
            <w:r>
              <w:rPr>
                <w:rFonts w:hint="eastAsia" w:ascii="仿宋_GB2312" w:eastAsia="仿宋_GB2312"/>
                <w:color w:val="000000"/>
                <w:spacing w:val="-11"/>
                <w:kern w:val="0"/>
                <w:sz w:val="24"/>
              </w:rPr>
              <w:t>建筑施工企业利润收入</w:t>
            </w:r>
          </w:p>
        </w:tc>
        <w:tc>
          <w:tcPr>
            <w:tcW w:w="1234" w:type="dxa"/>
            <w:tcBorders>
              <w:tl2br w:val="nil"/>
              <w:tr2bl w:val="nil"/>
            </w:tcBorders>
            <w:noWrap w:val="0"/>
            <w:vAlign w:val="center"/>
          </w:tcPr>
          <w:p>
            <w:pPr>
              <w:widowControl/>
              <w:jc w:val="center"/>
              <w:rPr>
                <w:color w:val="000000"/>
                <w:kern w:val="0"/>
                <w:sz w:val="24"/>
              </w:rPr>
            </w:pPr>
            <w:r>
              <w:rPr>
                <w:color w:val="000000"/>
                <w:kern w:val="0"/>
                <w:sz w:val="24"/>
              </w:rPr>
              <w:t>　</w:t>
            </w:r>
          </w:p>
        </w:tc>
        <w:tc>
          <w:tcPr>
            <w:tcW w:w="3305" w:type="dxa"/>
            <w:tcBorders>
              <w:tl2br w:val="nil"/>
              <w:tr2bl w:val="nil"/>
            </w:tcBorders>
            <w:noWrap w:val="0"/>
            <w:vAlign w:val="center"/>
          </w:tcPr>
          <w:p>
            <w:pPr>
              <w:widowControl/>
              <w:jc w:val="left"/>
              <w:rPr>
                <w:color w:val="000000"/>
                <w:kern w:val="0"/>
                <w:sz w:val="24"/>
              </w:rPr>
            </w:pPr>
            <w:r>
              <w:rPr>
                <w:color w:val="000000"/>
                <w:kern w:val="0"/>
                <w:sz w:val="24"/>
              </w:rPr>
              <w:t xml:space="preserve">    3.</w:t>
            </w:r>
            <w:r>
              <w:rPr>
                <w:rFonts w:hint="eastAsia" w:ascii="仿宋_GB2312" w:eastAsia="仿宋_GB2312"/>
                <w:color w:val="000000"/>
                <w:kern w:val="0"/>
                <w:sz w:val="24"/>
              </w:rPr>
              <w:t>其他国有资本经营预算支出</w:t>
            </w:r>
          </w:p>
        </w:tc>
        <w:tc>
          <w:tcPr>
            <w:tcW w:w="1262" w:type="dxa"/>
            <w:tcBorders>
              <w:tl2br w:val="nil"/>
              <w:tr2bl w:val="nil"/>
            </w:tcBorders>
            <w:noWrap w:val="0"/>
            <w:vAlign w:val="center"/>
          </w:tcPr>
          <w:p>
            <w:pPr>
              <w:widowControl/>
              <w:jc w:val="center"/>
              <w:rPr>
                <w:color w:val="000000"/>
                <w:kern w:val="0"/>
                <w:sz w:val="24"/>
              </w:rPr>
            </w:pPr>
            <w:r>
              <w:rPr>
                <w:color w:val="000000"/>
                <w:kern w:val="0"/>
                <w:sz w:val="24"/>
              </w:rPr>
              <w:t>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32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ind w:firstLine="888" w:firstLineChars="370"/>
              <w:jc w:val="left"/>
              <w:textAlignment w:val="auto"/>
              <w:rPr>
                <w:color w:val="000000"/>
                <w:kern w:val="0"/>
                <w:sz w:val="24"/>
              </w:rPr>
            </w:pPr>
            <w:r>
              <w:rPr>
                <w:rFonts w:hint="eastAsia" w:ascii="仿宋_GB2312" w:eastAsia="仿宋_GB2312"/>
                <w:color w:val="000000"/>
                <w:kern w:val="0"/>
                <w:sz w:val="24"/>
              </w:rPr>
              <w:t>贸易企业利润收入</w:t>
            </w:r>
          </w:p>
        </w:tc>
        <w:tc>
          <w:tcPr>
            <w:tcW w:w="1234" w:type="dxa"/>
            <w:tcBorders>
              <w:tl2br w:val="nil"/>
              <w:tr2bl w:val="nil"/>
            </w:tcBorders>
            <w:noWrap w:val="0"/>
            <w:vAlign w:val="center"/>
          </w:tcPr>
          <w:p>
            <w:pPr>
              <w:widowControl/>
              <w:jc w:val="center"/>
              <w:rPr>
                <w:color w:val="000000"/>
                <w:kern w:val="0"/>
                <w:sz w:val="24"/>
              </w:rPr>
            </w:pPr>
            <w:r>
              <w:rPr>
                <w:color w:val="000000"/>
                <w:kern w:val="0"/>
                <w:sz w:val="24"/>
              </w:rPr>
              <w:t>39</w:t>
            </w:r>
          </w:p>
        </w:tc>
        <w:tc>
          <w:tcPr>
            <w:tcW w:w="3305" w:type="dxa"/>
            <w:tcBorders>
              <w:tl2br w:val="nil"/>
              <w:tr2bl w:val="nil"/>
            </w:tcBorders>
            <w:noWrap w:val="0"/>
            <w:vAlign w:val="center"/>
          </w:tcPr>
          <w:p>
            <w:pPr>
              <w:widowControl/>
              <w:jc w:val="left"/>
              <w:rPr>
                <w:rFonts w:ascii="仿宋_GB2312" w:hAnsi="Arial" w:eastAsia="仿宋_GB2312" w:cs="Arial"/>
                <w:color w:val="000000"/>
                <w:kern w:val="0"/>
                <w:sz w:val="24"/>
              </w:rPr>
            </w:pPr>
            <w:r>
              <w:rPr>
                <w:rFonts w:hint="eastAsia" w:ascii="仿宋_GB2312" w:hAnsi="Arial" w:eastAsia="仿宋_GB2312" w:cs="Arial"/>
                <w:color w:val="000000"/>
                <w:kern w:val="0"/>
                <w:sz w:val="24"/>
              </w:rPr>
              <w:t>二、转移性支出</w:t>
            </w:r>
          </w:p>
        </w:tc>
        <w:tc>
          <w:tcPr>
            <w:tcW w:w="1262" w:type="dxa"/>
            <w:tcBorders>
              <w:tl2br w:val="nil"/>
              <w:tr2bl w:val="nil"/>
            </w:tcBorders>
            <w:noWrap w:val="0"/>
            <w:vAlign w:val="center"/>
          </w:tcPr>
          <w:p>
            <w:pPr>
              <w:widowControl/>
              <w:jc w:val="center"/>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32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ind w:firstLine="888" w:firstLineChars="370"/>
              <w:jc w:val="left"/>
              <w:textAlignment w:val="auto"/>
              <w:rPr>
                <w:color w:val="000000"/>
                <w:kern w:val="0"/>
                <w:sz w:val="24"/>
              </w:rPr>
            </w:pPr>
            <w:r>
              <w:rPr>
                <w:rFonts w:hint="eastAsia" w:ascii="仿宋_GB2312" w:eastAsia="仿宋_GB2312"/>
                <w:color w:val="000000"/>
                <w:kern w:val="0"/>
                <w:sz w:val="24"/>
              </w:rPr>
              <w:t>房地产企业利润收入</w:t>
            </w:r>
          </w:p>
        </w:tc>
        <w:tc>
          <w:tcPr>
            <w:tcW w:w="1234" w:type="dxa"/>
            <w:tcBorders>
              <w:tl2br w:val="nil"/>
              <w:tr2bl w:val="nil"/>
            </w:tcBorders>
            <w:noWrap w:val="0"/>
            <w:vAlign w:val="center"/>
          </w:tcPr>
          <w:p>
            <w:pPr>
              <w:widowControl/>
              <w:jc w:val="center"/>
              <w:rPr>
                <w:color w:val="000000"/>
                <w:kern w:val="0"/>
                <w:sz w:val="24"/>
              </w:rPr>
            </w:pPr>
            <w:r>
              <w:rPr>
                <w:color w:val="000000"/>
                <w:kern w:val="0"/>
                <w:sz w:val="24"/>
              </w:rPr>
              <w:t>37</w:t>
            </w:r>
          </w:p>
        </w:tc>
        <w:tc>
          <w:tcPr>
            <w:tcW w:w="3305" w:type="dxa"/>
            <w:tcBorders>
              <w:tl2br w:val="nil"/>
              <w:tr2bl w:val="nil"/>
            </w:tcBorders>
            <w:noWrap w:val="0"/>
            <w:vAlign w:val="center"/>
          </w:tcPr>
          <w:p>
            <w:pPr>
              <w:widowControl/>
              <w:jc w:val="left"/>
              <w:rPr>
                <w:color w:val="000000"/>
                <w:kern w:val="0"/>
                <w:sz w:val="24"/>
              </w:rPr>
            </w:pPr>
            <w:r>
              <w:rPr>
                <w:color w:val="000000"/>
                <w:kern w:val="0"/>
                <w:sz w:val="24"/>
              </w:rPr>
              <w:t xml:space="preserve">    1.</w:t>
            </w:r>
            <w:r>
              <w:rPr>
                <w:rFonts w:hint="eastAsia" w:ascii="仿宋_GB2312" w:eastAsia="仿宋_GB2312"/>
                <w:color w:val="000000"/>
                <w:kern w:val="0"/>
                <w:sz w:val="24"/>
              </w:rPr>
              <w:t>调出资金</w:t>
            </w:r>
          </w:p>
        </w:tc>
        <w:tc>
          <w:tcPr>
            <w:tcW w:w="1262" w:type="dxa"/>
            <w:tcBorders>
              <w:tl2br w:val="nil"/>
              <w:tr2bl w:val="nil"/>
            </w:tcBorders>
            <w:noWrap w:val="0"/>
            <w:vAlign w:val="center"/>
          </w:tcPr>
          <w:p>
            <w:pPr>
              <w:widowControl/>
              <w:jc w:val="center"/>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32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ind w:firstLine="806" w:firstLineChars="370"/>
              <w:jc w:val="left"/>
              <w:textAlignment w:val="auto"/>
              <w:rPr>
                <w:color w:val="000000"/>
                <w:kern w:val="0"/>
                <w:sz w:val="24"/>
              </w:rPr>
            </w:pPr>
            <w:r>
              <w:rPr>
                <w:rFonts w:hint="eastAsia" w:ascii="仿宋_GB2312" w:eastAsia="仿宋_GB2312"/>
                <w:color w:val="000000"/>
                <w:spacing w:val="-11"/>
                <w:kern w:val="0"/>
                <w:sz w:val="24"/>
              </w:rPr>
              <w:t>投资服务企业利润收入</w:t>
            </w:r>
          </w:p>
        </w:tc>
        <w:tc>
          <w:tcPr>
            <w:tcW w:w="1234" w:type="dxa"/>
            <w:tcBorders>
              <w:tl2br w:val="nil"/>
              <w:tr2bl w:val="nil"/>
            </w:tcBorders>
            <w:noWrap w:val="0"/>
            <w:vAlign w:val="center"/>
          </w:tcPr>
          <w:p>
            <w:pPr>
              <w:widowControl/>
              <w:jc w:val="center"/>
              <w:rPr>
                <w:color w:val="000000"/>
                <w:kern w:val="0"/>
                <w:sz w:val="24"/>
              </w:rPr>
            </w:pPr>
            <w:r>
              <w:rPr>
                <w:color w:val="000000"/>
                <w:kern w:val="0"/>
                <w:sz w:val="24"/>
              </w:rPr>
              <w:t>　</w:t>
            </w:r>
          </w:p>
        </w:tc>
        <w:tc>
          <w:tcPr>
            <w:tcW w:w="330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ind w:firstLine="888" w:firstLineChars="370"/>
              <w:jc w:val="left"/>
              <w:textAlignment w:val="auto"/>
              <w:rPr>
                <w:rFonts w:ascii="仿宋_GB2312" w:hAnsi="Arial" w:eastAsia="仿宋_GB2312" w:cs="Arial"/>
                <w:color w:val="000000"/>
                <w:kern w:val="0"/>
                <w:sz w:val="24"/>
              </w:rPr>
            </w:pPr>
            <w:r>
              <w:rPr>
                <w:rFonts w:hint="eastAsia" w:ascii="仿宋_GB2312" w:hAnsi="Arial" w:eastAsia="仿宋_GB2312" w:cs="Arial"/>
                <w:color w:val="000000"/>
                <w:kern w:val="0"/>
                <w:sz w:val="24"/>
                <w:lang w:eastAsia="zh-CN"/>
              </w:rPr>
              <w:t>国</w:t>
            </w:r>
            <w:r>
              <w:rPr>
                <w:rFonts w:hint="eastAsia" w:ascii="仿宋_GB2312" w:hAnsi="Arial" w:eastAsia="仿宋_GB2312" w:cs="Arial"/>
                <w:color w:val="000000"/>
                <w:kern w:val="0"/>
                <w:sz w:val="24"/>
              </w:rPr>
              <w:t>有资本经营预算调出资金</w:t>
            </w:r>
          </w:p>
        </w:tc>
        <w:tc>
          <w:tcPr>
            <w:tcW w:w="1262" w:type="dxa"/>
            <w:tcBorders>
              <w:tl2br w:val="nil"/>
              <w:tr2bl w:val="nil"/>
            </w:tcBorders>
            <w:noWrap w:val="0"/>
            <w:vAlign w:val="center"/>
          </w:tcPr>
          <w:p>
            <w:pPr>
              <w:widowControl/>
              <w:jc w:val="center"/>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32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ind w:firstLine="888" w:firstLineChars="370"/>
              <w:jc w:val="left"/>
              <w:textAlignment w:val="auto"/>
              <w:rPr>
                <w:color w:val="000000"/>
                <w:kern w:val="0"/>
                <w:sz w:val="24"/>
              </w:rPr>
            </w:pPr>
            <w:r>
              <w:rPr>
                <w:rFonts w:hint="eastAsia" w:ascii="仿宋_GB2312" w:eastAsia="仿宋_GB2312"/>
                <w:color w:val="000000"/>
                <w:kern w:val="0"/>
                <w:sz w:val="24"/>
              </w:rPr>
              <w:t>其他国有资本经营预算企业利润收入</w:t>
            </w:r>
          </w:p>
        </w:tc>
        <w:tc>
          <w:tcPr>
            <w:tcW w:w="1234" w:type="dxa"/>
            <w:tcBorders>
              <w:tl2br w:val="nil"/>
              <w:tr2bl w:val="nil"/>
            </w:tcBorders>
            <w:noWrap w:val="0"/>
            <w:vAlign w:val="center"/>
          </w:tcPr>
          <w:p>
            <w:pPr>
              <w:widowControl/>
              <w:jc w:val="center"/>
              <w:rPr>
                <w:color w:val="000000"/>
                <w:kern w:val="0"/>
                <w:sz w:val="24"/>
              </w:rPr>
            </w:pPr>
            <w:r>
              <w:rPr>
                <w:color w:val="000000"/>
                <w:kern w:val="0"/>
                <w:sz w:val="24"/>
              </w:rPr>
              <w:t>247</w:t>
            </w:r>
          </w:p>
        </w:tc>
        <w:tc>
          <w:tcPr>
            <w:tcW w:w="3305" w:type="dxa"/>
            <w:tcBorders>
              <w:tl2br w:val="nil"/>
              <w:tr2bl w:val="nil"/>
            </w:tcBorders>
            <w:noWrap w:val="0"/>
            <w:vAlign w:val="center"/>
          </w:tcPr>
          <w:p>
            <w:pPr>
              <w:widowControl/>
              <w:jc w:val="left"/>
              <w:rPr>
                <w:rFonts w:ascii="仿宋_GB2312" w:hAnsi="Arial" w:eastAsia="仿宋_GB2312" w:cs="Arial"/>
                <w:color w:val="000000"/>
                <w:kern w:val="0"/>
                <w:sz w:val="24"/>
              </w:rPr>
            </w:pPr>
            <w:r>
              <w:rPr>
                <w:rFonts w:hint="eastAsia" w:ascii="仿宋_GB2312" w:hAnsi="Arial" w:eastAsia="仿宋_GB2312" w:cs="Arial"/>
                <w:color w:val="000000"/>
                <w:kern w:val="0"/>
                <w:sz w:val="24"/>
              </w:rPr>
              <w:t>　</w:t>
            </w:r>
          </w:p>
        </w:tc>
        <w:tc>
          <w:tcPr>
            <w:tcW w:w="1262" w:type="dxa"/>
            <w:tcBorders>
              <w:tl2br w:val="nil"/>
              <w:tr2bl w:val="nil"/>
            </w:tcBorders>
            <w:noWrap w:val="0"/>
            <w:vAlign w:val="bottom"/>
          </w:tcPr>
          <w:p>
            <w:pPr>
              <w:widowControl/>
              <w:jc w:val="center"/>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3270" w:type="dxa"/>
            <w:tcBorders>
              <w:tl2br w:val="nil"/>
              <w:tr2bl w:val="nil"/>
            </w:tcBorders>
            <w:noWrap w:val="0"/>
            <w:vAlign w:val="center"/>
          </w:tcPr>
          <w:p>
            <w:pPr>
              <w:widowControl/>
              <w:jc w:val="left"/>
              <w:rPr>
                <w:color w:val="000000"/>
                <w:kern w:val="0"/>
                <w:sz w:val="24"/>
              </w:rPr>
            </w:pPr>
            <w:r>
              <w:rPr>
                <w:color w:val="000000"/>
                <w:kern w:val="0"/>
                <w:sz w:val="24"/>
              </w:rPr>
              <w:t xml:space="preserve">    2.</w:t>
            </w:r>
            <w:r>
              <w:rPr>
                <w:rFonts w:hint="eastAsia" w:ascii="仿宋_GB2312" w:eastAsia="仿宋_GB2312"/>
                <w:color w:val="000000"/>
                <w:kern w:val="0"/>
                <w:sz w:val="24"/>
              </w:rPr>
              <w:t>股利、利息收入</w:t>
            </w:r>
          </w:p>
        </w:tc>
        <w:tc>
          <w:tcPr>
            <w:tcW w:w="1234" w:type="dxa"/>
            <w:tcBorders>
              <w:tl2br w:val="nil"/>
              <w:tr2bl w:val="nil"/>
            </w:tcBorders>
            <w:noWrap w:val="0"/>
            <w:vAlign w:val="center"/>
          </w:tcPr>
          <w:p>
            <w:pPr>
              <w:widowControl/>
              <w:jc w:val="center"/>
              <w:rPr>
                <w:color w:val="000000"/>
                <w:kern w:val="0"/>
                <w:sz w:val="24"/>
              </w:rPr>
            </w:pPr>
            <w:r>
              <w:rPr>
                <w:color w:val="000000"/>
                <w:kern w:val="0"/>
                <w:sz w:val="24"/>
              </w:rPr>
              <w:t>　</w:t>
            </w:r>
          </w:p>
        </w:tc>
        <w:tc>
          <w:tcPr>
            <w:tcW w:w="3305" w:type="dxa"/>
            <w:tcBorders>
              <w:tl2br w:val="nil"/>
              <w:tr2bl w:val="nil"/>
            </w:tcBorders>
            <w:noWrap w:val="0"/>
            <w:vAlign w:val="bottom"/>
          </w:tcPr>
          <w:p>
            <w:pPr>
              <w:widowControl/>
              <w:jc w:val="center"/>
              <w:rPr>
                <w:color w:val="000000"/>
                <w:kern w:val="0"/>
                <w:sz w:val="24"/>
              </w:rPr>
            </w:pPr>
            <w:r>
              <w:rPr>
                <w:color w:val="000000"/>
                <w:kern w:val="0"/>
                <w:sz w:val="24"/>
              </w:rPr>
              <w:t>　</w:t>
            </w:r>
          </w:p>
        </w:tc>
        <w:tc>
          <w:tcPr>
            <w:tcW w:w="1262" w:type="dxa"/>
            <w:tcBorders>
              <w:tl2br w:val="nil"/>
              <w:tr2bl w:val="nil"/>
            </w:tcBorders>
            <w:noWrap w:val="0"/>
            <w:vAlign w:val="bottom"/>
          </w:tcPr>
          <w:p>
            <w:pPr>
              <w:widowControl/>
              <w:jc w:val="center"/>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3270" w:type="dxa"/>
            <w:tcBorders>
              <w:tl2br w:val="nil"/>
              <w:tr2bl w:val="nil"/>
            </w:tcBorders>
            <w:noWrap w:val="0"/>
            <w:vAlign w:val="bottom"/>
          </w:tcPr>
          <w:p>
            <w:pPr>
              <w:widowControl/>
              <w:jc w:val="left"/>
              <w:rPr>
                <w:color w:val="000000"/>
                <w:kern w:val="0"/>
                <w:sz w:val="24"/>
              </w:rPr>
            </w:pPr>
            <w:r>
              <w:rPr>
                <w:color w:val="000000"/>
                <w:kern w:val="0"/>
                <w:sz w:val="24"/>
              </w:rPr>
              <w:t>　</w:t>
            </w:r>
          </w:p>
        </w:tc>
        <w:tc>
          <w:tcPr>
            <w:tcW w:w="1234" w:type="dxa"/>
            <w:tcBorders>
              <w:tl2br w:val="nil"/>
              <w:tr2bl w:val="nil"/>
            </w:tcBorders>
            <w:noWrap w:val="0"/>
            <w:vAlign w:val="bottom"/>
          </w:tcPr>
          <w:p>
            <w:pPr>
              <w:widowControl/>
              <w:jc w:val="center"/>
              <w:rPr>
                <w:color w:val="000000"/>
                <w:kern w:val="0"/>
                <w:sz w:val="24"/>
              </w:rPr>
            </w:pPr>
            <w:r>
              <w:rPr>
                <w:color w:val="000000"/>
                <w:kern w:val="0"/>
                <w:sz w:val="24"/>
              </w:rPr>
              <w:t>　</w:t>
            </w:r>
          </w:p>
        </w:tc>
        <w:tc>
          <w:tcPr>
            <w:tcW w:w="3305" w:type="dxa"/>
            <w:tcBorders>
              <w:tl2br w:val="nil"/>
              <w:tr2bl w:val="nil"/>
            </w:tcBorders>
            <w:noWrap w:val="0"/>
            <w:vAlign w:val="center"/>
          </w:tcPr>
          <w:p>
            <w:pPr>
              <w:widowControl/>
              <w:jc w:val="center"/>
              <w:rPr>
                <w:color w:val="000000"/>
                <w:kern w:val="0"/>
                <w:sz w:val="24"/>
              </w:rPr>
            </w:pPr>
            <w:r>
              <w:rPr>
                <w:color w:val="000000"/>
                <w:kern w:val="0"/>
                <w:sz w:val="24"/>
              </w:rPr>
              <w:t>　</w:t>
            </w:r>
          </w:p>
        </w:tc>
        <w:tc>
          <w:tcPr>
            <w:tcW w:w="1262" w:type="dxa"/>
            <w:tcBorders>
              <w:tl2br w:val="nil"/>
              <w:tr2bl w:val="nil"/>
            </w:tcBorders>
            <w:noWrap w:val="0"/>
            <w:vAlign w:val="center"/>
          </w:tcPr>
          <w:p>
            <w:pPr>
              <w:widowControl/>
              <w:jc w:val="center"/>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3270" w:type="dxa"/>
            <w:tcBorders>
              <w:tl2br w:val="nil"/>
              <w:tr2bl w:val="nil"/>
            </w:tcBorders>
            <w:noWrap w:val="0"/>
            <w:vAlign w:val="center"/>
          </w:tcPr>
          <w:p>
            <w:pPr>
              <w:widowControl/>
              <w:jc w:val="left"/>
              <w:rPr>
                <w:color w:val="000000"/>
                <w:kern w:val="0"/>
                <w:sz w:val="24"/>
              </w:rPr>
            </w:pPr>
            <w:r>
              <w:rPr>
                <w:color w:val="000000"/>
                <w:kern w:val="0"/>
                <w:sz w:val="24"/>
              </w:rPr>
              <w:t>　</w:t>
            </w:r>
          </w:p>
        </w:tc>
        <w:tc>
          <w:tcPr>
            <w:tcW w:w="1234" w:type="dxa"/>
            <w:tcBorders>
              <w:tl2br w:val="nil"/>
              <w:tr2bl w:val="nil"/>
            </w:tcBorders>
            <w:noWrap w:val="0"/>
            <w:vAlign w:val="center"/>
          </w:tcPr>
          <w:p>
            <w:pPr>
              <w:widowControl/>
              <w:jc w:val="center"/>
              <w:rPr>
                <w:color w:val="000000"/>
                <w:kern w:val="0"/>
                <w:sz w:val="24"/>
              </w:rPr>
            </w:pPr>
            <w:r>
              <w:rPr>
                <w:color w:val="000000"/>
                <w:kern w:val="0"/>
                <w:sz w:val="24"/>
              </w:rPr>
              <w:t>　</w:t>
            </w:r>
          </w:p>
        </w:tc>
        <w:tc>
          <w:tcPr>
            <w:tcW w:w="3305" w:type="dxa"/>
            <w:tcBorders>
              <w:tl2br w:val="nil"/>
              <w:tr2bl w:val="nil"/>
            </w:tcBorders>
            <w:noWrap w:val="0"/>
            <w:vAlign w:val="center"/>
          </w:tcPr>
          <w:p>
            <w:pPr>
              <w:widowControl/>
              <w:jc w:val="center"/>
              <w:rPr>
                <w:color w:val="000000"/>
                <w:kern w:val="0"/>
                <w:sz w:val="24"/>
              </w:rPr>
            </w:pPr>
            <w:r>
              <w:rPr>
                <w:color w:val="000000"/>
                <w:kern w:val="0"/>
                <w:sz w:val="24"/>
              </w:rPr>
              <w:t>　</w:t>
            </w:r>
          </w:p>
        </w:tc>
        <w:tc>
          <w:tcPr>
            <w:tcW w:w="1262" w:type="dxa"/>
            <w:tcBorders>
              <w:tl2br w:val="nil"/>
              <w:tr2bl w:val="nil"/>
            </w:tcBorders>
            <w:noWrap w:val="0"/>
            <w:vAlign w:val="center"/>
          </w:tcPr>
          <w:p>
            <w:pPr>
              <w:widowControl/>
              <w:jc w:val="center"/>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3270" w:type="dxa"/>
            <w:tcBorders>
              <w:tl2br w:val="nil"/>
              <w:tr2bl w:val="nil"/>
            </w:tcBorders>
            <w:noWrap w:val="0"/>
            <w:vAlign w:val="center"/>
          </w:tcPr>
          <w:p>
            <w:pPr>
              <w:widowControl/>
              <w:jc w:val="center"/>
              <w:rPr>
                <w:rFonts w:ascii="仿宋_GB2312" w:hAnsi="Arial" w:eastAsia="仿宋_GB2312" w:cs="Arial"/>
                <w:color w:val="000000"/>
                <w:kern w:val="0"/>
                <w:sz w:val="24"/>
              </w:rPr>
            </w:pPr>
            <w:r>
              <w:rPr>
                <w:rFonts w:hint="eastAsia" w:ascii="仿宋_GB2312" w:hAnsi="Arial" w:eastAsia="仿宋_GB2312" w:cs="Arial"/>
                <w:color w:val="000000"/>
                <w:kern w:val="0"/>
                <w:sz w:val="24"/>
              </w:rPr>
              <w:t>国有资本经营</w:t>
            </w:r>
            <w:r>
              <w:rPr>
                <w:rFonts w:hint="eastAsia" w:ascii="仿宋_GB2312" w:hAnsi="Arial" w:eastAsia="仿宋_GB2312" w:cs="Arial"/>
                <w:color w:val="000000"/>
                <w:kern w:val="0"/>
                <w:sz w:val="24"/>
                <w:lang w:eastAsia="zh-CN"/>
              </w:rPr>
              <w:t>预算</w:t>
            </w:r>
            <w:r>
              <w:rPr>
                <w:rFonts w:hint="eastAsia" w:ascii="仿宋_GB2312" w:hAnsi="Arial" w:eastAsia="仿宋_GB2312" w:cs="Arial"/>
                <w:color w:val="000000"/>
                <w:kern w:val="0"/>
                <w:sz w:val="24"/>
              </w:rPr>
              <w:t>收入合计</w:t>
            </w:r>
          </w:p>
        </w:tc>
        <w:tc>
          <w:tcPr>
            <w:tcW w:w="1234" w:type="dxa"/>
            <w:tcBorders>
              <w:tl2br w:val="nil"/>
              <w:tr2bl w:val="nil"/>
            </w:tcBorders>
            <w:noWrap w:val="0"/>
            <w:vAlign w:val="center"/>
          </w:tcPr>
          <w:p>
            <w:pPr>
              <w:widowControl/>
              <w:jc w:val="center"/>
              <w:rPr>
                <w:color w:val="000000"/>
                <w:kern w:val="0"/>
                <w:sz w:val="24"/>
              </w:rPr>
            </w:pPr>
            <w:r>
              <w:rPr>
                <w:color w:val="000000"/>
                <w:kern w:val="0"/>
                <w:sz w:val="24"/>
              </w:rPr>
              <w:t>323</w:t>
            </w:r>
          </w:p>
        </w:tc>
        <w:tc>
          <w:tcPr>
            <w:tcW w:w="3305" w:type="dxa"/>
            <w:tcBorders>
              <w:tl2br w:val="nil"/>
              <w:tr2bl w:val="nil"/>
            </w:tcBorders>
            <w:noWrap w:val="0"/>
            <w:vAlign w:val="center"/>
          </w:tcPr>
          <w:p>
            <w:pPr>
              <w:widowControl/>
              <w:jc w:val="center"/>
              <w:rPr>
                <w:rFonts w:hint="eastAsia" w:ascii="仿宋_GB2312" w:hAnsi="Arial" w:eastAsia="仿宋_GB2312" w:cs="Arial"/>
                <w:color w:val="000000"/>
                <w:kern w:val="0"/>
                <w:sz w:val="24"/>
                <w:lang w:eastAsia="zh-CN"/>
              </w:rPr>
            </w:pPr>
            <w:r>
              <w:rPr>
                <w:rFonts w:hint="eastAsia" w:ascii="仿宋_GB2312" w:hAnsi="Arial" w:eastAsia="仿宋_GB2312" w:cs="Arial"/>
                <w:color w:val="000000"/>
                <w:kern w:val="0"/>
                <w:sz w:val="24"/>
              </w:rPr>
              <w:t>国有资本经营预算支出合计</w:t>
            </w:r>
          </w:p>
        </w:tc>
        <w:tc>
          <w:tcPr>
            <w:tcW w:w="1262" w:type="dxa"/>
            <w:tcBorders>
              <w:tl2br w:val="nil"/>
              <w:tr2bl w:val="nil"/>
            </w:tcBorders>
            <w:noWrap w:val="0"/>
            <w:vAlign w:val="center"/>
          </w:tcPr>
          <w:p>
            <w:pPr>
              <w:widowControl/>
              <w:jc w:val="center"/>
              <w:rPr>
                <w:color w:val="000000"/>
                <w:kern w:val="0"/>
                <w:sz w:val="24"/>
              </w:rPr>
            </w:pPr>
            <w:r>
              <w:rPr>
                <w:color w:val="000000"/>
                <w:kern w:val="0"/>
                <w:sz w:val="24"/>
              </w:rPr>
              <w:t>323</w:t>
            </w:r>
          </w:p>
        </w:tc>
      </w:tr>
    </w:tbl>
    <w:p>
      <w:pPr>
        <w:keepNext w:val="0"/>
        <w:keepLines w:val="0"/>
        <w:pageBreakBefore w:val="0"/>
        <w:widowControl w:val="0"/>
        <w:kinsoku/>
        <w:wordWrap/>
        <w:overflowPunct/>
        <w:topLinePunct w:val="0"/>
        <w:autoSpaceDE/>
        <w:autoSpaceDN/>
        <w:bidi w:val="0"/>
        <w:adjustRightInd/>
        <w:snapToGrid/>
        <w:spacing w:line="538" w:lineRule="exact"/>
        <w:jc w:val="both"/>
        <w:textAlignment w:val="auto"/>
        <w:rPr>
          <w:rFonts w:hint="eastAsia" w:ascii="仿宋_GB2312" w:hAnsi="Arial" w:eastAsia="仿宋_GB2312" w:cs="Arial"/>
          <w:color w:val="000000"/>
          <w:kern w:val="0"/>
          <w:sz w:val="24"/>
          <w:szCs w:val="24"/>
        </w:rPr>
      </w:pPr>
    </w:p>
    <w:p>
      <w:pPr>
        <w:keepNext w:val="0"/>
        <w:keepLines w:val="0"/>
        <w:pageBreakBefore w:val="0"/>
        <w:widowControl w:val="0"/>
        <w:kinsoku/>
        <w:wordWrap/>
        <w:overflowPunct/>
        <w:topLinePunct w:val="0"/>
        <w:autoSpaceDE/>
        <w:autoSpaceDN/>
        <w:bidi w:val="0"/>
        <w:adjustRightInd/>
        <w:snapToGrid/>
        <w:spacing w:line="538" w:lineRule="exact"/>
        <w:jc w:val="both"/>
        <w:textAlignment w:val="auto"/>
        <w:rPr>
          <w:rFonts w:hint="eastAsia" w:ascii="仿宋_GB2312" w:hAnsi="Arial" w:eastAsia="仿宋_GB2312" w:cs="Arial"/>
          <w:color w:val="000000"/>
          <w:kern w:val="0"/>
          <w:sz w:val="24"/>
          <w:szCs w:val="24"/>
        </w:rPr>
      </w:pPr>
    </w:p>
    <w:p>
      <w:pPr>
        <w:keepNext w:val="0"/>
        <w:keepLines w:val="0"/>
        <w:pageBreakBefore w:val="0"/>
        <w:widowControl w:val="0"/>
        <w:kinsoku/>
        <w:wordWrap/>
        <w:overflowPunct/>
        <w:topLinePunct w:val="0"/>
        <w:autoSpaceDE/>
        <w:autoSpaceDN/>
        <w:bidi w:val="0"/>
        <w:adjustRightInd/>
        <w:snapToGrid/>
        <w:spacing w:line="538" w:lineRule="exact"/>
        <w:jc w:val="both"/>
        <w:textAlignment w:val="auto"/>
        <w:rPr>
          <w:rFonts w:hint="eastAsia" w:ascii="仿宋_GB2312" w:hAnsi="Arial" w:eastAsia="仿宋_GB2312" w:cs="Arial"/>
          <w:color w:val="000000"/>
          <w:kern w:val="0"/>
          <w:sz w:val="24"/>
          <w:szCs w:val="24"/>
        </w:rPr>
      </w:pPr>
    </w:p>
    <w:p>
      <w:pPr>
        <w:keepNext w:val="0"/>
        <w:keepLines w:val="0"/>
        <w:pageBreakBefore w:val="0"/>
        <w:widowControl w:val="0"/>
        <w:kinsoku/>
        <w:wordWrap/>
        <w:overflowPunct/>
        <w:topLinePunct w:val="0"/>
        <w:autoSpaceDE/>
        <w:autoSpaceDN/>
        <w:bidi w:val="0"/>
        <w:adjustRightInd/>
        <w:snapToGrid/>
        <w:spacing w:line="538" w:lineRule="exact"/>
        <w:jc w:val="both"/>
        <w:textAlignment w:val="auto"/>
        <w:rPr>
          <w:rFonts w:hint="eastAsia" w:ascii="仿宋_GB2312" w:hAnsi="Arial" w:eastAsia="仿宋_GB2312" w:cs="Arial"/>
          <w:color w:val="000000"/>
          <w:kern w:val="0"/>
          <w:sz w:val="24"/>
          <w:szCs w:val="24"/>
        </w:rPr>
      </w:pPr>
    </w:p>
    <w:p>
      <w:pPr>
        <w:keepNext w:val="0"/>
        <w:keepLines w:val="0"/>
        <w:pageBreakBefore w:val="0"/>
        <w:widowControl w:val="0"/>
        <w:kinsoku/>
        <w:wordWrap/>
        <w:overflowPunct/>
        <w:topLinePunct w:val="0"/>
        <w:autoSpaceDE/>
        <w:autoSpaceDN/>
        <w:bidi w:val="0"/>
        <w:adjustRightInd/>
        <w:snapToGrid/>
        <w:spacing w:line="538" w:lineRule="exact"/>
        <w:jc w:val="both"/>
        <w:textAlignment w:val="auto"/>
        <w:rPr>
          <w:rFonts w:hint="eastAsia" w:ascii="仿宋_GB2312" w:hAnsi="Arial" w:eastAsia="仿宋_GB2312" w:cs="Arial"/>
          <w:color w:val="000000"/>
          <w:kern w:val="0"/>
          <w:sz w:val="24"/>
          <w:szCs w:val="24"/>
        </w:rPr>
      </w:pPr>
    </w:p>
    <w:p>
      <w:pPr>
        <w:keepNext w:val="0"/>
        <w:keepLines w:val="0"/>
        <w:pageBreakBefore w:val="0"/>
        <w:widowControl w:val="0"/>
        <w:kinsoku/>
        <w:wordWrap/>
        <w:overflowPunct/>
        <w:topLinePunct w:val="0"/>
        <w:autoSpaceDE/>
        <w:autoSpaceDN/>
        <w:bidi w:val="0"/>
        <w:adjustRightInd/>
        <w:snapToGrid/>
        <w:spacing w:line="538" w:lineRule="exact"/>
        <w:jc w:val="both"/>
        <w:textAlignment w:val="auto"/>
        <w:rPr>
          <w:rFonts w:hint="eastAsia"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表十二</w:t>
      </w:r>
    </w:p>
    <w:p>
      <w:pPr>
        <w:keepNext w:val="0"/>
        <w:keepLines w:val="0"/>
        <w:pageBreakBefore w:val="0"/>
        <w:widowControl w:val="0"/>
        <w:kinsoku/>
        <w:wordWrap/>
        <w:overflowPunct/>
        <w:topLinePunct w:val="0"/>
        <w:autoSpaceDE/>
        <w:autoSpaceDN/>
        <w:bidi w:val="0"/>
        <w:adjustRightInd/>
        <w:snapToGrid/>
        <w:spacing w:line="538" w:lineRule="exact"/>
        <w:jc w:val="center"/>
        <w:textAlignment w:val="auto"/>
        <w:rPr>
          <w:rFonts w:hint="eastAsia" w:ascii="方正小标宋_GBK" w:hAnsi="方正小标宋_GBK" w:eastAsia="方正小标宋_GBK" w:cs="方正小标宋_GBK"/>
          <w:color w:val="000000"/>
          <w:kern w:val="0"/>
          <w:sz w:val="36"/>
          <w:szCs w:val="36"/>
        </w:rPr>
      </w:pPr>
      <w:r>
        <w:rPr>
          <w:rFonts w:hint="eastAsia" w:ascii="方正小标宋_GBK" w:hAnsi="方正小标宋_GBK" w:eastAsia="方正小标宋_GBK" w:cs="方正小标宋_GBK"/>
          <w:color w:val="000000"/>
          <w:kern w:val="0"/>
          <w:sz w:val="36"/>
          <w:szCs w:val="36"/>
        </w:rPr>
        <w:t>2019年德化县社会保险基金预算收支计划表</w:t>
      </w:r>
    </w:p>
    <w:p>
      <w:pPr>
        <w:keepNext w:val="0"/>
        <w:keepLines w:val="0"/>
        <w:pageBreakBefore w:val="0"/>
        <w:widowControl w:val="0"/>
        <w:kinsoku/>
        <w:wordWrap/>
        <w:overflowPunct/>
        <w:topLinePunct w:val="0"/>
        <w:autoSpaceDE/>
        <w:autoSpaceDN/>
        <w:bidi w:val="0"/>
        <w:adjustRightInd/>
        <w:snapToGrid/>
        <w:spacing w:line="538" w:lineRule="exact"/>
        <w:jc w:val="right"/>
        <w:textAlignment w:val="auto"/>
        <w:rPr>
          <w:rFonts w:hint="eastAsia"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单位：万元</w:t>
      </w:r>
    </w:p>
    <w:tbl>
      <w:tblPr>
        <w:tblStyle w:val="8"/>
        <w:tblW w:w="9241" w:type="dxa"/>
        <w:jc w:val="center"/>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1"/>
        <w:gridCol w:w="1023"/>
        <w:gridCol w:w="3562"/>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3561" w:type="dxa"/>
            <w:tcBorders>
              <w:tl2br w:val="nil"/>
              <w:tr2bl w:val="nil"/>
            </w:tcBorders>
            <w:noWrap w:val="0"/>
            <w:vAlign w:val="center"/>
          </w:tcPr>
          <w:p>
            <w:pPr>
              <w:widowControl/>
              <w:jc w:val="center"/>
              <w:rPr>
                <w:rFonts w:ascii="仿宋_GB2312" w:hAnsi="Arial" w:eastAsia="仿宋_GB2312" w:cs="Arial"/>
                <w:color w:val="000000"/>
                <w:kern w:val="0"/>
                <w:sz w:val="24"/>
              </w:rPr>
            </w:pPr>
            <w:r>
              <w:rPr>
                <w:rFonts w:hint="eastAsia" w:ascii="仿宋_GB2312" w:hAnsi="Arial" w:eastAsia="仿宋_GB2312" w:cs="Arial"/>
                <w:color w:val="000000"/>
                <w:kern w:val="0"/>
                <w:sz w:val="24"/>
              </w:rPr>
              <w:t>科</w:t>
            </w:r>
            <w:r>
              <w:rPr>
                <w:rFonts w:eastAsia="仿宋_GB2312"/>
                <w:color w:val="000000"/>
                <w:kern w:val="0"/>
                <w:sz w:val="24"/>
              </w:rPr>
              <w:t xml:space="preserve">   </w:t>
            </w:r>
            <w:r>
              <w:rPr>
                <w:rFonts w:hint="eastAsia" w:ascii="仿宋_GB2312" w:hAnsi="Arial" w:eastAsia="仿宋_GB2312" w:cs="Arial"/>
                <w:color w:val="000000"/>
                <w:kern w:val="0"/>
                <w:sz w:val="24"/>
              </w:rPr>
              <w:t>目</w:t>
            </w:r>
          </w:p>
        </w:tc>
        <w:tc>
          <w:tcPr>
            <w:tcW w:w="1023" w:type="dxa"/>
            <w:tcBorders>
              <w:tl2br w:val="nil"/>
              <w:tr2bl w:val="nil"/>
            </w:tcBorders>
            <w:noWrap w:val="0"/>
            <w:vAlign w:val="center"/>
          </w:tcPr>
          <w:p>
            <w:pPr>
              <w:widowControl/>
              <w:jc w:val="center"/>
              <w:rPr>
                <w:rFonts w:hint="eastAsia" w:ascii="仿宋_GB2312" w:eastAsia="仿宋_GB2312"/>
                <w:color w:val="000000"/>
                <w:kern w:val="0"/>
                <w:sz w:val="24"/>
              </w:rPr>
            </w:pPr>
            <w:r>
              <w:rPr>
                <w:color w:val="000000"/>
                <w:kern w:val="0"/>
                <w:sz w:val="24"/>
              </w:rPr>
              <w:t>2019</w:t>
            </w:r>
            <w:r>
              <w:rPr>
                <w:rFonts w:hint="eastAsia" w:ascii="仿宋_GB2312" w:eastAsia="仿宋_GB2312"/>
                <w:color w:val="000000"/>
                <w:kern w:val="0"/>
                <w:sz w:val="24"/>
              </w:rPr>
              <w:t>年收入预</w:t>
            </w:r>
          </w:p>
          <w:p>
            <w:pPr>
              <w:widowControl/>
              <w:jc w:val="center"/>
              <w:rPr>
                <w:color w:val="000000"/>
                <w:kern w:val="0"/>
                <w:sz w:val="24"/>
              </w:rPr>
            </w:pPr>
            <w:r>
              <w:rPr>
                <w:rFonts w:hint="eastAsia" w:ascii="仿宋_GB2312" w:eastAsia="仿宋_GB2312"/>
                <w:color w:val="000000"/>
                <w:kern w:val="0"/>
                <w:sz w:val="24"/>
              </w:rPr>
              <w:t>算数</w:t>
            </w:r>
          </w:p>
        </w:tc>
        <w:tc>
          <w:tcPr>
            <w:tcW w:w="3562" w:type="dxa"/>
            <w:tcBorders>
              <w:tl2br w:val="nil"/>
              <w:tr2bl w:val="nil"/>
            </w:tcBorders>
            <w:noWrap w:val="0"/>
            <w:vAlign w:val="center"/>
          </w:tcPr>
          <w:p>
            <w:pPr>
              <w:widowControl/>
              <w:jc w:val="center"/>
              <w:rPr>
                <w:rFonts w:ascii="仿宋_GB2312" w:hAnsi="Arial" w:eastAsia="仿宋_GB2312" w:cs="Arial"/>
                <w:color w:val="000000"/>
                <w:kern w:val="0"/>
                <w:sz w:val="24"/>
              </w:rPr>
            </w:pPr>
            <w:r>
              <w:rPr>
                <w:rFonts w:hint="eastAsia" w:ascii="仿宋_GB2312" w:hAnsi="Arial" w:eastAsia="仿宋_GB2312" w:cs="Arial"/>
                <w:color w:val="000000"/>
                <w:kern w:val="0"/>
                <w:sz w:val="24"/>
              </w:rPr>
              <w:t>科</w:t>
            </w:r>
            <w:r>
              <w:rPr>
                <w:rFonts w:eastAsia="仿宋_GB2312"/>
                <w:color w:val="000000"/>
                <w:kern w:val="0"/>
                <w:sz w:val="24"/>
              </w:rPr>
              <w:t xml:space="preserve">   </w:t>
            </w:r>
            <w:r>
              <w:rPr>
                <w:rFonts w:hint="eastAsia" w:ascii="仿宋_GB2312" w:hAnsi="Arial" w:eastAsia="仿宋_GB2312" w:cs="Arial"/>
                <w:color w:val="000000"/>
                <w:kern w:val="0"/>
                <w:sz w:val="24"/>
              </w:rPr>
              <w:t>目</w:t>
            </w:r>
          </w:p>
        </w:tc>
        <w:tc>
          <w:tcPr>
            <w:tcW w:w="1095" w:type="dxa"/>
            <w:tcBorders>
              <w:tl2br w:val="nil"/>
              <w:tr2bl w:val="nil"/>
            </w:tcBorders>
            <w:noWrap w:val="0"/>
            <w:vAlign w:val="center"/>
          </w:tcPr>
          <w:p>
            <w:pPr>
              <w:widowControl/>
              <w:jc w:val="center"/>
              <w:rPr>
                <w:rFonts w:hint="eastAsia" w:ascii="仿宋_GB2312" w:eastAsia="仿宋_GB2312"/>
                <w:color w:val="000000"/>
                <w:kern w:val="0"/>
                <w:sz w:val="24"/>
              </w:rPr>
            </w:pPr>
            <w:r>
              <w:rPr>
                <w:color w:val="000000"/>
                <w:kern w:val="0"/>
                <w:sz w:val="24"/>
              </w:rPr>
              <w:t>2019</w:t>
            </w:r>
            <w:r>
              <w:rPr>
                <w:rFonts w:hint="eastAsia" w:ascii="仿宋_GB2312" w:eastAsia="仿宋_GB2312"/>
                <w:color w:val="000000"/>
                <w:kern w:val="0"/>
                <w:sz w:val="24"/>
              </w:rPr>
              <w:t>年</w:t>
            </w:r>
          </w:p>
          <w:p>
            <w:pPr>
              <w:widowControl/>
              <w:jc w:val="center"/>
              <w:rPr>
                <w:rFonts w:hint="eastAsia" w:ascii="仿宋_GB2312" w:eastAsia="仿宋_GB2312"/>
                <w:color w:val="000000"/>
                <w:kern w:val="0"/>
                <w:sz w:val="24"/>
              </w:rPr>
            </w:pPr>
            <w:r>
              <w:rPr>
                <w:rFonts w:hint="eastAsia" w:ascii="仿宋_GB2312" w:eastAsia="仿宋_GB2312"/>
                <w:color w:val="000000"/>
                <w:kern w:val="0"/>
                <w:sz w:val="24"/>
              </w:rPr>
              <w:t>支出预</w:t>
            </w:r>
          </w:p>
          <w:p>
            <w:pPr>
              <w:widowControl/>
              <w:jc w:val="center"/>
              <w:rPr>
                <w:color w:val="000000"/>
                <w:kern w:val="0"/>
                <w:sz w:val="24"/>
              </w:rPr>
            </w:pPr>
            <w:r>
              <w:rPr>
                <w:rFonts w:hint="eastAsia" w:ascii="仿宋_GB2312" w:eastAsia="仿宋_GB2312"/>
                <w:color w:val="000000"/>
                <w:kern w:val="0"/>
                <w:sz w:val="24"/>
              </w:rPr>
              <w:t>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3561" w:type="dxa"/>
            <w:tcBorders>
              <w:tl2br w:val="nil"/>
              <w:tr2bl w:val="nil"/>
            </w:tcBorders>
            <w:noWrap w:val="0"/>
            <w:vAlign w:val="center"/>
          </w:tcPr>
          <w:p>
            <w:pPr>
              <w:widowControl/>
              <w:jc w:val="left"/>
              <w:rPr>
                <w:rFonts w:ascii="仿宋_GB2312" w:hAnsi="Arial" w:eastAsia="仿宋_GB2312" w:cs="Arial"/>
                <w:color w:val="000000"/>
                <w:kern w:val="0"/>
                <w:sz w:val="24"/>
              </w:rPr>
            </w:pPr>
            <w:r>
              <w:rPr>
                <w:rFonts w:hint="eastAsia" w:ascii="仿宋_GB2312" w:hAnsi="Arial" w:eastAsia="仿宋_GB2312" w:cs="Arial"/>
                <w:color w:val="000000"/>
                <w:kern w:val="0"/>
                <w:sz w:val="24"/>
              </w:rPr>
              <w:t>一、城乡居民基本养老保险基金收入</w:t>
            </w:r>
          </w:p>
        </w:tc>
        <w:tc>
          <w:tcPr>
            <w:tcW w:w="1023" w:type="dxa"/>
            <w:tcBorders>
              <w:tl2br w:val="nil"/>
              <w:tr2bl w:val="nil"/>
            </w:tcBorders>
            <w:noWrap w:val="0"/>
            <w:vAlign w:val="center"/>
          </w:tcPr>
          <w:p>
            <w:pPr>
              <w:widowControl/>
              <w:jc w:val="center"/>
              <w:rPr>
                <w:color w:val="000000"/>
                <w:kern w:val="0"/>
                <w:sz w:val="24"/>
              </w:rPr>
            </w:pPr>
            <w:r>
              <w:rPr>
                <w:color w:val="000000"/>
                <w:kern w:val="0"/>
                <w:sz w:val="24"/>
              </w:rPr>
              <w:t xml:space="preserve">8,843 </w:t>
            </w:r>
          </w:p>
        </w:tc>
        <w:tc>
          <w:tcPr>
            <w:tcW w:w="3562" w:type="dxa"/>
            <w:tcBorders>
              <w:tl2br w:val="nil"/>
              <w:tr2bl w:val="nil"/>
            </w:tcBorders>
            <w:noWrap w:val="0"/>
            <w:vAlign w:val="center"/>
          </w:tcPr>
          <w:p>
            <w:pPr>
              <w:widowControl/>
              <w:jc w:val="left"/>
              <w:rPr>
                <w:rFonts w:ascii="仿宋_GB2312" w:hAnsi="Arial" w:eastAsia="仿宋_GB2312" w:cs="Arial"/>
                <w:color w:val="000000"/>
                <w:kern w:val="0"/>
                <w:sz w:val="24"/>
              </w:rPr>
            </w:pPr>
            <w:r>
              <w:rPr>
                <w:rFonts w:hint="eastAsia" w:ascii="仿宋_GB2312" w:hAnsi="Arial" w:eastAsia="仿宋_GB2312" w:cs="Arial"/>
                <w:color w:val="000000"/>
                <w:kern w:val="0"/>
                <w:sz w:val="24"/>
              </w:rPr>
              <w:t>一、城乡居民基本养老保险基金支出</w:t>
            </w:r>
          </w:p>
        </w:tc>
        <w:tc>
          <w:tcPr>
            <w:tcW w:w="1095" w:type="dxa"/>
            <w:tcBorders>
              <w:tl2br w:val="nil"/>
              <w:tr2bl w:val="nil"/>
            </w:tcBorders>
            <w:noWrap w:val="0"/>
            <w:vAlign w:val="center"/>
          </w:tcPr>
          <w:p>
            <w:pPr>
              <w:widowControl/>
              <w:jc w:val="center"/>
              <w:rPr>
                <w:color w:val="000000"/>
                <w:kern w:val="0"/>
                <w:sz w:val="24"/>
              </w:rPr>
            </w:pPr>
            <w:r>
              <w:rPr>
                <w:color w:val="000000"/>
                <w:kern w:val="0"/>
                <w:sz w:val="24"/>
              </w:rPr>
              <w:t>6087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3561" w:type="dxa"/>
            <w:tcBorders>
              <w:tl2br w:val="nil"/>
              <w:tr2bl w:val="nil"/>
            </w:tcBorders>
            <w:noWrap w:val="0"/>
            <w:vAlign w:val="center"/>
          </w:tcPr>
          <w:p>
            <w:pPr>
              <w:widowControl/>
              <w:jc w:val="left"/>
              <w:rPr>
                <w:color w:val="000000"/>
                <w:kern w:val="0"/>
                <w:sz w:val="24"/>
              </w:rPr>
            </w:pPr>
            <w:r>
              <w:rPr>
                <w:color w:val="000000"/>
                <w:kern w:val="0"/>
                <w:sz w:val="24"/>
              </w:rPr>
              <w:t xml:space="preserve">    1.</w:t>
            </w:r>
            <w:r>
              <w:rPr>
                <w:rFonts w:hint="eastAsia" w:ascii="仿宋_GB2312" w:eastAsia="仿宋_GB2312"/>
                <w:color w:val="000000"/>
                <w:kern w:val="0"/>
                <w:sz w:val="24"/>
              </w:rPr>
              <w:t>城乡居民基本养老保险基金缴费收入</w:t>
            </w:r>
          </w:p>
        </w:tc>
        <w:tc>
          <w:tcPr>
            <w:tcW w:w="1023" w:type="dxa"/>
            <w:tcBorders>
              <w:tl2br w:val="nil"/>
              <w:tr2bl w:val="nil"/>
            </w:tcBorders>
            <w:noWrap w:val="0"/>
            <w:vAlign w:val="center"/>
          </w:tcPr>
          <w:p>
            <w:pPr>
              <w:widowControl/>
              <w:jc w:val="center"/>
              <w:rPr>
                <w:color w:val="000000"/>
                <w:kern w:val="0"/>
                <w:sz w:val="24"/>
              </w:rPr>
            </w:pPr>
            <w:r>
              <w:rPr>
                <w:color w:val="000000"/>
                <w:kern w:val="0"/>
                <w:sz w:val="24"/>
              </w:rPr>
              <w:t xml:space="preserve">2,320 </w:t>
            </w:r>
          </w:p>
        </w:tc>
        <w:tc>
          <w:tcPr>
            <w:tcW w:w="3562" w:type="dxa"/>
            <w:tcBorders>
              <w:tl2br w:val="nil"/>
              <w:tr2bl w:val="nil"/>
            </w:tcBorders>
            <w:noWrap w:val="0"/>
            <w:vAlign w:val="center"/>
          </w:tcPr>
          <w:p>
            <w:pPr>
              <w:widowControl/>
              <w:jc w:val="left"/>
              <w:rPr>
                <w:color w:val="000000"/>
                <w:kern w:val="0"/>
                <w:sz w:val="24"/>
              </w:rPr>
            </w:pPr>
            <w:r>
              <w:rPr>
                <w:color w:val="000000"/>
                <w:kern w:val="0"/>
                <w:sz w:val="24"/>
              </w:rPr>
              <w:t xml:space="preserve">    1.</w:t>
            </w:r>
            <w:r>
              <w:rPr>
                <w:rFonts w:hint="eastAsia" w:ascii="仿宋_GB2312" w:eastAsia="仿宋_GB2312"/>
                <w:color w:val="000000"/>
                <w:kern w:val="0"/>
                <w:sz w:val="24"/>
              </w:rPr>
              <w:t>基础养老金支出</w:t>
            </w:r>
          </w:p>
        </w:tc>
        <w:tc>
          <w:tcPr>
            <w:tcW w:w="1095" w:type="dxa"/>
            <w:tcBorders>
              <w:tl2br w:val="nil"/>
              <w:tr2bl w:val="nil"/>
            </w:tcBorders>
            <w:noWrap w:val="0"/>
            <w:vAlign w:val="center"/>
          </w:tcPr>
          <w:p>
            <w:pPr>
              <w:widowControl/>
              <w:jc w:val="center"/>
              <w:rPr>
                <w:color w:val="000000"/>
                <w:kern w:val="0"/>
                <w:sz w:val="24"/>
              </w:rPr>
            </w:pPr>
            <w:r>
              <w:rPr>
                <w:color w:val="000000"/>
                <w:kern w:val="0"/>
                <w:sz w:val="24"/>
              </w:rPr>
              <w:t>5626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3561" w:type="dxa"/>
            <w:tcBorders>
              <w:tl2br w:val="nil"/>
              <w:tr2bl w:val="nil"/>
            </w:tcBorders>
            <w:noWrap w:val="0"/>
            <w:vAlign w:val="center"/>
          </w:tcPr>
          <w:p>
            <w:pPr>
              <w:widowControl/>
              <w:jc w:val="left"/>
              <w:rPr>
                <w:color w:val="000000"/>
                <w:kern w:val="0"/>
                <w:sz w:val="24"/>
              </w:rPr>
            </w:pPr>
            <w:r>
              <w:rPr>
                <w:color w:val="000000"/>
                <w:kern w:val="0"/>
                <w:sz w:val="24"/>
              </w:rPr>
              <w:t xml:space="preserve">    2.</w:t>
            </w:r>
            <w:r>
              <w:rPr>
                <w:rFonts w:hint="eastAsia" w:ascii="仿宋_GB2312" w:eastAsia="仿宋_GB2312"/>
                <w:color w:val="000000"/>
                <w:kern w:val="0"/>
                <w:sz w:val="24"/>
              </w:rPr>
              <w:t>城乡居民基本养老保险基金财政补贴收入</w:t>
            </w:r>
          </w:p>
        </w:tc>
        <w:tc>
          <w:tcPr>
            <w:tcW w:w="1023" w:type="dxa"/>
            <w:tcBorders>
              <w:tl2br w:val="nil"/>
              <w:tr2bl w:val="nil"/>
            </w:tcBorders>
            <w:noWrap w:val="0"/>
            <w:vAlign w:val="center"/>
          </w:tcPr>
          <w:p>
            <w:pPr>
              <w:widowControl/>
              <w:jc w:val="center"/>
              <w:rPr>
                <w:color w:val="000000"/>
                <w:kern w:val="0"/>
                <w:sz w:val="24"/>
              </w:rPr>
            </w:pPr>
            <w:r>
              <w:rPr>
                <w:color w:val="000000"/>
                <w:kern w:val="0"/>
                <w:sz w:val="24"/>
              </w:rPr>
              <w:t xml:space="preserve">6,337 </w:t>
            </w:r>
          </w:p>
        </w:tc>
        <w:tc>
          <w:tcPr>
            <w:tcW w:w="3562" w:type="dxa"/>
            <w:tcBorders>
              <w:tl2br w:val="nil"/>
              <w:tr2bl w:val="nil"/>
            </w:tcBorders>
            <w:noWrap w:val="0"/>
            <w:vAlign w:val="center"/>
          </w:tcPr>
          <w:p>
            <w:pPr>
              <w:widowControl/>
              <w:jc w:val="left"/>
              <w:rPr>
                <w:color w:val="000000"/>
                <w:kern w:val="0"/>
                <w:sz w:val="24"/>
              </w:rPr>
            </w:pPr>
            <w:r>
              <w:rPr>
                <w:color w:val="000000"/>
                <w:kern w:val="0"/>
                <w:sz w:val="24"/>
              </w:rPr>
              <w:t xml:space="preserve">    2.</w:t>
            </w:r>
            <w:r>
              <w:rPr>
                <w:rFonts w:hint="eastAsia" w:ascii="仿宋_GB2312" w:eastAsia="仿宋_GB2312"/>
                <w:color w:val="000000"/>
                <w:kern w:val="0"/>
                <w:sz w:val="24"/>
              </w:rPr>
              <w:t>个人账户养老金支出</w:t>
            </w:r>
          </w:p>
        </w:tc>
        <w:tc>
          <w:tcPr>
            <w:tcW w:w="1095" w:type="dxa"/>
            <w:tcBorders>
              <w:tl2br w:val="nil"/>
              <w:tr2bl w:val="nil"/>
            </w:tcBorders>
            <w:noWrap w:val="0"/>
            <w:vAlign w:val="center"/>
          </w:tcPr>
          <w:p>
            <w:pPr>
              <w:widowControl/>
              <w:jc w:val="center"/>
              <w:rPr>
                <w:color w:val="000000"/>
                <w:kern w:val="0"/>
                <w:sz w:val="24"/>
              </w:rPr>
            </w:pPr>
            <w:r>
              <w:rPr>
                <w:color w:val="000000"/>
                <w:kern w:val="0"/>
                <w:sz w:val="24"/>
              </w:rPr>
              <w:t>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3561" w:type="dxa"/>
            <w:tcBorders>
              <w:tl2br w:val="nil"/>
              <w:tr2bl w:val="nil"/>
            </w:tcBorders>
            <w:noWrap w:val="0"/>
            <w:vAlign w:val="center"/>
          </w:tcPr>
          <w:p>
            <w:pPr>
              <w:widowControl/>
              <w:jc w:val="left"/>
              <w:rPr>
                <w:color w:val="000000"/>
                <w:kern w:val="0"/>
                <w:sz w:val="24"/>
              </w:rPr>
            </w:pPr>
            <w:r>
              <w:rPr>
                <w:color w:val="000000"/>
                <w:kern w:val="0"/>
                <w:sz w:val="24"/>
              </w:rPr>
              <w:t xml:space="preserve">    3.</w:t>
            </w:r>
            <w:r>
              <w:rPr>
                <w:rFonts w:hint="eastAsia" w:ascii="仿宋_GB2312" w:eastAsia="仿宋_GB2312"/>
                <w:color w:val="000000"/>
                <w:kern w:val="0"/>
                <w:sz w:val="24"/>
              </w:rPr>
              <w:t>城乡居民基本养老保险基金利息收入</w:t>
            </w:r>
          </w:p>
        </w:tc>
        <w:tc>
          <w:tcPr>
            <w:tcW w:w="1023" w:type="dxa"/>
            <w:tcBorders>
              <w:tl2br w:val="nil"/>
              <w:tr2bl w:val="nil"/>
            </w:tcBorders>
            <w:noWrap w:val="0"/>
            <w:vAlign w:val="center"/>
          </w:tcPr>
          <w:p>
            <w:pPr>
              <w:widowControl/>
              <w:jc w:val="center"/>
              <w:rPr>
                <w:color w:val="000000"/>
                <w:kern w:val="0"/>
                <w:sz w:val="24"/>
              </w:rPr>
            </w:pPr>
            <w:r>
              <w:rPr>
                <w:color w:val="000000"/>
                <w:kern w:val="0"/>
                <w:sz w:val="24"/>
              </w:rPr>
              <w:t xml:space="preserve">176 </w:t>
            </w:r>
          </w:p>
        </w:tc>
        <w:tc>
          <w:tcPr>
            <w:tcW w:w="3562" w:type="dxa"/>
            <w:tcBorders>
              <w:tl2br w:val="nil"/>
              <w:tr2bl w:val="nil"/>
            </w:tcBorders>
            <w:noWrap w:val="0"/>
            <w:vAlign w:val="center"/>
          </w:tcPr>
          <w:p>
            <w:pPr>
              <w:widowControl/>
              <w:jc w:val="left"/>
              <w:rPr>
                <w:color w:val="000000"/>
                <w:kern w:val="0"/>
                <w:sz w:val="24"/>
              </w:rPr>
            </w:pPr>
            <w:r>
              <w:rPr>
                <w:color w:val="000000"/>
                <w:kern w:val="0"/>
                <w:sz w:val="24"/>
              </w:rPr>
              <w:t xml:space="preserve">    3.</w:t>
            </w:r>
            <w:r>
              <w:rPr>
                <w:rFonts w:hint="eastAsia" w:ascii="仿宋_GB2312" w:eastAsia="仿宋_GB2312"/>
                <w:color w:val="000000"/>
                <w:kern w:val="0"/>
                <w:sz w:val="24"/>
              </w:rPr>
              <w:t>丧葬抚恤补助支出</w:t>
            </w:r>
          </w:p>
        </w:tc>
        <w:tc>
          <w:tcPr>
            <w:tcW w:w="1095" w:type="dxa"/>
            <w:tcBorders>
              <w:tl2br w:val="nil"/>
              <w:tr2bl w:val="nil"/>
            </w:tcBorders>
            <w:noWrap w:val="0"/>
            <w:vAlign w:val="center"/>
          </w:tcPr>
          <w:p>
            <w:pPr>
              <w:widowControl/>
              <w:jc w:val="center"/>
              <w:rPr>
                <w:color w:val="000000"/>
                <w:kern w:val="0"/>
                <w:sz w:val="24"/>
              </w:rPr>
            </w:pPr>
            <w:r>
              <w:rPr>
                <w:color w:val="000000"/>
                <w:kern w:val="0"/>
                <w:sz w:val="24"/>
              </w:rPr>
              <w:t>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3561" w:type="dxa"/>
            <w:tcBorders>
              <w:tl2br w:val="nil"/>
              <w:tr2bl w:val="nil"/>
            </w:tcBorders>
            <w:noWrap w:val="0"/>
            <w:vAlign w:val="center"/>
          </w:tcPr>
          <w:p>
            <w:pPr>
              <w:widowControl/>
              <w:jc w:val="left"/>
              <w:rPr>
                <w:color w:val="000000"/>
                <w:kern w:val="0"/>
                <w:sz w:val="24"/>
              </w:rPr>
            </w:pPr>
            <w:r>
              <w:rPr>
                <w:color w:val="000000"/>
                <w:kern w:val="0"/>
                <w:sz w:val="24"/>
              </w:rPr>
              <w:t xml:space="preserve">    4.</w:t>
            </w:r>
            <w:r>
              <w:rPr>
                <w:rFonts w:hint="eastAsia" w:ascii="仿宋_GB2312" w:eastAsia="仿宋_GB2312"/>
                <w:color w:val="000000"/>
                <w:kern w:val="0"/>
                <w:sz w:val="24"/>
              </w:rPr>
              <w:t>其他城乡居民基本养老保险基金收入</w:t>
            </w:r>
          </w:p>
        </w:tc>
        <w:tc>
          <w:tcPr>
            <w:tcW w:w="1023" w:type="dxa"/>
            <w:tcBorders>
              <w:tl2br w:val="nil"/>
              <w:tr2bl w:val="nil"/>
            </w:tcBorders>
            <w:noWrap w:val="0"/>
            <w:vAlign w:val="center"/>
          </w:tcPr>
          <w:p>
            <w:pPr>
              <w:widowControl/>
              <w:jc w:val="center"/>
              <w:rPr>
                <w:color w:val="000000"/>
                <w:kern w:val="0"/>
                <w:sz w:val="24"/>
              </w:rPr>
            </w:pPr>
            <w:r>
              <w:rPr>
                <w:color w:val="000000"/>
                <w:kern w:val="0"/>
                <w:sz w:val="24"/>
              </w:rPr>
              <w:t xml:space="preserve">10 </w:t>
            </w:r>
          </w:p>
        </w:tc>
        <w:tc>
          <w:tcPr>
            <w:tcW w:w="3562" w:type="dxa"/>
            <w:tcBorders>
              <w:tl2br w:val="nil"/>
              <w:tr2bl w:val="nil"/>
            </w:tcBorders>
            <w:noWrap w:val="0"/>
            <w:vAlign w:val="center"/>
          </w:tcPr>
          <w:p>
            <w:pPr>
              <w:widowControl/>
              <w:jc w:val="left"/>
              <w:rPr>
                <w:color w:val="000000"/>
                <w:kern w:val="0"/>
                <w:sz w:val="24"/>
              </w:rPr>
            </w:pPr>
            <w:r>
              <w:rPr>
                <w:color w:val="000000"/>
                <w:kern w:val="0"/>
                <w:sz w:val="24"/>
              </w:rPr>
              <w:t xml:space="preserve">    4.</w:t>
            </w:r>
            <w:r>
              <w:rPr>
                <w:rFonts w:hint="eastAsia" w:ascii="仿宋_GB2312" w:eastAsia="仿宋_GB2312"/>
                <w:color w:val="000000"/>
                <w:kern w:val="0"/>
                <w:sz w:val="24"/>
              </w:rPr>
              <w:t>其他城乡居民基本养老保险基金支出</w:t>
            </w:r>
          </w:p>
        </w:tc>
        <w:tc>
          <w:tcPr>
            <w:tcW w:w="1095" w:type="dxa"/>
            <w:tcBorders>
              <w:tl2br w:val="nil"/>
              <w:tr2bl w:val="nil"/>
            </w:tcBorders>
            <w:noWrap w:val="0"/>
            <w:vAlign w:val="center"/>
          </w:tcPr>
          <w:p>
            <w:pPr>
              <w:widowControl/>
              <w:jc w:val="center"/>
              <w:rPr>
                <w:color w:val="000000"/>
                <w:kern w:val="0"/>
                <w:sz w:val="24"/>
              </w:rPr>
            </w:pPr>
            <w:r>
              <w:rPr>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3561" w:type="dxa"/>
            <w:tcBorders>
              <w:tl2br w:val="nil"/>
              <w:tr2bl w:val="nil"/>
            </w:tcBorders>
            <w:noWrap w:val="0"/>
            <w:vAlign w:val="center"/>
          </w:tcPr>
          <w:p>
            <w:pPr>
              <w:widowControl/>
              <w:jc w:val="left"/>
              <w:rPr>
                <w:rFonts w:ascii="仿宋_GB2312" w:hAnsi="Arial" w:eastAsia="仿宋_GB2312" w:cs="Arial"/>
                <w:color w:val="000000"/>
                <w:kern w:val="0"/>
                <w:sz w:val="24"/>
              </w:rPr>
            </w:pPr>
            <w:r>
              <w:rPr>
                <w:rFonts w:hint="eastAsia" w:ascii="仿宋_GB2312" w:hAnsi="Arial" w:eastAsia="仿宋_GB2312" w:cs="Arial"/>
                <w:color w:val="000000"/>
                <w:kern w:val="0"/>
                <w:sz w:val="24"/>
              </w:rPr>
              <w:t>二、机关事业单位基本养老保险基金收入</w:t>
            </w:r>
          </w:p>
        </w:tc>
        <w:tc>
          <w:tcPr>
            <w:tcW w:w="1023" w:type="dxa"/>
            <w:tcBorders>
              <w:tl2br w:val="nil"/>
              <w:tr2bl w:val="nil"/>
            </w:tcBorders>
            <w:noWrap w:val="0"/>
            <w:vAlign w:val="center"/>
          </w:tcPr>
          <w:p>
            <w:pPr>
              <w:widowControl/>
              <w:jc w:val="center"/>
              <w:rPr>
                <w:color w:val="000000"/>
                <w:kern w:val="0"/>
                <w:sz w:val="24"/>
              </w:rPr>
            </w:pPr>
            <w:r>
              <w:rPr>
                <w:color w:val="000000"/>
                <w:kern w:val="0"/>
                <w:sz w:val="24"/>
              </w:rPr>
              <w:t xml:space="preserve">12,794 </w:t>
            </w:r>
          </w:p>
        </w:tc>
        <w:tc>
          <w:tcPr>
            <w:tcW w:w="3562" w:type="dxa"/>
            <w:tcBorders>
              <w:tl2br w:val="nil"/>
              <w:tr2bl w:val="nil"/>
            </w:tcBorders>
            <w:noWrap w:val="0"/>
            <w:vAlign w:val="center"/>
          </w:tcPr>
          <w:p>
            <w:pPr>
              <w:widowControl/>
              <w:jc w:val="left"/>
              <w:rPr>
                <w:rFonts w:ascii="仿宋_GB2312" w:hAnsi="Arial" w:eastAsia="仿宋_GB2312" w:cs="Arial"/>
                <w:color w:val="000000"/>
                <w:kern w:val="0"/>
                <w:sz w:val="24"/>
              </w:rPr>
            </w:pPr>
            <w:r>
              <w:rPr>
                <w:rFonts w:hint="eastAsia" w:ascii="仿宋_GB2312" w:hAnsi="Arial" w:eastAsia="仿宋_GB2312" w:cs="Arial"/>
                <w:color w:val="000000"/>
                <w:kern w:val="0"/>
                <w:sz w:val="24"/>
              </w:rPr>
              <w:t>二、机关事业单位基本养老保险基金支出</w:t>
            </w:r>
          </w:p>
        </w:tc>
        <w:tc>
          <w:tcPr>
            <w:tcW w:w="1095" w:type="dxa"/>
            <w:tcBorders>
              <w:tl2br w:val="nil"/>
              <w:tr2bl w:val="nil"/>
            </w:tcBorders>
            <w:noWrap w:val="0"/>
            <w:vAlign w:val="center"/>
          </w:tcPr>
          <w:p>
            <w:pPr>
              <w:widowControl/>
              <w:jc w:val="center"/>
              <w:rPr>
                <w:color w:val="000000"/>
                <w:kern w:val="0"/>
                <w:sz w:val="24"/>
              </w:rPr>
            </w:pPr>
            <w:r>
              <w:rPr>
                <w:color w:val="000000"/>
                <w:kern w:val="0"/>
                <w:sz w:val="24"/>
              </w:rPr>
              <w:t xml:space="preserve">14,118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3561" w:type="dxa"/>
            <w:tcBorders>
              <w:tl2br w:val="nil"/>
              <w:tr2bl w:val="nil"/>
            </w:tcBorders>
            <w:noWrap w:val="0"/>
            <w:vAlign w:val="center"/>
          </w:tcPr>
          <w:p>
            <w:pPr>
              <w:widowControl/>
              <w:jc w:val="left"/>
              <w:rPr>
                <w:color w:val="000000"/>
                <w:kern w:val="0"/>
                <w:sz w:val="24"/>
              </w:rPr>
            </w:pPr>
            <w:r>
              <w:rPr>
                <w:color w:val="000000"/>
                <w:kern w:val="0"/>
                <w:sz w:val="24"/>
              </w:rPr>
              <w:t xml:space="preserve">    1.</w:t>
            </w:r>
            <w:r>
              <w:rPr>
                <w:rFonts w:hint="eastAsia" w:ascii="仿宋_GB2312" w:eastAsia="仿宋_GB2312"/>
                <w:color w:val="000000"/>
                <w:kern w:val="0"/>
                <w:sz w:val="24"/>
              </w:rPr>
              <w:t>机关事业单位基本养老保险费收入</w:t>
            </w:r>
          </w:p>
        </w:tc>
        <w:tc>
          <w:tcPr>
            <w:tcW w:w="1023" w:type="dxa"/>
            <w:tcBorders>
              <w:tl2br w:val="nil"/>
              <w:tr2bl w:val="nil"/>
            </w:tcBorders>
            <w:noWrap w:val="0"/>
            <w:vAlign w:val="center"/>
          </w:tcPr>
          <w:p>
            <w:pPr>
              <w:widowControl/>
              <w:jc w:val="center"/>
              <w:rPr>
                <w:color w:val="000000"/>
                <w:kern w:val="0"/>
                <w:sz w:val="24"/>
              </w:rPr>
            </w:pPr>
            <w:r>
              <w:rPr>
                <w:color w:val="000000"/>
                <w:kern w:val="0"/>
                <w:sz w:val="24"/>
              </w:rPr>
              <w:t xml:space="preserve">12,686 </w:t>
            </w:r>
          </w:p>
        </w:tc>
        <w:tc>
          <w:tcPr>
            <w:tcW w:w="3562" w:type="dxa"/>
            <w:tcBorders>
              <w:tl2br w:val="nil"/>
              <w:tr2bl w:val="nil"/>
            </w:tcBorders>
            <w:noWrap w:val="0"/>
            <w:vAlign w:val="center"/>
          </w:tcPr>
          <w:p>
            <w:pPr>
              <w:widowControl/>
              <w:jc w:val="left"/>
              <w:rPr>
                <w:color w:val="000000"/>
                <w:kern w:val="0"/>
                <w:sz w:val="24"/>
              </w:rPr>
            </w:pPr>
            <w:r>
              <w:rPr>
                <w:color w:val="000000"/>
                <w:kern w:val="0"/>
                <w:sz w:val="24"/>
              </w:rPr>
              <w:t xml:space="preserve">    1.</w:t>
            </w:r>
            <w:r>
              <w:rPr>
                <w:rFonts w:hint="eastAsia" w:ascii="仿宋_GB2312" w:eastAsia="仿宋_GB2312"/>
                <w:color w:val="000000"/>
                <w:kern w:val="0"/>
                <w:sz w:val="24"/>
              </w:rPr>
              <w:t>基本养老金支出</w:t>
            </w:r>
          </w:p>
        </w:tc>
        <w:tc>
          <w:tcPr>
            <w:tcW w:w="1095" w:type="dxa"/>
            <w:tcBorders>
              <w:tl2br w:val="nil"/>
              <w:tr2bl w:val="nil"/>
            </w:tcBorders>
            <w:noWrap w:val="0"/>
            <w:vAlign w:val="center"/>
          </w:tcPr>
          <w:p>
            <w:pPr>
              <w:widowControl/>
              <w:jc w:val="center"/>
              <w:rPr>
                <w:color w:val="000000"/>
                <w:kern w:val="0"/>
                <w:sz w:val="24"/>
              </w:rPr>
            </w:pPr>
            <w:r>
              <w:rPr>
                <w:color w:val="000000"/>
                <w:kern w:val="0"/>
                <w:sz w:val="24"/>
              </w:rPr>
              <w:t xml:space="preserve">14,033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3561" w:type="dxa"/>
            <w:tcBorders>
              <w:tl2br w:val="nil"/>
              <w:tr2bl w:val="nil"/>
            </w:tcBorders>
            <w:noWrap w:val="0"/>
            <w:vAlign w:val="center"/>
          </w:tcPr>
          <w:p>
            <w:pPr>
              <w:widowControl/>
              <w:jc w:val="left"/>
              <w:rPr>
                <w:color w:val="000000"/>
                <w:kern w:val="0"/>
                <w:sz w:val="24"/>
              </w:rPr>
            </w:pPr>
            <w:r>
              <w:rPr>
                <w:color w:val="000000"/>
                <w:kern w:val="0"/>
                <w:sz w:val="24"/>
              </w:rPr>
              <w:t xml:space="preserve">    2.</w:t>
            </w:r>
            <w:r>
              <w:rPr>
                <w:rFonts w:hint="eastAsia" w:ascii="仿宋_GB2312" w:eastAsia="仿宋_GB2312"/>
                <w:color w:val="000000"/>
                <w:kern w:val="0"/>
                <w:sz w:val="24"/>
              </w:rPr>
              <w:t>机关事业单位基本养老保险基金财政补助收入</w:t>
            </w:r>
          </w:p>
        </w:tc>
        <w:tc>
          <w:tcPr>
            <w:tcW w:w="1023" w:type="dxa"/>
            <w:tcBorders>
              <w:tl2br w:val="nil"/>
              <w:tr2bl w:val="nil"/>
            </w:tcBorders>
            <w:noWrap w:val="0"/>
            <w:vAlign w:val="center"/>
          </w:tcPr>
          <w:p>
            <w:pPr>
              <w:widowControl/>
              <w:jc w:val="center"/>
              <w:rPr>
                <w:color w:val="000000"/>
                <w:kern w:val="0"/>
                <w:sz w:val="24"/>
              </w:rPr>
            </w:pPr>
            <w:r>
              <w:rPr>
                <w:color w:val="000000"/>
                <w:kern w:val="0"/>
                <w:sz w:val="24"/>
              </w:rPr>
              <w:t>　</w:t>
            </w:r>
          </w:p>
        </w:tc>
        <w:tc>
          <w:tcPr>
            <w:tcW w:w="3562" w:type="dxa"/>
            <w:tcBorders>
              <w:tl2br w:val="nil"/>
              <w:tr2bl w:val="nil"/>
            </w:tcBorders>
            <w:noWrap w:val="0"/>
            <w:vAlign w:val="center"/>
          </w:tcPr>
          <w:p>
            <w:pPr>
              <w:widowControl/>
              <w:jc w:val="left"/>
              <w:rPr>
                <w:color w:val="000000"/>
                <w:kern w:val="0"/>
                <w:sz w:val="24"/>
              </w:rPr>
            </w:pPr>
            <w:r>
              <w:rPr>
                <w:color w:val="000000"/>
                <w:kern w:val="0"/>
                <w:sz w:val="24"/>
              </w:rPr>
              <w:t xml:space="preserve">    2.</w:t>
            </w:r>
            <w:r>
              <w:rPr>
                <w:rFonts w:hint="eastAsia" w:ascii="仿宋_GB2312" w:eastAsia="仿宋_GB2312"/>
                <w:color w:val="000000"/>
                <w:kern w:val="0"/>
                <w:sz w:val="24"/>
              </w:rPr>
              <w:t>其他机关事业单位基本养老保险基金支出</w:t>
            </w:r>
          </w:p>
        </w:tc>
        <w:tc>
          <w:tcPr>
            <w:tcW w:w="1095" w:type="dxa"/>
            <w:tcBorders>
              <w:tl2br w:val="nil"/>
              <w:tr2bl w:val="nil"/>
            </w:tcBorders>
            <w:noWrap w:val="0"/>
            <w:vAlign w:val="center"/>
          </w:tcPr>
          <w:p>
            <w:pPr>
              <w:widowControl/>
              <w:jc w:val="center"/>
              <w:rPr>
                <w:color w:val="000000"/>
                <w:kern w:val="0"/>
                <w:sz w:val="24"/>
              </w:rPr>
            </w:pPr>
            <w:r>
              <w:rPr>
                <w:color w:val="000000"/>
                <w:kern w:val="0"/>
                <w:sz w:val="24"/>
              </w:rPr>
              <w:t xml:space="preserve">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3561" w:type="dxa"/>
            <w:tcBorders>
              <w:tl2br w:val="nil"/>
              <w:tr2bl w:val="nil"/>
            </w:tcBorders>
            <w:noWrap w:val="0"/>
            <w:vAlign w:val="center"/>
          </w:tcPr>
          <w:p>
            <w:pPr>
              <w:widowControl/>
              <w:jc w:val="left"/>
              <w:rPr>
                <w:color w:val="000000"/>
                <w:kern w:val="0"/>
                <w:sz w:val="24"/>
              </w:rPr>
            </w:pPr>
            <w:r>
              <w:rPr>
                <w:color w:val="000000"/>
                <w:kern w:val="0"/>
                <w:sz w:val="24"/>
              </w:rPr>
              <w:t xml:space="preserve">    3.</w:t>
            </w:r>
            <w:r>
              <w:rPr>
                <w:rFonts w:hint="eastAsia" w:ascii="仿宋_GB2312" w:eastAsia="仿宋_GB2312"/>
                <w:color w:val="000000"/>
                <w:kern w:val="0"/>
                <w:sz w:val="24"/>
              </w:rPr>
              <w:t>机关事业单位基本养老保险基金利息收入</w:t>
            </w:r>
          </w:p>
        </w:tc>
        <w:tc>
          <w:tcPr>
            <w:tcW w:w="1023" w:type="dxa"/>
            <w:tcBorders>
              <w:tl2br w:val="nil"/>
              <w:tr2bl w:val="nil"/>
            </w:tcBorders>
            <w:noWrap w:val="0"/>
            <w:vAlign w:val="center"/>
          </w:tcPr>
          <w:p>
            <w:pPr>
              <w:widowControl/>
              <w:jc w:val="center"/>
              <w:rPr>
                <w:color w:val="000000"/>
                <w:kern w:val="0"/>
                <w:sz w:val="24"/>
              </w:rPr>
            </w:pPr>
            <w:r>
              <w:rPr>
                <w:color w:val="000000"/>
                <w:kern w:val="0"/>
                <w:sz w:val="24"/>
              </w:rPr>
              <w:t xml:space="preserve">25 </w:t>
            </w:r>
          </w:p>
        </w:tc>
        <w:tc>
          <w:tcPr>
            <w:tcW w:w="3562" w:type="dxa"/>
            <w:tcBorders>
              <w:tl2br w:val="nil"/>
              <w:tr2bl w:val="nil"/>
            </w:tcBorders>
            <w:noWrap w:val="0"/>
            <w:vAlign w:val="center"/>
          </w:tcPr>
          <w:p>
            <w:pPr>
              <w:widowControl/>
              <w:jc w:val="left"/>
              <w:rPr>
                <w:color w:val="000000"/>
                <w:kern w:val="0"/>
                <w:sz w:val="24"/>
              </w:rPr>
            </w:pPr>
            <w:r>
              <w:rPr>
                <w:color w:val="000000"/>
                <w:kern w:val="0"/>
                <w:sz w:val="24"/>
              </w:rPr>
              <w:t>　</w:t>
            </w:r>
          </w:p>
        </w:tc>
        <w:tc>
          <w:tcPr>
            <w:tcW w:w="1095" w:type="dxa"/>
            <w:tcBorders>
              <w:tl2br w:val="nil"/>
              <w:tr2bl w:val="nil"/>
            </w:tcBorders>
            <w:noWrap w:val="0"/>
            <w:vAlign w:val="center"/>
          </w:tcPr>
          <w:p>
            <w:pPr>
              <w:widowControl/>
              <w:jc w:val="center"/>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3561" w:type="dxa"/>
            <w:tcBorders>
              <w:tl2br w:val="nil"/>
              <w:tr2bl w:val="nil"/>
            </w:tcBorders>
            <w:noWrap w:val="0"/>
            <w:vAlign w:val="center"/>
          </w:tcPr>
          <w:p>
            <w:pPr>
              <w:widowControl/>
              <w:jc w:val="left"/>
              <w:rPr>
                <w:color w:val="000000"/>
                <w:kern w:val="0"/>
                <w:sz w:val="24"/>
              </w:rPr>
            </w:pPr>
            <w:r>
              <w:rPr>
                <w:color w:val="000000"/>
                <w:kern w:val="0"/>
                <w:sz w:val="24"/>
              </w:rPr>
              <w:t xml:space="preserve">    4.</w:t>
            </w:r>
            <w:r>
              <w:rPr>
                <w:rFonts w:hint="eastAsia" w:ascii="仿宋_GB2312" w:eastAsia="仿宋_GB2312"/>
                <w:color w:val="000000"/>
                <w:kern w:val="0"/>
                <w:sz w:val="24"/>
              </w:rPr>
              <w:t>其他机关事业单位基本养老保险基金收入</w:t>
            </w:r>
          </w:p>
        </w:tc>
        <w:tc>
          <w:tcPr>
            <w:tcW w:w="1023" w:type="dxa"/>
            <w:tcBorders>
              <w:tl2br w:val="nil"/>
              <w:tr2bl w:val="nil"/>
            </w:tcBorders>
            <w:noWrap w:val="0"/>
            <w:vAlign w:val="center"/>
          </w:tcPr>
          <w:p>
            <w:pPr>
              <w:widowControl/>
              <w:jc w:val="center"/>
              <w:rPr>
                <w:color w:val="000000"/>
                <w:kern w:val="0"/>
                <w:sz w:val="24"/>
              </w:rPr>
            </w:pPr>
            <w:r>
              <w:rPr>
                <w:color w:val="000000"/>
                <w:kern w:val="0"/>
                <w:sz w:val="24"/>
              </w:rPr>
              <w:t xml:space="preserve">83 </w:t>
            </w:r>
          </w:p>
        </w:tc>
        <w:tc>
          <w:tcPr>
            <w:tcW w:w="3562" w:type="dxa"/>
            <w:tcBorders>
              <w:tl2br w:val="nil"/>
              <w:tr2bl w:val="nil"/>
            </w:tcBorders>
            <w:noWrap w:val="0"/>
            <w:vAlign w:val="center"/>
          </w:tcPr>
          <w:p>
            <w:pPr>
              <w:widowControl/>
              <w:jc w:val="left"/>
              <w:rPr>
                <w:color w:val="000000"/>
                <w:kern w:val="0"/>
                <w:sz w:val="24"/>
              </w:rPr>
            </w:pPr>
            <w:r>
              <w:rPr>
                <w:color w:val="000000"/>
                <w:kern w:val="0"/>
                <w:sz w:val="24"/>
              </w:rPr>
              <w:t>　</w:t>
            </w:r>
          </w:p>
        </w:tc>
        <w:tc>
          <w:tcPr>
            <w:tcW w:w="1095" w:type="dxa"/>
            <w:tcBorders>
              <w:tl2br w:val="nil"/>
              <w:tr2bl w:val="nil"/>
            </w:tcBorders>
            <w:noWrap w:val="0"/>
            <w:vAlign w:val="center"/>
          </w:tcPr>
          <w:p>
            <w:pPr>
              <w:widowControl/>
              <w:jc w:val="center"/>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3561" w:type="dxa"/>
            <w:tcBorders>
              <w:tl2br w:val="nil"/>
              <w:tr2bl w:val="nil"/>
            </w:tcBorders>
            <w:noWrap w:val="0"/>
            <w:vAlign w:val="center"/>
          </w:tcPr>
          <w:p>
            <w:pPr>
              <w:widowControl/>
              <w:jc w:val="left"/>
              <w:rPr>
                <w:color w:val="000000"/>
                <w:kern w:val="0"/>
                <w:sz w:val="24"/>
              </w:rPr>
            </w:pPr>
            <w:r>
              <w:rPr>
                <w:color w:val="000000"/>
                <w:kern w:val="0"/>
                <w:sz w:val="24"/>
              </w:rPr>
              <w:t>　</w:t>
            </w:r>
          </w:p>
        </w:tc>
        <w:tc>
          <w:tcPr>
            <w:tcW w:w="1023" w:type="dxa"/>
            <w:tcBorders>
              <w:tl2br w:val="nil"/>
              <w:tr2bl w:val="nil"/>
            </w:tcBorders>
            <w:noWrap w:val="0"/>
            <w:vAlign w:val="center"/>
          </w:tcPr>
          <w:p>
            <w:pPr>
              <w:widowControl/>
              <w:jc w:val="center"/>
              <w:rPr>
                <w:color w:val="000000"/>
                <w:kern w:val="0"/>
                <w:sz w:val="24"/>
              </w:rPr>
            </w:pPr>
            <w:r>
              <w:rPr>
                <w:color w:val="000000"/>
                <w:kern w:val="0"/>
                <w:sz w:val="24"/>
              </w:rPr>
              <w:t>　</w:t>
            </w:r>
          </w:p>
        </w:tc>
        <w:tc>
          <w:tcPr>
            <w:tcW w:w="3562" w:type="dxa"/>
            <w:tcBorders>
              <w:tl2br w:val="nil"/>
              <w:tr2bl w:val="nil"/>
            </w:tcBorders>
            <w:noWrap w:val="0"/>
            <w:vAlign w:val="center"/>
          </w:tcPr>
          <w:p>
            <w:pPr>
              <w:widowControl/>
              <w:jc w:val="left"/>
              <w:rPr>
                <w:color w:val="000000"/>
                <w:kern w:val="0"/>
                <w:sz w:val="24"/>
              </w:rPr>
            </w:pPr>
            <w:r>
              <w:rPr>
                <w:color w:val="000000"/>
                <w:kern w:val="0"/>
                <w:sz w:val="24"/>
              </w:rPr>
              <w:t>　</w:t>
            </w:r>
          </w:p>
        </w:tc>
        <w:tc>
          <w:tcPr>
            <w:tcW w:w="1095" w:type="dxa"/>
            <w:tcBorders>
              <w:tl2br w:val="nil"/>
              <w:tr2bl w:val="nil"/>
            </w:tcBorders>
            <w:noWrap w:val="0"/>
            <w:vAlign w:val="center"/>
          </w:tcPr>
          <w:p>
            <w:pPr>
              <w:widowControl/>
              <w:jc w:val="center"/>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3561" w:type="dxa"/>
            <w:tcBorders>
              <w:tl2br w:val="nil"/>
              <w:tr2bl w:val="nil"/>
            </w:tcBorders>
            <w:noWrap w:val="0"/>
            <w:vAlign w:val="center"/>
          </w:tcPr>
          <w:p>
            <w:pPr>
              <w:widowControl/>
              <w:jc w:val="left"/>
              <w:rPr>
                <w:color w:val="000000"/>
                <w:kern w:val="0"/>
                <w:sz w:val="24"/>
              </w:rPr>
            </w:pPr>
            <w:r>
              <w:rPr>
                <w:color w:val="000000"/>
                <w:kern w:val="0"/>
                <w:sz w:val="24"/>
              </w:rPr>
              <w:t>　</w:t>
            </w:r>
          </w:p>
        </w:tc>
        <w:tc>
          <w:tcPr>
            <w:tcW w:w="1023" w:type="dxa"/>
            <w:tcBorders>
              <w:tl2br w:val="nil"/>
              <w:tr2bl w:val="nil"/>
            </w:tcBorders>
            <w:noWrap w:val="0"/>
            <w:vAlign w:val="center"/>
          </w:tcPr>
          <w:p>
            <w:pPr>
              <w:widowControl/>
              <w:jc w:val="center"/>
              <w:rPr>
                <w:color w:val="000000"/>
                <w:kern w:val="0"/>
                <w:sz w:val="24"/>
              </w:rPr>
            </w:pPr>
            <w:r>
              <w:rPr>
                <w:color w:val="000000"/>
                <w:kern w:val="0"/>
                <w:sz w:val="24"/>
              </w:rPr>
              <w:t>　</w:t>
            </w:r>
          </w:p>
        </w:tc>
        <w:tc>
          <w:tcPr>
            <w:tcW w:w="3562" w:type="dxa"/>
            <w:tcBorders>
              <w:tl2br w:val="nil"/>
              <w:tr2bl w:val="nil"/>
            </w:tcBorders>
            <w:noWrap w:val="0"/>
            <w:vAlign w:val="center"/>
          </w:tcPr>
          <w:p>
            <w:pPr>
              <w:widowControl/>
              <w:jc w:val="left"/>
              <w:rPr>
                <w:color w:val="000000"/>
                <w:kern w:val="0"/>
                <w:sz w:val="24"/>
              </w:rPr>
            </w:pPr>
            <w:r>
              <w:rPr>
                <w:color w:val="000000"/>
                <w:kern w:val="0"/>
                <w:sz w:val="24"/>
              </w:rPr>
              <w:t>　</w:t>
            </w:r>
          </w:p>
        </w:tc>
        <w:tc>
          <w:tcPr>
            <w:tcW w:w="1095" w:type="dxa"/>
            <w:tcBorders>
              <w:tl2br w:val="nil"/>
              <w:tr2bl w:val="nil"/>
            </w:tcBorders>
            <w:noWrap w:val="0"/>
            <w:vAlign w:val="center"/>
          </w:tcPr>
          <w:p>
            <w:pPr>
              <w:widowControl/>
              <w:jc w:val="center"/>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3561" w:type="dxa"/>
            <w:tcBorders>
              <w:tl2br w:val="nil"/>
              <w:tr2bl w:val="nil"/>
            </w:tcBorders>
            <w:noWrap w:val="0"/>
            <w:vAlign w:val="center"/>
          </w:tcPr>
          <w:p>
            <w:pPr>
              <w:widowControl/>
              <w:jc w:val="center"/>
              <w:rPr>
                <w:rFonts w:ascii="仿宋_GB2312" w:hAnsi="Arial" w:eastAsia="仿宋_GB2312" w:cs="Arial"/>
                <w:color w:val="000000"/>
                <w:kern w:val="0"/>
                <w:sz w:val="24"/>
              </w:rPr>
            </w:pPr>
            <w:r>
              <w:rPr>
                <w:rFonts w:hint="eastAsia" w:ascii="仿宋_GB2312" w:hAnsi="Arial" w:eastAsia="仿宋_GB2312" w:cs="Arial"/>
                <w:color w:val="000000"/>
                <w:kern w:val="0"/>
                <w:sz w:val="24"/>
              </w:rPr>
              <w:t>社会保险基金</w:t>
            </w:r>
            <w:r>
              <w:rPr>
                <w:rFonts w:hint="eastAsia" w:ascii="仿宋_GB2312" w:hAnsi="Arial" w:eastAsia="仿宋_GB2312" w:cs="Arial"/>
                <w:color w:val="000000"/>
                <w:kern w:val="0"/>
                <w:sz w:val="24"/>
                <w:lang w:eastAsia="zh-CN"/>
              </w:rPr>
              <w:t>预算</w:t>
            </w:r>
            <w:r>
              <w:rPr>
                <w:rFonts w:hint="eastAsia" w:ascii="仿宋_GB2312" w:hAnsi="Arial" w:eastAsia="仿宋_GB2312" w:cs="Arial"/>
                <w:color w:val="000000"/>
                <w:kern w:val="0"/>
                <w:sz w:val="24"/>
              </w:rPr>
              <w:t>收入合计</w:t>
            </w:r>
          </w:p>
        </w:tc>
        <w:tc>
          <w:tcPr>
            <w:tcW w:w="1023" w:type="dxa"/>
            <w:tcBorders>
              <w:tl2br w:val="nil"/>
              <w:tr2bl w:val="nil"/>
            </w:tcBorders>
            <w:noWrap w:val="0"/>
            <w:vAlign w:val="center"/>
          </w:tcPr>
          <w:p>
            <w:pPr>
              <w:widowControl/>
              <w:jc w:val="center"/>
              <w:rPr>
                <w:color w:val="000000"/>
                <w:kern w:val="0"/>
                <w:sz w:val="24"/>
              </w:rPr>
            </w:pPr>
            <w:r>
              <w:rPr>
                <w:color w:val="000000"/>
                <w:kern w:val="0"/>
                <w:sz w:val="24"/>
              </w:rPr>
              <w:t xml:space="preserve">21,637 </w:t>
            </w:r>
          </w:p>
        </w:tc>
        <w:tc>
          <w:tcPr>
            <w:tcW w:w="3562" w:type="dxa"/>
            <w:tcBorders>
              <w:tl2br w:val="nil"/>
              <w:tr2bl w:val="nil"/>
            </w:tcBorders>
            <w:noWrap w:val="0"/>
            <w:vAlign w:val="center"/>
          </w:tcPr>
          <w:p>
            <w:pPr>
              <w:widowControl/>
              <w:jc w:val="center"/>
              <w:rPr>
                <w:rFonts w:ascii="仿宋_GB2312" w:hAnsi="Arial" w:eastAsia="仿宋_GB2312" w:cs="Arial"/>
                <w:color w:val="000000"/>
                <w:kern w:val="0"/>
                <w:sz w:val="24"/>
              </w:rPr>
            </w:pPr>
            <w:r>
              <w:rPr>
                <w:rFonts w:hint="eastAsia" w:ascii="仿宋_GB2312" w:hAnsi="Arial" w:eastAsia="仿宋_GB2312" w:cs="Arial"/>
                <w:color w:val="000000"/>
                <w:kern w:val="0"/>
                <w:sz w:val="24"/>
              </w:rPr>
              <w:t>社会保险基金</w:t>
            </w:r>
            <w:r>
              <w:rPr>
                <w:rFonts w:hint="eastAsia" w:ascii="仿宋_GB2312" w:hAnsi="Arial" w:eastAsia="仿宋_GB2312" w:cs="Arial"/>
                <w:color w:val="000000"/>
                <w:kern w:val="0"/>
                <w:sz w:val="24"/>
                <w:lang w:eastAsia="zh-CN"/>
              </w:rPr>
              <w:t>预算</w:t>
            </w:r>
            <w:r>
              <w:rPr>
                <w:rFonts w:hint="eastAsia" w:ascii="仿宋_GB2312" w:hAnsi="Arial" w:eastAsia="仿宋_GB2312" w:cs="Arial"/>
                <w:color w:val="000000"/>
                <w:kern w:val="0"/>
                <w:sz w:val="24"/>
              </w:rPr>
              <w:t>支出合计</w:t>
            </w:r>
          </w:p>
        </w:tc>
        <w:tc>
          <w:tcPr>
            <w:tcW w:w="1095" w:type="dxa"/>
            <w:tcBorders>
              <w:tl2br w:val="nil"/>
              <w:tr2bl w:val="nil"/>
            </w:tcBorders>
            <w:noWrap w:val="0"/>
            <w:vAlign w:val="center"/>
          </w:tcPr>
          <w:p>
            <w:pPr>
              <w:widowControl/>
              <w:jc w:val="center"/>
              <w:rPr>
                <w:color w:val="000000"/>
                <w:kern w:val="0"/>
                <w:sz w:val="24"/>
              </w:rPr>
            </w:pPr>
            <w:r>
              <w:rPr>
                <w:color w:val="000000"/>
                <w:kern w:val="0"/>
                <w:sz w:val="24"/>
              </w:rPr>
              <w:t xml:space="preserve">20,205 </w:t>
            </w:r>
          </w:p>
        </w:tc>
      </w:tr>
    </w:tbl>
    <w:p>
      <w:pPr>
        <w:keepNext w:val="0"/>
        <w:keepLines w:val="0"/>
        <w:pageBreakBefore w:val="0"/>
        <w:widowControl w:val="0"/>
        <w:kinsoku/>
        <w:wordWrap/>
        <w:overflowPunct/>
        <w:topLinePunct w:val="0"/>
        <w:autoSpaceDE/>
        <w:autoSpaceDN/>
        <w:bidi w:val="0"/>
        <w:adjustRightInd/>
        <w:snapToGrid/>
        <w:spacing w:line="538" w:lineRule="exact"/>
        <w:jc w:val="right"/>
        <w:textAlignment w:val="auto"/>
        <w:rPr>
          <w:rFonts w:hint="eastAsia" w:ascii="仿宋_GB2312" w:hAnsi="Arial" w:eastAsia="仿宋_GB2312" w:cs="Arial"/>
          <w:color w:val="000000"/>
          <w:kern w:val="0"/>
          <w:sz w:val="24"/>
          <w:szCs w:val="24"/>
        </w:rPr>
      </w:pPr>
    </w:p>
    <w:p>
      <w:pPr>
        <w:keepNext w:val="0"/>
        <w:keepLines w:val="0"/>
        <w:pageBreakBefore w:val="0"/>
        <w:widowControl w:val="0"/>
        <w:kinsoku/>
        <w:wordWrap/>
        <w:overflowPunct/>
        <w:topLinePunct w:val="0"/>
        <w:autoSpaceDE/>
        <w:autoSpaceDN/>
        <w:bidi w:val="0"/>
        <w:adjustRightInd/>
        <w:snapToGrid/>
        <w:spacing w:line="538" w:lineRule="exact"/>
        <w:jc w:val="right"/>
        <w:textAlignment w:val="auto"/>
        <w:rPr>
          <w:rFonts w:hint="eastAsia" w:ascii="仿宋_GB2312" w:hAnsi="Arial" w:eastAsia="仿宋_GB2312" w:cs="Arial"/>
          <w:color w:val="000000"/>
          <w:kern w:val="0"/>
          <w:sz w:val="24"/>
          <w:szCs w:val="24"/>
        </w:rPr>
      </w:pPr>
    </w:p>
    <w:p>
      <w:pPr>
        <w:keepNext w:val="0"/>
        <w:keepLines w:val="0"/>
        <w:pageBreakBefore w:val="0"/>
        <w:kinsoku/>
        <w:wordWrap/>
        <w:overflowPunct/>
        <w:topLinePunct w:val="0"/>
        <w:autoSpaceDE/>
        <w:autoSpaceDN/>
        <w:bidi w:val="0"/>
        <w:adjustRightInd/>
        <w:snapToGrid/>
        <w:spacing w:line="498" w:lineRule="exact"/>
        <w:jc w:val="center"/>
        <w:textAlignment w:val="auto"/>
        <w:rPr>
          <w:rFonts w:hint="eastAsia"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sz w:val="36"/>
          <w:szCs w:val="36"/>
        </w:rPr>
        <w:t>《预算报告》附注</w:t>
      </w:r>
    </w:p>
    <w:p>
      <w:pPr>
        <w:keepNext w:val="0"/>
        <w:keepLines w:val="0"/>
        <w:pageBreakBefore w:val="0"/>
        <w:kinsoku/>
        <w:wordWrap/>
        <w:overflowPunct/>
        <w:topLinePunct w:val="0"/>
        <w:autoSpaceDE/>
        <w:autoSpaceDN/>
        <w:bidi w:val="0"/>
        <w:adjustRightInd/>
        <w:snapToGrid/>
        <w:spacing w:line="498" w:lineRule="exact"/>
        <w:ind w:firstLine="643" w:firstLineChars="200"/>
        <w:textAlignment w:val="auto"/>
        <w:rPr>
          <w:rFonts w:hint="eastAsia" w:ascii="仿宋_GB2312" w:eastAsia="仿宋_GB2312"/>
          <w:b/>
          <w:color w:val="000000"/>
          <w:sz w:val="32"/>
          <w:szCs w:val="32"/>
        </w:rPr>
      </w:pPr>
    </w:p>
    <w:p>
      <w:pPr>
        <w:keepNext w:val="0"/>
        <w:keepLines w:val="0"/>
        <w:pageBreakBefore w:val="0"/>
        <w:kinsoku/>
        <w:wordWrap/>
        <w:overflowPunct/>
        <w:topLinePunct w:val="0"/>
        <w:autoSpaceDE/>
        <w:autoSpaceDN/>
        <w:bidi w:val="0"/>
        <w:adjustRightInd/>
        <w:snapToGrid/>
        <w:spacing w:line="498" w:lineRule="exact"/>
        <w:ind w:firstLine="643" w:firstLineChars="200"/>
        <w:textAlignment w:val="auto"/>
        <w:rPr>
          <w:rFonts w:hint="eastAsia" w:ascii="仿宋_GB2312" w:eastAsia="仿宋_GB2312"/>
          <w:color w:val="000000"/>
          <w:sz w:val="32"/>
          <w:szCs w:val="32"/>
        </w:rPr>
      </w:pPr>
      <w:r>
        <w:rPr>
          <w:rFonts w:hint="eastAsia" w:ascii="仿宋_GB2312" w:eastAsia="仿宋_GB2312"/>
          <w:b/>
          <w:color w:val="000000"/>
          <w:sz w:val="32"/>
          <w:szCs w:val="32"/>
        </w:rPr>
        <w:t>1.政府预算体系。</w:t>
      </w:r>
      <w:r>
        <w:rPr>
          <w:rFonts w:hint="eastAsia" w:ascii="仿宋_GB2312" w:eastAsia="仿宋_GB2312"/>
          <w:color w:val="000000"/>
          <w:sz w:val="32"/>
          <w:szCs w:val="32"/>
        </w:rPr>
        <w:t>具体包括四大预算，即：一般公共预算、政府性基金预算、国有资本经营预算、社会保险基金预算。这四大预算组成完整的政府预算体系，全面反映政府收支总量、结构和管理活动，服务经济社会发展需要。</w:t>
      </w:r>
    </w:p>
    <w:p>
      <w:pPr>
        <w:keepNext w:val="0"/>
        <w:keepLines w:val="0"/>
        <w:pageBreakBefore w:val="0"/>
        <w:kinsoku/>
        <w:wordWrap/>
        <w:overflowPunct/>
        <w:topLinePunct w:val="0"/>
        <w:autoSpaceDE/>
        <w:autoSpaceDN/>
        <w:bidi w:val="0"/>
        <w:adjustRightInd/>
        <w:snapToGrid/>
        <w:spacing w:line="498" w:lineRule="exact"/>
        <w:ind w:firstLine="645"/>
        <w:textAlignment w:val="auto"/>
        <w:rPr>
          <w:rFonts w:hint="eastAsia" w:ascii="仿宋_GB2312" w:eastAsia="仿宋_GB2312"/>
          <w:color w:val="000000"/>
          <w:sz w:val="32"/>
          <w:szCs w:val="32"/>
        </w:rPr>
      </w:pPr>
      <w:r>
        <w:rPr>
          <w:rFonts w:hint="eastAsia" w:ascii="仿宋_GB2312" w:eastAsia="仿宋_GB2312"/>
          <w:b/>
          <w:color w:val="000000"/>
          <w:sz w:val="32"/>
          <w:szCs w:val="32"/>
        </w:rPr>
        <w:t>2.一般公共预算总收入。</w:t>
      </w:r>
      <w:r>
        <w:rPr>
          <w:rFonts w:hint="eastAsia" w:ascii="仿宋_GB2312" w:eastAsia="仿宋_GB2312"/>
          <w:color w:val="000000"/>
          <w:sz w:val="32"/>
          <w:szCs w:val="32"/>
        </w:rPr>
        <w:t>即一般公共预算收入与上划中央、省收入之和，反映本地区当年组织的财政收入总规模。</w:t>
      </w:r>
    </w:p>
    <w:p>
      <w:pPr>
        <w:keepNext w:val="0"/>
        <w:keepLines w:val="0"/>
        <w:pageBreakBefore w:val="0"/>
        <w:kinsoku/>
        <w:wordWrap/>
        <w:overflowPunct/>
        <w:topLinePunct w:val="0"/>
        <w:autoSpaceDE/>
        <w:autoSpaceDN/>
        <w:bidi w:val="0"/>
        <w:adjustRightInd/>
        <w:snapToGrid/>
        <w:spacing w:line="498" w:lineRule="exact"/>
        <w:ind w:firstLine="645"/>
        <w:textAlignment w:val="auto"/>
        <w:rPr>
          <w:rFonts w:hint="eastAsia" w:ascii="仿宋_GB2312" w:eastAsia="仿宋_GB2312"/>
          <w:color w:val="000000"/>
          <w:sz w:val="32"/>
          <w:szCs w:val="32"/>
          <w:lang w:eastAsia="zh-CN"/>
        </w:rPr>
      </w:pPr>
      <w:r>
        <w:rPr>
          <w:rFonts w:hint="eastAsia" w:ascii="仿宋_GB2312" w:eastAsia="仿宋_GB2312"/>
          <w:b/>
          <w:color w:val="000000"/>
          <w:sz w:val="32"/>
          <w:szCs w:val="32"/>
        </w:rPr>
        <w:t>3.一般公共预算收入。</w:t>
      </w:r>
      <w:r>
        <w:rPr>
          <w:rFonts w:hint="eastAsia" w:ascii="仿宋_GB2312" w:eastAsia="仿宋_GB2312"/>
          <w:color w:val="000000"/>
          <w:sz w:val="32"/>
          <w:szCs w:val="32"/>
        </w:rPr>
        <w:t>按照财政部规定的统一科目和口径统计的收入，包括地方固定收入以及中央与地方共享收入中地方所得部分。</w:t>
      </w:r>
    </w:p>
    <w:p>
      <w:pPr>
        <w:keepNext w:val="0"/>
        <w:keepLines w:val="0"/>
        <w:pageBreakBefore w:val="0"/>
        <w:kinsoku/>
        <w:wordWrap/>
        <w:overflowPunct/>
        <w:topLinePunct w:val="0"/>
        <w:autoSpaceDE/>
        <w:autoSpaceDN/>
        <w:bidi w:val="0"/>
        <w:adjustRightInd/>
        <w:snapToGrid/>
        <w:spacing w:line="498" w:lineRule="exact"/>
        <w:ind w:firstLine="645"/>
        <w:textAlignment w:val="auto"/>
        <w:rPr>
          <w:rFonts w:hint="eastAsia" w:ascii="仿宋_GB2312" w:eastAsia="仿宋_GB2312"/>
          <w:color w:val="000000"/>
          <w:sz w:val="32"/>
          <w:szCs w:val="32"/>
        </w:rPr>
      </w:pPr>
      <w:r>
        <w:rPr>
          <w:rFonts w:hint="eastAsia" w:ascii="仿宋_GB2312" w:eastAsia="仿宋_GB2312"/>
          <w:b/>
          <w:color w:val="000000"/>
          <w:sz w:val="32"/>
          <w:szCs w:val="32"/>
        </w:rPr>
        <w:t>4.一般公共预算支出。</w:t>
      </w:r>
      <w:r>
        <w:rPr>
          <w:rFonts w:hint="eastAsia" w:ascii="仿宋_GB2312" w:eastAsia="仿宋_GB2312"/>
          <w:color w:val="000000"/>
          <w:sz w:val="32"/>
          <w:szCs w:val="32"/>
        </w:rPr>
        <w:t>指政府对上级转移性收入、本级一般公共预算收入等有计划的分配和使用而形成的支出。</w:t>
      </w:r>
    </w:p>
    <w:p>
      <w:pPr>
        <w:keepNext w:val="0"/>
        <w:keepLines w:val="0"/>
        <w:pageBreakBefore w:val="0"/>
        <w:kinsoku/>
        <w:wordWrap/>
        <w:overflowPunct/>
        <w:topLinePunct w:val="0"/>
        <w:autoSpaceDE/>
        <w:autoSpaceDN/>
        <w:bidi w:val="0"/>
        <w:adjustRightInd/>
        <w:snapToGrid/>
        <w:spacing w:line="498" w:lineRule="exact"/>
        <w:ind w:firstLine="645"/>
        <w:textAlignment w:val="auto"/>
        <w:rPr>
          <w:rFonts w:hint="eastAsia" w:ascii="仿宋_GB2312" w:eastAsia="仿宋_GB2312"/>
          <w:color w:val="000000"/>
          <w:sz w:val="32"/>
          <w:szCs w:val="32"/>
        </w:rPr>
      </w:pPr>
      <w:r>
        <w:rPr>
          <w:rFonts w:hint="eastAsia" w:ascii="仿宋_GB2312" w:eastAsia="仿宋_GB2312"/>
          <w:b/>
          <w:color w:val="000000"/>
          <w:sz w:val="32"/>
          <w:szCs w:val="32"/>
        </w:rPr>
        <w:t>5.地方政府债券。</w:t>
      </w:r>
      <w:r>
        <w:rPr>
          <w:rFonts w:hint="eastAsia" w:ascii="仿宋_GB2312" w:eastAsia="仿宋_GB2312"/>
          <w:color w:val="000000"/>
          <w:sz w:val="32"/>
          <w:szCs w:val="32"/>
        </w:rPr>
        <w:t>为支持扩大内需，增加政府投资，财政部每年代理地方政府发行一定数额的政府债券，按照有借有还的信用原则筹集财政资金的一种方式。</w:t>
      </w:r>
    </w:p>
    <w:p>
      <w:pPr>
        <w:keepNext w:val="0"/>
        <w:keepLines w:val="0"/>
        <w:pageBreakBefore w:val="0"/>
        <w:kinsoku/>
        <w:wordWrap/>
        <w:overflowPunct/>
        <w:topLinePunct w:val="0"/>
        <w:autoSpaceDE/>
        <w:autoSpaceDN/>
        <w:bidi w:val="0"/>
        <w:adjustRightInd/>
        <w:snapToGrid/>
        <w:spacing w:line="498" w:lineRule="exact"/>
        <w:ind w:firstLine="645"/>
        <w:textAlignment w:val="auto"/>
        <w:rPr>
          <w:rFonts w:hint="eastAsia" w:ascii="仿宋_GB2312" w:eastAsia="仿宋_GB2312"/>
          <w:color w:val="000000"/>
          <w:spacing w:val="-6"/>
          <w:sz w:val="32"/>
          <w:szCs w:val="32"/>
        </w:rPr>
      </w:pPr>
      <w:r>
        <w:rPr>
          <w:rFonts w:hint="eastAsia" w:ascii="仿宋_GB2312" w:eastAsia="仿宋_GB2312"/>
          <w:b/>
          <w:color w:val="000000"/>
          <w:spacing w:val="-6"/>
          <w:sz w:val="32"/>
          <w:szCs w:val="32"/>
        </w:rPr>
        <w:t>6.财政体制。</w:t>
      </w:r>
      <w:r>
        <w:rPr>
          <w:rFonts w:hint="eastAsia" w:ascii="仿宋_GB2312" w:eastAsia="仿宋_GB2312"/>
          <w:color w:val="000000"/>
          <w:spacing w:val="-6"/>
          <w:sz w:val="32"/>
          <w:szCs w:val="32"/>
        </w:rPr>
        <w:t>是处理上下级政府间财政关系的基本制度，包括政府间支出责任划分、收入划分和财政转移支付等基本要素。</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98" w:lineRule="exact"/>
        <w:ind w:firstLine="606" w:firstLineChars="196"/>
        <w:textAlignment w:val="auto"/>
        <w:rPr>
          <w:rFonts w:hint="eastAsia" w:ascii="仿宋_GB2312" w:hAnsi="Arial" w:eastAsia="仿宋_GB2312" w:cs="Arial"/>
          <w:color w:val="000000"/>
          <w:spacing w:val="-6"/>
          <w:sz w:val="32"/>
          <w:szCs w:val="32"/>
        </w:rPr>
      </w:pPr>
      <w:r>
        <w:rPr>
          <w:rFonts w:hint="eastAsia" w:ascii="仿宋_GB2312" w:hAnsi="Arial" w:eastAsia="仿宋_GB2312" w:cs="Arial"/>
          <w:b/>
          <w:bCs/>
          <w:color w:val="000000"/>
          <w:spacing w:val="-6"/>
          <w:sz w:val="32"/>
          <w:szCs w:val="32"/>
        </w:rPr>
        <w:t>7.均衡性财力转移支付。</w:t>
      </w:r>
      <w:r>
        <w:rPr>
          <w:rFonts w:hint="eastAsia" w:ascii="仿宋_GB2312" w:hAnsi="Arial" w:eastAsia="仿宋_GB2312" w:cs="Arial"/>
          <w:color w:val="000000"/>
          <w:spacing w:val="-6"/>
          <w:sz w:val="32"/>
          <w:szCs w:val="32"/>
          <w:shd w:val="clear" w:color="auto" w:fill="FFFFFF"/>
        </w:rPr>
        <w:t>均衡性转移支付按照公平、公正、循序渐进的原则，主要参照各地标准财政收入和</w:t>
      </w:r>
      <w:r>
        <w:rPr>
          <w:rFonts w:hint="eastAsia" w:ascii="仿宋_GB2312" w:eastAsia="仿宋_GB2312"/>
          <w:color w:val="000000"/>
          <w:spacing w:val="-6"/>
          <w:sz w:val="32"/>
          <w:szCs w:val="32"/>
          <w:u w:val="none"/>
        </w:rPr>
        <w:fldChar w:fldCharType="begin"/>
      </w:r>
      <w:r>
        <w:rPr>
          <w:rFonts w:hint="eastAsia" w:ascii="仿宋_GB2312" w:eastAsia="仿宋_GB2312"/>
          <w:color w:val="000000"/>
          <w:spacing w:val="-6"/>
          <w:sz w:val="32"/>
          <w:szCs w:val="32"/>
          <w:u w:val="none"/>
        </w:rPr>
        <w:instrText xml:space="preserve"> HYPERLINK "http://wiki.mbalib.com/wiki/%E6%A0%87%E5%87%86%E8%B4%A2%E6%94%BF%E6%94%AF%E5%87%BA" \o "标准财政支出" </w:instrText>
      </w:r>
      <w:r>
        <w:rPr>
          <w:rFonts w:hint="eastAsia" w:ascii="仿宋_GB2312" w:eastAsia="仿宋_GB2312"/>
          <w:color w:val="000000"/>
          <w:spacing w:val="-6"/>
          <w:sz w:val="32"/>
          <w:szCs w:val="32"/>
          <w:u w:val="none"/>
        </w:rPr>
        <w:fldChar w:fldCharType="separate"/>
      </w:r>
      <w:r>
        <w:rPr>
          <w:rStyle w:val="7"/>
          <w:rFonts w:hint="eastAsia" w:ascii="仿宋_GB2312" w:hAnsi="Arial" w:eastAsia="仿宋_GB2312" w:cs="Arial"/>
          <w:color w:val="000000"/>
          <w:spacing w:val="-6"/>
          <w:u w:val="none"/>
          <w:shd w:val="clear" w:color="auto" w:fill="FFFFFF"/>
        </w:rPr>
        <w:t>标准财政支出</w:t>
      </w:r>
      <w:r>
        <w:rPr>
          <w:rFonts w:hint="eastAsia" w:ascii="仿宋_GB2312" w:eastAsia="仿宋_GB2312"/>
          <w:color w:val="000000"/>
          <w:spacing w:val="-6"/>
          <w:sz w:val="32"/>
          <w:szCs w:val="32"/>
          <w:u w:val="none"/>
        </w:rPr>
        <w:fldChar w:fldCharType="end"/>
      </w:r>
      <w:r>
        <w:rPr>
          <w:rFonts w:hint="eastAsia" w:ascii="仿宋_GB2312" w:hAnsi="Arial" w:eastAsia="仿宋_GB2312" w:cs="Arial"/>
          <w:color w:val="000000"/>
          <w:spacing w:val="-6"/>
          <w:sz w:val="32"/>
          <w:szCs w:val="32"/>
          <w:shd w:val="clear" w:color="auto" w:fill="FFFFFF"/>
        </w:rPr>
        <w:t>的差额及可用于</w:t>
      </w:r>
      <w:r>
        <w:rPr>
          <w:rFonts w:hint="eastAsia" w:ascii="仿宋_GB2312" w:eastAsia="仿宋_GB2312"/>
          <w:color w:val="000000"/>
          <w:spacing w:val="-6"/>
          <w:sz w:val="32"/>
          <w:szCs w:val="32"/>
          <w:u w:val="none"/>
        </w:rPr>
        <w:fldChar w:fldCharType="begin"/>
      </w:r>
      <w:r>
        <w:rPr>
          <w:rFonts w:hint="eastAsia" w:ascii="仿宋_GB2312" w:eastAsia="仿宋_GB2312"/>
          <w:color w:val="000000"/>
          <w:spacing w:val="-6"/>
          <w:sz w:val="32"/>
          <w:szCs w:val="32"/>
          <w:u w:val="none"/>
        </w:rPr>
        <w:instrText xml:space="preserve"> HYPERLINK "http://wiki.mbalib.com/wiki/%E8%BD%AC%E7%A7%BB%E6%94%AF%E4%BB%98" \o "转移支付" </w:instrText>
      </w:r>
      <w:r>
        <w:rPr>
          <w:rFonts w:hint="eastAsia" w:ascii="仿宋_GB2312" w:eastAsia="仿宋_GB2312"/>
          <w:color w:val="000000"/>
          <w:spacing w:val="-6"/>
          <w:sz w:val="32"/>
          <w:szCs w:val="32"/>
          <w:u w:val="none"/>
        </w:rPr>
        <w:fldChar w:fldCharType="separate"/>
      </w:r>
      <w:r>
        <w:rPr>
          <w:rStyle w:val="7"/>
          <w:rFonts w:hint="eastAsia" w:ascii="仿宋_GB2312" w:hAnsi="Arial" w:eastAsia="仿宋_GB2312" w:cs="Arial"/>
          <w:color w:val="000000"/>
          <w:spacing w:val="-6"/>
          <w:u w:val="none"/>
          <w:shd w:val="clear" w:color="auto" w:fill="FFFFFF"/>
        </w:rPr>
        <w:t>转移支付</w:t>
      </w:r>
      <w:r>
        <w:rPr>
          <w:rFonts w:hint="eastAsia" w:ascii="仿宋_GB2312" w:eastAsia="仿宋_GB2312"/>
          <w:color w:val="000000"/>
          <w:spacing w:val="-6"/>
          <w:sz w:val="32"/>
          <w:szCs w:val="32"/>
          <w:u w:val="none"/>
        </w:rPr>
        <w:fldChar w:fldCharType="end"/>
      </w:r>
      <w:r>
        <w:rPr>
          <w:rFonts w:hint="eastAsia" w:ascii="仿宋_GB2312" w:hAnsi="Arial" w:eastAsia="仿宋_GB2312" w:cs="Arial"/>
          <w:color w:val="000000"/>
          <w:spacing w:val="-6"/>
          <w:sz w:val="32"/>
          <w:szCs w:val="32"/>
          <w:shd w:val="clear" w:color="auto" w:fill="FFFFFF"/>
        </w:rPr>
        <w:t>的资金规模等客观因素，按统一公式计算确定。</w:t>
      </w:r>
      <w:r>
        <w:rPr>
          <w:rFonts w:hint="eastAsia" w:eastAsia="仿宋_GB2312"/>
          <w:color w:val="000000"/>
          <w:spacing w:val="-6"/>
          <w:sz w:val="32"/>
          <w:szCs w:val="32"/>
        </w:rPr>
        <w:t>该政策涵盖基本财力保障、民生支出、生态建设、脱贫攻坚、农业转移人口市民化等公共服务领域涉及的补助范围。</w:t>
      </w:r>
    </w:p>
    <w:p>
      <w:pPr>
        <w:keepNext w:val="0"/>
        <w:keepLines w:val="0"/>
        <w:pageBreakBefore w:val="0"/>
        <w:widowControl w:val="0"/>
        <w:kinsoku/>
        <w:wordWrap/>
        <w:overflowPunct/>
        <w:topLinePunct w:val="0"/>
        <w:autoSpaceDE/>
        <w:autoSpaceDN/>
        <w:bidi w:val="0"/>
        <w:adjustRightInd/>
        <w:snapToGrid/>
        <w:spacing w:line="498" w:lineRule="exact"/>
        <w:ind w:firstLine="643" w:firstLineChars="200"/>
        <w:textAlignment w:val="auto"/>
        <w:rPr>
          <w:rFonts w:hint="eastAsia" w:ascii="仿宋_GB2312" w:eastAsia="仿宋_GB2312"/>
          <w:color w:val="000000"/>
          <w:sz w:val="32"/>
          <w:szCs w:val="32"/>
          <w:shd w:val="clear" w:color="auto" w:fill="FFFFFF"/>
        </w:rPr>
      </w:pPr>
      <w:r>
        <w:rPr>
          <w:rFonts w:hint="eastAsia" w:ascii="仿宋_GB2312" w:eastAsia="仿宋_GB2312"/>
          <w:b/>
          <w:color w:val="000000"/>
          <w:sz w:val="32"/>
          <w:szCs w:val="32"/>
          <w:shd w:val="clear" w:color="auto" w:fill="FFFFFF"/>
        </w:rPr>
        <w:t>8.生态保护财力转移支付。</w:t>
      </w:r>
      <w:r>
        <w:rPr>
          <w:rFonts w:hint="eastAsia" w:ascii="仿宋_GB2312" w:eastAsia="仿宋_GB2312"/>
          <w:color w:val="000000"/>
          <w:sz w:val="32"/>
          <w:szCs w:val="32"/>
          <w:shd w:val="clear" w:color="auto" w:fill="FFFFFF"/>
        </w:rPr>
        <w:t>按照国家和省实施主体功能区规划的要求和我省实际，积极健全生态保护补偿机制，加大对生态保护的投入力度，对限制开发区域和禁止开发区域因保护生态环境承担的相关支出给予适当补助。</w:t>
      </w:r>
    </w:p>
    <w:p>
      <w:pPr>
        <w:keepNext w:val="0"/>
        <w:keepLines w:val="0"/>
        <w:pageBreakBefore w:val="0"/>
        <w:widowControl w:val="0"/>
        <w:kinsoku/>
        <w:wordWrap/>
        <w:overflowPunct/>
        <w:topLinePunct w:val="0"/>
        <w:autoSpaceDE/>
        <w:autoSpaceDN/>
        <w:bidi w:val="0"/>
        <w:adjustRightInd/>
        <w:snapToGrid/>
        <w:spacing w:line="498" w:lineRule="exact"/>
        <w:ind w:firstLine="643" w:firstLineChars="200"/>
        <w:textAlignment w:val="auto"/>
        <w:rPr>
          <w:rFonts w:hint="eastAsia" w:ascii="仿宋_GB2312" w:eastAsia="仿宋_GB2312"/>
          <w:color w:val="000000"/>
          <w:sz w:val="32"/>
          <w:szCs w:val="32"/>
        </w:rPr>
      </w:pPr>
      <w:r>
        <w:rPr>
          <w:rFonts w:hint="eastAsia" w:ascii="仿宋_GB2312" w:eastAsia="仿宋_GB2312"/>
          <w:b/>
          <w:color w:val="000000"/>
          <w:sz w:val="32"/>
          <w:szCs w:val="32"/>
          <w:shd w:val="clear" w:color="auto" w:fill="FFFFFF"/>
        </w:rPr>
        <w:t>9.县级基本财力保障县。</w:t>
      </w:r>
      <w:r>
        <w:rPr>
          <w:rFonts w:hint="eastAsia" w:ascii="仿宋_GB2312" w:eastAsia="仿宋_GB2312"/>
          <w:color w:val="000000"/>
          <w:sz w:val="32"/>
          <w:szCs w:val="32"/>
        </w:rPr>
        <w:t>以县乡政府实现“保工资、保运转、保民生”为目标，主要保障基层政府人员经费、公用经费、民生支出和其他必要支出等。</w:t>
      </w:r>
    </w:p>
    <w:p>
      <w:pPr>
        <w:keepNext w:val="0"/>
        <w:keepLines w:val="0"/>
        <w:pageBreakBefore w:val="0"/>
        <w:kinsoku/>
        <w:wordWrap/>
        <w:overflowPunct/>
        <w:topLinePunct w:val="0"/>
        <w:autoSpaceDE/>
        <w:autoSpaceDN/>
        <w:bidi w:val="0"/>
        <w:adjustRightInd/>
        <w:snapToGrid/>
        <w:spacing w:line="498" w:lineRule="exact"/>
        <w:ind w:firstLine="645"/>
        <w:textAlignment w:val="auto"/>
        <w:rPr>
          <w:rFonts w:hint="eastAsia" w:ascii="仿宋_GB2312" w:eastAsia="仿宋_GB2312"/>
          <w:color w:val="000000"/>
          <w:sz w:val="32"/>
          <w:szCs w:val="32"/>
        </w:rPr>
      </w:pPr>
      <w:r>
        <w:rPr>
          <w:rFonts w:hint="eastAsia" w:ascii="仿宋_GB2312" w:eastAsia="仿宋_GB2312"/>
          <w:b/>
          <w:color w:val="000000"/>
          <w:sz w:val="32"/>
          <w:szCs w:val="32"/>
        </w:rPr>
        <w:t>1</w:t>
      </w:r>
      <w:r>
        <w:rPr>
          <w:rFonts w:hint="eastAsia" w:ascii="仿宋_GB2312" w:eastAsia="仿宋_GB2312"/>
          <w:b/>
          <w:color w:val="000000"/>
          <w:sz w:val="32"/>
          <w:szCs w:val="32"/>
          <w:lang w:val="en-US" w:eastAsia="zh-CN"/>
        </w:rPr>
        <w:t>0</w:t>
      </w:r>
      <w:r>
        <w:rPr>
          <w:rFonts w:hint="eastAsia" w:ascii="仿宋_GB2312" w:eastAsia="仿宋_GB2312"/>
          <w:b/>
          <w:color w:val="000000"/>
          <w:sz w:val="32"/>
          <w:szCs w:val="32"/>
        </w:rPr>
        <w:t>.政府债务限额管理。</w:t>
      </w:r>
      <w:r>
        <w:rPr>
          <w:rFonts w:hint="eastAsia" w:ascii="仿宋_GB2312" w:eastAsia="仿宋_GB2312"/>
          <w:color w:val="000000"/>
          <w:sz w:val="32"/>
          <w:szCs w:val="32"/>
        </w:rPr>
        <w:t>省级财政部门依照财政部下达的限额，提出本地区政府债务安排建议，编制预算调整方案，经省级政府报本级人大常委会批准；根据债务风险、财力状况等因素并统筹本地区建设投资需求</w:t>
      </w:r>
      <w:r>
        <w:rPr>
          <w:rFonts w:hint="eastAsia" w:ascii="仿宋_GB2312" w:eastAsia="仿宋_GB2312"/>
          <w:color w:val="000000"/>
          <w:sz w:val="32"/>
          <w:szCs w:val="32"/>
          <w:lang w:eastAsia="zh-CN"/>
        </w:rPr>
        <w:t>，</w:t>
      </w:r>
      <w:r>
        <w:rPr>
          <w:rFonts w:hint="eastAsia" w:ascii="仿宋_GB2312" w:eastAsia="仿宋_GB2312"/>
          <w:color w:val="000000"/>
          <w:sz w:val="32"/>
          <w:szCs w:val="32"/>
        </w:rPr>
        <w:t>提出省本级及所属各市县当年政府债务限额，报省级政府批准后下达各市县级政府。</w:t>
      </w:r>
    </w:p>
    <w:p>
      <w:pPr>
        <w:keepNext w:val="0"/>
        <w:keepLines w:val="0"/>
        <w:pageBreakBefore w:val="0"/>
        <w:kinsoku/>
        <w:wordWrap/>
        <w:overflowPunct/>
        <w:topLinePunct w:val="0"/>
        <w:autoSpaceDE/>
        <w:autoSpaceDN/>
        <w:bidi w:val="0"/>
        <w:adjustRightInd/>
        <w:snapToGrid/>
        <w:spacing w:line="498" w:lineRule="exact"/>
        <w:ind w:firstLine="645"/>
        <w:textAlignment w:val="auto"/>
        <w:rPr>
          <w:rFonts w:hint="eastAsia" w:ascii="仿宋_GB2312" w:eastAsia="仿宋_GB2312"/>
          <w:color w:val="000000"/>
          <w:sz w:val="32"/>
          <w:szCs w:val="32"/>
        </w:rPr>
      </w:pPr>
      <w:r>
        <w:rPr>
          <w:rFonts w:hint="eastAsia" w:ascii="仿宋_GB2312" w:eastAsia="仿宋_GB2312"/>
          <w:b/>
          <w:color w:val="000000"/>
          <w:sz w:val="32"/>
          <w:szCs w:val="32"/>
        </w:rPr>
        <w:t>1</w:t>
      </w:r>
      <w:r>
        <w:rPr>
          <w:rFonts w:hint="eastAsia" w:ascii="仿宋_GB2312" w:eastAsia="仿宋_GB2312"/>
          <w:b/>
          <w:color w:val="000000"/>
          <w:sz w:val="32"/>
          <w:szCs w:val="32"/>
          <w:lang w:val="en-US" w:eastAsia="zh-CN"/>
        </w:rPr>
        <w:t>1</w:t>
      </w:r>
      <w:r>
        <w:rPr>
          <w:rFonts w:hint="eastAsia" w:ascii="仿宋_GB2312" w:eastAsia="仿宋_GB2312"/>
          <w:b/>
          <w:color w:val="000000"/>
          <w:sz w:val="32"/>
          <w:szCs w:val="32"/>
        </w:rPr>
        <w:t>.预算绩效管理。</w:t>
      </w:r>
      <w:r>
        <w:rPr>
          <w:rFonts w:hint="eastAsia" w:ascii="仿宋_GB2312" w:eastAsia="仿宋_GB2312"/>
          <w:color w:val="000000"/>
          <w:sz w:val="32"/>
          <w:szCs w:val="32"/>
        </w:rPr>
        <w:t>指预算资金所达到的产出和结果。</w:t>
      </w:r>
    </w:p>
    <w:p>
      <w:pPr>
        <w:keepNext w:val="0"/>
        <w:keepLines w:val="0"/>
        <w:pageBreakBefore w:val="0"/>
        <w:kinsoku/>
        <w:wordWrap/>
        <w:overflowPunct/>
        <w:topLinePunct w:val="0"/>
        <w:autoSpaceDE/>
        <w:autoSpaceDN/>
        <w:bidi w:val="0"/>
        <w:adjustRightInd/>
        <w:snapToGrid/>
        <w:spacing w:line="498" w:lineRule="exact"/>
        <w:ind w:firstLine="643" w:firstLineChars="200"/>
        <w:textAlignment w:val="auto"/>
        <w:rPr>
          <w:rFonts w:hint="eastAsia" w:ascii="仿宋_GB2312" w:hAnsi="Arial" w:eastAsia="仿宋_GB2312" w:cs="Arial"/>
          <w:color w:val="000000"/>
          <w:kern w:val="0"/>
          <w:sz w:val="24"/>
          <w:szCs w:val="24"/>
          <w:lang w:eastAsia="zh-CN"/>
        </w:rPr>
      </w:pPr>
      <w:r>
        <w:rPr>
          <w:rFonts w:hint="eastAsia" w:ascii="仿宋_GB2312" w:eastAsia="仿宋_GB2312"/>
          <w:b/>
          <w:color w:val="000000"/>
          <w:sz w:val="32"/>
          <w:szCs w:val="32"/>
        </w:rPr>
        <w:t>1</w:t>
      </w:r>
      <w:r>
        <w:rPr>
          <w:rFonts w:hint="eastAsia" w:ascii="仿宋_GB2312" w:eastAsia="仿宋_GB2312"/>
          <w:b/>
          <w:color w:val="000000"/>
          <w:sz w:val="32"/>
          <w:szCs w:val="32"/>
          <w:lang w:val="en-US" w:eastAsia="zh-CN"/>
        </w:rPr>
        <w:t>2</w:t>
      </w:r>
      <w:r>
        <w:rPr>
          <w:rFonts w:hint="eastAsia" w:ascii="仿宋_GB2312" w:eastAsia="仿宋_GB2312"/>
          <w:b/>
          <w:color w:val="000000"/>
          <w:sz w:val="32"/>
          <w:szCs w:val="32"/>
        </w:rPr>
        <w:t>.民生支出。</w:t>
      </w:r>
      <w:r>
        <w:rPr>
          <w:rFonts w:hint="eastAsia" w:ascii="仿宋_GB2312" w:eastAsia="仿宋_GB2312"/>
          <w:color w:val="000000"/>
          <w:sz w:val="32"/>
          <w:szCs w:val="32"/>
        </w:rPr>
        <w:t>按照财政部统计口径，民生支出分为“与民生直接相关的支出”和“与民生密切相关的支出”，其中，“与民生直接相关的支出”包括教育、文体传媒、社保和就业、医疗卫生、住房保障等5个类级科目；“与民生密切相关的支出”包括科技、节能环保、城乡社区事务、农林水、交通运输、商业服务业、国土资源气象、粮油物资储备等8个类级科目。我省省级预算报告和草案中所指民生支出，既包括民生直接相关支出，也包括民生密切相关支出，共13个类级科目。</w:t>
      </w:r>
    </w:p>
    <w:sectPr>
      <w:footerReference r:id="rId3" w:type="default"/>
      <w:pgSz w:w="11906" w:h="16838"/>
      <w:pgMar w:top="1531" w:right="1644" w:bottom="1814" w:left="164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roman"/>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4C493C"/>
    <w:rsid w:val="005E1BB5"/>
    <w:rsid w:val="02DA210C"/>
    <w:rsid w:val="03C54365"/>
    <w:rsid w:val="057F41E8"/>
    <w:rsid w:val="06E11BEE"/>
    <w:rsid w:val="07653C6E"/>
    <w:rsid w:val="0778056F"/>
    <w:rsid w:val="0A614B1C"/>
    <w:rsid w:val="0C046005"/>
    <w:rsid w:val="0CEE4B51"/>
    <w:rsid w:val="0D2D1A0C"/>
    <w:rsid w:val="0E395320"/>
    <w:rsid w:val="0E5C6CFA"/>
    <w:rsid w:val="0E67150E"/>
    <w:rsid w:val="0E962BD8"/>
    <w:rsid w:val="0ED06E31"/>
    <w:rsid w:val="0F34719A"/>
    <w:rsid w:val="0F3809A2"/>
    <w:rsid w:val="0F8975D2"/>
    <w:rsid w:val="126D4C22"/>
    <w:rsid w:val="13C35218"/>
    <w:rsid w:val="140E2B2E"/>
    <w:rsid w:val="14A224C2"/>
    <w:rsid w:val="14CB09B3"/>
    <w:rsid w:val="14ED3AE1"/>
    <w:rsid w:val="15F5190F"/>
    <w:rsid w:val="16242BAD"/>
    <w:rsid w:val="18083E7E"/>
    <w:rsid w:val="184C493C"/>
    <w:rsid w:val="184F233B"/>
    <w:rsid w:val="18810588"/>
    <w:rsid w:val="18A6580A"/>
    <w:rsid w:val="18FC6C96"/>
    <w:rsid w:val="19B53853"/>
    <w:rsid w:val="1AB10EF5"/>
    <w:rsid w:val="1AB358F8"/>
    <w:rsid w:val="1AF649B3"/>
    <w:rsid w:val="1AFB2C25"/>
    <w:rsid w:val="1D3A0E4D"/>
    <w:rsid w:val="1DF47310"/>
    <w:rsid w:val="1E487417"/>
    <w:rsid w:val="1FA76277"/>
    <w:rsid w:val="1FB405B8"/>
    <w:rsid w:val="215370CE"/>
    <w:rsid w:val="22446516"/>
    <w:rsid w:val="23A97365"/>
    <w:rsid w:val="23BA646E"/>
    <w:rsid w:val="23C97A72"/>
    <w:rsid w:val="24B116E7"/>
    <w:rsid w:val="24CF219D"/>
    <w:rsid w:val="25A457A3"/>
    <w:rsid w:val="263A1CC6"/>
    <w:rsid w:val="26AE7520"/>
    <w:rsid w:val="27EF176E"/>
    <w:rsid w:val="28620B6D"/>
    <w:rsid w:val="29024401"/>
    <w:rsid w:val="2A395806"/>
    <w:rsid w:val="2A4A3BD3"/>
    <w:rsid w:val="2AED7A2A"/>
    <w:rsid w:val="2D8D6944"/>
    <w:rsid w:val="2DE35A68"/>
    <w:rsid w:val="2E586E15"/>
    <w:rsid w:val="2F051AF5"/>
    <w:rsid w:val="2F197984"/>
    <w:rsid w:val="2F832865"/>
    <w:rsid w:val="2FBA4F84"/>
    <w:rsid w:val="30745EB1"/>
    <w:rsid w:val="30E12E48"/>
    <w:rsid w:val="30FC7C47"/>
    <w:rsid w:val="314C6DAB"/>
    <w:rsid w:val="3175310B"/>
    <w:rsid w:val="319748D7"/>
    <w:rsid w:val="32282D54"/>
    <w:rsid w:val="32B613FE"/>
    <w:rsid w:val="34192D23"/>
    <w:rsid w:val="35010477"/>
    <w:rsid w:val="35380412"/>
    <w:rsid w:val="35F8123D"/>
    <w:rsid w:val="36DB6510"/>
    <w:rsid w:val="3884097D"/>
    <w:rsid w:val="398A2508"/>
    <w:rsid w:val="3A0017BA"/>
    <w:rsid w:val="3A632300"/>
    <w:rsid w:val="3A793E3F"/>
    <w:rsid w:val="3A7C1578"/>
    <w:rsid w:val="3AE46629"/>
    <w:rsid w:val="3C392CD6"/>
    <w:rsid w:val="3CEC602E"/>
    <w:rsid w:val="3CF26416"/>
    <w:rsid w:val="3CFB674D"/>
    <w:rsid w:val="3D1034DB"/>
    <w:rsid w:val="3D636684"/>
    <w:rsid w:val="3E303033"/>
    <w:rsid w:val="3E783201"/>
    <w:rsid w:val="3F814F85"/>
    <w:rsid w:val="3FAB3AD3"/>
    <w:rsid w:val="40691D3B"/>
    <w:rsid w:val="437A581A"/>
    <w:rsid w:val="45413B11"/>
    <w:rsid w:val="45751955"/>
    <w:rsid w:val="46D2245E"/>
    <w:rsid w:val="47CC255D"/>
    <w:rsid w:val="48E9129A"/>
    <w:rsid w:val="49197D93"/>
    <w:rsid w:val="49742C92"/>
    <w:rsid w:val="4A650801"/>
    <w:rsid w:val="4AD009D1"/>
    <w:rsid w:val="4D954D28"/>
    <w:rsid w:val="4E1F66DA"/>
    <w:rsid w:val="50594D69"/>
    <w:rsid w:val="512A2F00"/>
    <w:rsid w:val="513B362B"/>
    <w:rsid w:val="513C3213"/>
    <w:rsid w:val="53624386"/>
    <w:rsid w:val="549E4AB5"/>
    <w:rsid w:val="54BA54F2"/>
    <w:rsid w:val="54E71DDC"/>
    <w:rsid w:val="55024F36"/>
    <w:rsid w:val="55917DF2"/>
    <w:rsid w:val="55B435AF"/>
    <w:rsid w:val="56C81BB8"/>
    <w:rsid w:val="578B48C0"/>
    <w:rsid w:val="5825770F"/>
    <w:rsid w:val="59E43318"/>
    <w:rsid w:val="59F90F95"/>
    <w:rsid w:val="5A645857"/>
    <w:rsid w:val="5AAB717B"/>
    <w:rsid w:val="5BD7054A"/>
    <w:rsid w:val="5BF45879"/>
    <w:rsid w:val="5C1D5D82"/>
    <w:rsid w:val="5C8C6B62"/>
    <w:rsid w:val="5DF40F93"/>
    <w:rsid w:val="615268D8"/>
    <w:rsid w:val="61702B1E"/>
    <w:rsid w:val="626D40A1"/>
    <w:rsid w:val="63372741"/>
    <w:rsid w:val="641C76ED"/>
    <w:rsid w:val="649E5252"/>
    <w:rsid w:val="64DA2C9D"/>
    <w:rsid w:val="65C6715E"/>
    <w:rsid w:val="684C58FF"/>
    <w:rsid w:val="69D81F9E"/>
    <w:rsid w:val="6A53597A"/>
    <w:rsid w:val="6BA428A0"/>
    <w:rsid w:val="6BD50031"/>
    <w:rsid w:val="6E7B2BAD"/>
    <w:rsid w:val="6EB26A14"/>
    <w:rsid w:val="6EF02386"/>
    <w:rsid w:val="6F2C0F69"/>
    <w:rsid w:val="6F8D2946"/>
    <w:rsid w:val="6FD87241"/>
    <w:rsid w:val="707508EC"/>
    <w:rsid w:val="72D20CA2"/>
    <w:rsid w:val="72D91868"/>
    <w:rsid w:val="73044C6B"/>
    <w:rsid w:val="746C209C"/>
    <w:rsid w:val="749938F7"/>
    <w:rsid w:val="74A42916"/>
    <w:rsid w:val="759871CA"/>
    <w:rsid w:val="781A13DA"/>
    <w:rsid w:val="78725467"/>
    <w:rsid w:val="78BA4813"/>
    <w:rsid w:val="7A57490B"/>
    <w:rsid w:val="7B7A2230"/>
    <w:rsid w:val="7BB27A79"/>
    <w:rsid w:val="7CA95C62"/>
    <w:rsid w:val="7E647DC3"/>
    <w:rsid w:val="7F371221"/>
    <w:rsid w:val="7F6461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semiHidden/>
    <w:uiPriority w:val="0"/>
    <w:rPr>
      <w:rFonts w:eastAsia="仿宋_GB2312"/>
      <w:sz w:val="31"/>
    </w:rPr>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paragraph" w:customStyle="1" w:styleId="6">
    <w:name w:val=" Char1"/>
    <w:basedOn w:val="1"/>
    <w:link w:val="5"/>
    <w:qFormat/>
    <w:uiPriority w:val="0"/>
    <w:rPr>
      <w:rFonts w:eastAsia="仿宋_GB2312"/>
      <w:sz w:val="31"/>
    </w:rPr>
  </w:style>
  <w:style w:type="character" w:styleId="7">
    <w:name w:val="Hyperlink"/>
    <w:basedOn w:val="5"/>
    <w:uiPriority w:val="0"/>
    <w:rPr>
      <w:color w:val="136EC2"/>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2018-12-30T14:14:00Z</dcterms:created>
  <dc:creator>蓝天图文快印</dc:creator>
  <cp:lastModifiedBy>蓝天图文快印</cp:lastModifiedBy>
  <cp:lastPrinted>2018-12-31T06:51:59Z</cp:lastPrinted>
  <dcterms:modified xsi:type="dcterms:W3CDTF">2018-12-31T06:56:33Z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