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560" w:lineRule="exact"/>
        <w:ind w:firstLine="0" w:firstLineChars="0"/>
        <w:jc w:val="left"/>
        <w:textAlignment w:val="auto"/>
        <w:rPr>
          <w:rFonts w:hint="default" w:ascii="方正小标宋简体" w:hAnsi="宋体" w:eastAsia="方正小标宋简体" w:cs="方正小标宋简体"/>
          <w:sz w:val="44"/>
          <w:szCs w:val="44"/>
          <w:lang w:val="en-US"/>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val="0"/>
        <w:autoSpaceDN w:val="0"/>
        <w:bidi w:val="0"/>
        <w:adjustRightInd/>
        <w:snapToGrid/>
        <w:spacing w:line="560" w:lineRule="exact"/>
        <w:ind w:firstLine="0" w:firstLineChars="0"/>
        <w:jc w:val="center"/>
        <w:textAlignment w:val="auto"/>
        <w:rPr>
          <w:rFonts w:hint="eastAsia" w:ascii="方正小标宋简体" w:hAnsi="宋体" w:eastAsia="方正小标宋简体" w:cs="方正小标宋简体"/>
          <w:sz w:val="44"/>
          <w:szCs w:val="44"/>
        </w:rPr>
      </w:pPr>
    </w:p>
    <w:p>
      <w:pPr>
        <w:keepNext w:val="0"/>
        <w:keepLines w:val="0"/>
        <w:pageBreakBefore w:val="0"/>
        <w:widowControl w:val="0"/>
        <w:kinsoku/>
        <w:wordWrap/>
        <w:overflowPunct/>
        <w:topLinePunct w:val="0"/>
        <w:autoSpaceDE w:val="0"/>
        <w:autoSpaceDN w:val="0"/>
        <w:bidi w:val="0"/>
        <w:adjustRightInd/>
        <w:snapToGrid/>
        <w:spacing w:line="560" w:lineRule="exact"/>
        <w:ind w:firstLine="0" w:firstLineChars="0"/>
        <w:jc w:val="center"/>
        <w:textAlignment w:val="auto"/>
        <w:rPr>
          <w:rFonts w:hint="eastAsia" w:ascii="方正小标宋简体" w:hAnsi="宋体" w:eastAsia="方正小标宋简体" w:cs="方正小标宋简体"/>
          <w:sz w:val="44"/>
          <w:szCs w:val="44"/>
          <w:lang w:val="en-US" w:eastAsia="zh-CN"/>
        </w:rPr>
      </w:pPr>
      <w:r>
        <w:rPr>
          <w:rFonts w:hint="eastAsia" w:ascii="方正小标宋简体" w:hAnsi="宋体" w:eastAsia="方正小标宋简体" w:cs="方正小标宋简体"/>
          <w:sz w:val="44"/>
          <w:szCs w:val="44"/>
          <w:lang w:val="en-US" w:eastAsia="zh-CN"/>
        </w:rPr>
        <w:t>德化县2021年度第六批次土地征收</w:t>
      </w:r>
    </w:p>
    <w:p>
      <w:pPr>
        <w:keepNext w:val="0"/>
        <w:keepLines w:val="0"/>
        <w:pageBreakBefore w:val="0"/>
        <w:widowControl w:val="0"/>
        <w:kinsoku/>
        <w:wordWrap/>
        <w:overflowPunct/>
        <w:topLinePunct w:val="0"/>
        <w:autoSpaceDE w:val="0"/>
        <w:autoSpaceDN w:val="0"/>
        <w:bidi w:val="0"/>
        <w:adjustRightInd/>
        <w:snapToGrid/>
        <w:spacing w:line="560" w:lineRule="exact"/>
        <w:ind w:firstLine="0" w:firstLineChars="0"/>
        <w:jc w:val="center"/>
        <w:textAlignment w:val="auto"/>
        <w:rPr>
          <w:rFonts w:hint="eastAsia" w:ascii="方正小标宋简体" w:hAnsi="宋体" w:eastAsia="方正小标宋简体" w:cs="方正小标宋简体"/>
          <w:sz w:val="44"/>
          <w:szCs w:val="44"/>
          <w:lang w:val="en-US" w:eastAsia="zh-CN"/>
        </w:rPr>
      </w:pPr>
      <w:r>
        <w:rPr>
          <w:rFonts w:hint="eastAsia" w:ascii="方正小标宋简体" w:hAnsi="宋体" w:eastAsia="方正小标宋简体" w:cs="方正小标宋简体"/>
          <w:sz w:val="44"/>
          <w:szCs w:val="44"/>
          <w:lang w:val="en-US" w:eastAsia="zh-CN"/>
        </w:rPr>
        <w:t>成片开发方案（草案）</w:t>
      </w:r>
    </w:p>
    <w:p>
      <w:pPr>
        <w:keepNext w:val="0"/>
        <w:keepLines w:val="0"/>
        <w:pageBreakBefore w:val="0"/>
        <w:widowControl w:val="0"/>
        <w:kinsoku/>
        <w:wordWrap/>
        <w:overflowPunct/>
        <w:topLinePunct w:val="0"/>
        <w:autoSpaceDE w:val="0"/>
        <w:autoSpaceDN w:val="0"/>
        <w:bidi w:val="0"/>
        <w:adjustRightInd/>
        <w:snapToGrid/>
        <w:spacing w:line="560" w:lineRule="exact"/>
        <w:ind w:firstLine="643"/>
        <w:textAlignment w:val="auto"/>
        <w:rPr>
          <w:rFonts w:hint="eastAsia" w:ascii="黑体" w:hAnsi="黑体" w:eastAsia="黑体" w:cs="黑体"/>
          <w:b/>
          <w:bCs/>
          <w:sz w:val="32"/>
          <w:szCs w:val="32"/>
        </w:rPr>
      </w:pPr>
    </w:p>
    <w:p>
      <w:pPr>
        <w:keepNext w:val="0"/>
        <w:keepLines w:val="0"/>
        <w:pageBreakBefore w:val="0"/>
        <w:widowControl w:val="0"/>
        <w:kinsoku/>
        <w:wordWrap/>
        <w:overflowPunct/>
        <w:topLinePunct w:val="0"/>
        <w:autoSpaceDE w:val="0"/>
        <w:autoSpaceDN w:val="0"/>
        <w:bidi w:val="0"/>
        <w:adjustRightInd/>
        <w:snapToGrid/>
        <w:spacing w:line="560" w:lineRule="exact"/>
        <w:ind w:firstLine="643"/>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一、编制依据</w:t>
      </w:r>
    </w:p>
    <w:p>
      <w:pPr>
        <w:pStyle w:val="6"/>
        <w:keepNext w:val="0"/>
        <w:keepLines w:val="0"/>
        <w:pageBreakBefore w:val="0"/>
        <w:widowControl w:val="0"/>
        <w:kinsoku/>
        <w:wordWrap/>
        <w:overflowPunct/>
        <w:topLinePunct w:val="0"/>
        <w:bidi w:val="0"/>
        <w:adjustRightInd/>
        <w:snapToGrid/>
        <w:spacing w:line="560" w:lineRule="exact"/>
        <w:ind w:firstLine="560"/>
        <w:textAlignment w:val="auto"/>
        <w:rPr>
          <w:rFonts w:hint="eastAsia" w:ascii="仿宋_GB2312" w:hAnsi="宋体" w:eastAsia="仿宋_GB2312" w:cs="仿宋_GB2312"/>
          <w:kern w:val="2"/>
          <w:sz w:val="32"/>
          <w:szCs w:val="32"/>
          <w:lang w:val="zh-CN" w:eastAsia="zh-CN" w:bidi="ar-SA"/>
        </w:rPr>
      </w:pPr>
      <w:r>
        <w:rPr>
          <w:rFonts w:hint="eastAsia" w:ascii="仿宋_GB2312" w:hAnsi="宋体" w:eastAsia="仿宋_GB2312" w:cs="仿宋_GB2312"/>
          <w:kern w:val="2"/>
          <w:sz w:val="32"/>
          <w:szCs w:val="32"/>
          <w:lang w:val="zh-CN" w:eastAsia="zh-CN" w:bidi="ar-SA"/>
        </w:rPr>
        <w:t>依据德化县国民经济和社会发展规划、年度计划、《德化县土地利用总体规划》（2006-2020年）、《德化县城市总体规划修编》（2008-2020）和《德化城东四期工业项目集中区古洋片区控制性详细规划》，编制《德化县2021年度第</w:t>
      </w:r>
      <w:r>
        <w:rPr>
          <w:rFonts w:hint="eastAsia" w:ascii="仿宋_GB2312" w:hAnsi="宋体" w:eastAsia="仿宋_GB2312" w:cs="仿宋_GB2312"/>
          <w:kern w:val="2"/>
          <w:sz w:val="32"/>
          <w:szCs w:val="32"/>
          <w:lang w:val="en-US" w:eastAsia="zh-CN" w:bidi="ar-SA"/>
        </w:rPr>
        <w:t>六</w:t>
      </w:r>
      <w:r>
        <w:rPr>
          <w:rFonts w:hint="eastAsia" w:ascii="仿宋_GB2312" w:hAnsi="宋体" w:eastAsia="仿宋_GB2312" w:cs="仿宋_GB2312"/>
          <w:kern w:val="2"/>
          <w:sz w:val="32"/>
          <w:szCs w:val="32"/>
          <w:lang w:val="zh-CN" w:eastAsia="zh-CN" w:bidi="ar-SA"/>
        </w:rPr>
        <w:t>批次土地征收成片开发方案》(德化城东四期古洋片区）。</w:t>
      </w:r>
    </w:p>
    <w:p>
      <w:pPr>
        <w:keepNext w:val="0"/>
        <w:keepLines w:val="0"/>
        <w:pageBreakBefore w:val="0"/>
        <w:widowControl w:val="0"/>
        <w:kinsoku/>
        <w:wordWrap/>
        <w:overflowPunct/>
        <w:topLinePunct w:val="0"/>
        <w:autoSpaceDE w:val="0"/>
        <w:autoSpaceDN w:val="0"/>
        <w:bidi w:val="0"/>
        <w:adjustRightInd/>
        <w:snapToGrid/>
        <w:spacing w:line="560" w:lineRule="exact"/>
        <w:ind w:firstLine="643"/>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二、基本情况</w:t>
      </w:r>
    </w:p>
    <w:p>
      <w:pPr>
        <w:pStyle w:val="6"/>
        <w:keepNext w:val="0"/>
        <w:keepLines w:val="0"/>
        <w:pageBreakBefore w:val="0"/>
        <w:widowControl w:val="0"/>
        <w:kinsoku/>
        <w:wordWrap/>
        <w:overflowPunct/>
        <w:topLinePunct w:val="0"/>
        <w:bidi w:val="0"/>
        <w:adjustRightInd/>
        <w:snapToGrid/>
        <w:spacing w:line="560" w:lineRule="exact"/>
        <w:ind w:firstLine="560"/>
        <w:textAlignment w:val="auto"/>
        <w:rPr>
          <w:rFonts w:hint="eastAsia" w:ascii="仿宋_GB2312" w:hAnsi="宋体" w:eastAsia="仿宋_GB2312" w:cs="仿宋_GB2312"/>
          <w:kern w:val="2"/>
          <w:sz w:val="32"/>
          <w:szCs w:val="32"/>
          <w:lang w:val="zh-CN" w:eastAsia="zh-CN" w:bidi="ar-SA"/>
        </w:rPr>
      </w:pPr>
      <w:r>
        <w:rPr>
          <w:rFonts w:hint="eastAsia" w:ascii="仿宋_GB2312" w:hAnsi="宋体" w:cs="仿宋_GB2312"/>
          <w:kern w:val="2"/>
          <w:sz w:val="32"/>
          <w:szCs w:val="32"/>
          <w:lang w:val="en-US" w:eastAsia="zh-CN" w:bidi="ar-SA"/>
        </w:rPr>
        <w:t>本次成片开发区域</w:t>
      </w:r>
      <w:r>
        <w:rPr>
          <w:rFonts w:hint="eastAsia" w:ascii="仿宋_GB2312" w:hAnsi="宋体" w:eastAsia="仿宋_GB2312" w:cs="仿宋_GB2312"/>
          <w:kern w:val="2"/>
          <w:sz w:val="32"/>
          <w:szCs w:val="32"/>
          <w:lang w:val="en-US" w:eastAsia="zh-CN" w:bidi="ar-SA"/>
        </w:rPr>
        <w:t>位于城东组团城东四期工业项目集中区古洋片区</w:t>
      </w:r>
      <w:r>
        <w:rPr>
          <w:rFonts w:hint="eastAsia" w:ascii="仿宋_GB2312" w:hAnsi="宋体" w:eastAsia="仿宋_GB2312" w:cs="仿宋_GB2312"/>
          <w:kern w:val="2"/>
          <w:sz w:val="32"/>
          <w:szCs w:val="32"/>
          <w:lang w:val="zh-CN" w:eastAsia="zh-CN" w:bidi="ar-SA"/>
        </w:rPr>
        <w:t>，总面积</w:t>
      </w:r>
      <w:r>
        <w:rPr>
          <w:rFonts w:hint="eastAsia" w:ascii="仿宋_GB2312" w:hAnsi="宋体" w:eastAsia="仿宋_GB2312" w:cs="仿宋_GB2312"/>
          <w:kern w:val="2"/>
          <w:sz w:val="32"/>
          <w:szCs w:val="32"/>
          <w:lang w:val="en-US" w:eastAsia="zh-CN" w:bidi="ar-SA"/>
        </w:rPr>
        <w:t>84.8738</w:t>
      </w:r>
      <w:r>
        <w:rPr>
          <w:rFonts w:hint="eastAsia" w:ascii="仿宋_GB2312" w:hAnsi="宋体" w:eastAsia="仿宋_GB2312" w:cs="仿宋_GB2312"/>
          <w:kern w:val="2"/>
          <w:sz w:val="32"/>
          <w:szCs w:val="32"/>
          <w:lang w:val="zh-CN" w:eastAsia="zh-CN" w:bidi="ar-SA"/>
        </w:rPr>
        <w:t>公顷，其中：农用地72.4040公顷，建设用地</w:t>
      </w:r>
      <w:r>
        <w:rPr>
          <w:rFonts w:hint="eastAsia" w:ascii="仿宋_GB2312" w:hAnsi="宋体" w:eastAsia="仿宋_GB2312" w:cs="仿宋_GB2312"/>
          <w:kern w:val="2"/>
          <w:sz w:val="32"/>
          <w:szCs w:val="32"/>
          <w:lang w:val="en-US" w:eastAsia="zh-CN" w:bidi="ar-SA"/>
        </w:rPr>
        <w:t>8.2847</w:t>
      </w:r>
      <w:r>
        <w:rPr>
          <w:rFonts w:hint="eastAsia" w:ascii="仿宋_GB2312" w:hAnsi="宋体" w:eastAsia="仿宋_GB2312" w:cs="仿宋_GB2312"/>
          <w:kern w:val="2"/>
          <w:sz w:val="32"/>
          <w:szCs w:val="32"/>
          <w:lang w:val="zh-CN" w:eastAsia="zh-CN" w:bidi="ar-SA"/>
        </w:rPr>
        <w:t>公顷，未利用地4.1851公顷。</w:t>
      </w:r>
      <w:r>
        <w:rPr>
          <w:rFonts w:hint="eastAsia" w:ascii="仿宋_GB2312" w:hAnsi="宋体" w:cs="仿宋_GB2312"/>
          <w:kern w:val="2"/>
          <w:sz w:val="32"/>
          <w:szCs w:val="32"/>
          <w:lang w:val="zh-CN" w:eastAsia="zh-CN" w:bidi="ar-SA"/>
        </w:rPr>
        <w:t>拟征收浔中镇</w:t>
      </w:r>
      <w:r>
        <w:rPr>
          <w:rFonts w:hint="eastAsia" w:ascii="仿宋_GB2312" w:hAnsi="宋体" w:eastAsia="仿宋_GB2312" w:cs="仿宋_GB2312"/>
          <w:kern w:val="2"/>
          <w:sz w:val="32"/>
          <w:szCs w:val="32"/>
          <w:lang w:val="zh-CN" w:eastAsia="zh-CN" w:bidi="ar-SA"/>
        </w:rPr>
        <w:t>后所村15.3870公顷，</w:t>
      </w:r>
      <w:r>
        <w:rPr>
          <w:rFonts w:hint="eastAsia" w:ascii="仿宋_GB2312" w:hAnsi="宋体" w:cs="仿宋_GB2312"/>
          <w:kern w:val="2"/>
          <w:sz w:val="32"/>
          <w:szCs w:val="32"/>
          <w:lang w:val="zh-CN" w:eastAsia="zh-CN" w:bidi="ar-SA"/>
        </w:rPr>
        <w:t>浔中镇</w:t>
      </w:r>
      <w:r>
        <w:rPr>
          <w:rFonts w:hint="eastAsia" w:ascii="仿宋_GB2312" w:hAnsi="宋体" w:eastAsia="仿宋_GB2312" w:cs="仿宋_GB2312"/>
          <w:kern w:val="2"/>
          <w:sz w:val="32"/>
          <w:szCs w:val="32"/>
          <w:lang w:val="zh-CN" w:eastAsia="zh-CN" w:bidi="ar-SA"/>
        </w:rPr>
        <w:t>凤洋村11.9251公顷，</w:t>
      </w:r>
      <w:r>
        <w:rPr>
          <w:rFonts w:hint="eastAsia" w:ascii="仿宋_GB2312" w:hAnsi="宋体" w:cs="仿宋_GB2312"/>
          <w:kern w:val="2"/>
          <w:sz w:val="32"/>
          <w:szCs w:val="32"/>
          <w:lang w:val="zh-CN" w:eastAsia="zh-CN" w:bidi="ar-SA"/>
        </w:rPr>
        <w:t>龙门滩镇</w:t>
      </w:r>
      <w:r>
        <w:rPr>
          <w:rFonts w:hint="eastAsia" w:ascii="仿宋_GB2312" w:hAnsi="宋体" w:eastAsia="仿宋_GB2312" w:cs="仿宋_GB2312"/>
          <w:kern w:val="2"/>
          <w:sz w:val="32"/>
          <w:szCs w:val="32"/>
          <w:lang w:val="zh-CN" w:eastAsia="zh-CN" w:bidi="ar-SA"/>
        </w:rPr>
        <w:t>苏洋村51.751</w:t>
      </w:r>
      <w:r>
        <w:rPr>
          <w:rFonts w:hint="eastAsia" w:ascii="仿宋_GB2312" w:hAnsi="宋体" w:cs="仿宋_GB2312"/>
          <w:kern w:val="2"/>
          <w:sz w:val="32"/>
          <w:szCs w:val="32"/>
          <w:lang w:val="en-US" w:eastAsia="zh-CN" w:bidi="ar-SA"/>
        </w:rPr>
        <w:t>1</w:t>
      </w:r>
      <w:r>
        <w:rPr>
          <w:rFonts w:hint="eastAsia" w:ascii="仿宋_GB2312" w:hAnsi="宋体" w:eastAsia="仿宋_GB2312" w:cs="仿宋_GB2312"/>
          <w:kern w:val="2"/>
          <w:sz w:val="32"/>
          <w:szCs w:val="32"/>
          <w:lang w:val="zh-CN" w:eastAsia="zh-CN" w:bidi="ar-SA"/>
        </w:rPr>
        <w:t>公顷，</w:t>
      </w:r>
      <w:r>
        <w:rPr>
          <w:rFonts w:hint="eastAsia" w:ascii="仿宋_GB2312" w:hAnsi="宋体" w:cs="仿宋_GB2312"/>
          <w:kern w:val="2"/>
          <w:sz w:val="32"/>
          <w:szCs w:val="32"/>
          <w:lang w:val="zh-CN" w:eastAsia="zh-CN" w:bidi="ar-SA"/>
        </w:rPr>
        <w:t>雷峰镇</w:t>
      </w:r>
      <w:r>
        <w:rPr>
          <w:rFonts w:hint="eastAsia" w:ascii="仿宋_GB2312" w:hAnsi="宋体" w:eastAsia="仿宋_GB2312" w:cs="仿宋_GB2312"/>
          <w:kern w:val="2"/>
          <w:sz w:val="32"/>
          <w:szCs w:val="32"/>
          <w:lang w:val="zh-CN" w:eastAsia="zh-CN" w:bidi="ar-SA"/>
        </w:rPr>
        <w:t>朱紫村0.5615公顷</w:t>
      </w:r>
      <w:r>
        <w:rPr>
          <w:rFonts w:hint="eastAsia" w:ascii="仿宋_GB2312" w:hAnsi="宋体" w:cs="仿宋_GB2312"/>
          <w:kern w:val="2"/>
          <w:sz w:val="32"/>
          <w:szCs w:val="32"/>
          <w:lang w:val="zh-CN" w:eastAsia="zh-CN" w:bidi="ar-SA"/>
        </w:rPr>
        <w:t>，使用</w:t>
      </w:r>
      <w:r>
        <w:rPr>
          <w:rFonts w:hint="eastAsia" w:ascii="仿宋_GB2312" w:hAnsi="宋体" w:eastAsia="仿宋_GB2312" w:cs="仿宋_GB2312"/>
          <w:kern w:val="2"/>
          <w:sz w:val="32"/>
          <w:szCs w:val="32"/>
          <w:lang w:val="zh-CN" w:eastAsia="zh-CN" w:bidi="ar-SA"/>
        </w:rPr>
        <w:t>国有土地5.2491公顷。</w:t>
      </w:r>
    </w:p>
    <w:p>
      <w:pPr>
        <w:keepNext w:val="0"/>
        <w:keepLines w:val="0"/>
        <w:pageBreakBefore w:val="0"/>
        <w:widowControl w:val="0"/>
        <w:kinsoku/>
        <w:wordWrap/>
        <w:overflowPunct/>
        <w:topLinePunct w:val="0"/>
        <w:autoSpaceDE w:val="0"/>
        <w:autoSpaceDN w:val="0"/>
        <w:bidi w:val="0"/>
        <w:adjustRightInd/>
        <w:snapToGrid/>
        <w:spacing w:line="560" w:lineRule="exact"/>
        <w:ind w:firstLine="643"/>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成片开发必要性</w:t>
      </w:r>
    </w:p>
    <w:p>
      <w:pPr>
        <w:pStyle w:val="6"/>
        <w:keepNext w:val="0"/>
        <w:keepLines w:val="0"/>
        <w:pageBreakBefore w:val="0"/>
        <w:widowControl w:val="0"/>
        <w:kinsoku/>
        <w:wordWrap/>
        <w:overflowPunct/>
        <w:topLinePunct w:val="0"/>
        <w:bidi w:val="0"/>
        <w:adjustRightInd/>
        <w:snapToGrid/>
        <w:spacing w:line="560" w:lineRule="exact"/>
        <w:ind w:firstLine="560"/>
        <w:textAlignment w:val="auto"/>
        <w:rPr>
          <w:rFonts w:hint="eastAsia" w:ascii="仿宋_GB2312" w:hAnsi="宋体" w:eastAsia="仿宋_GB2312" w:cs="仿宋_GB2312"/>
          <w:kern w:val="2"/>
          <w:sz w:val="32"/>
          <w:szCs w:val="32"/>
          <w:lang w:val="en-US" w:eastAsia="zh-CN" w:bidi="ar-SA"/>
        </w:rPr>
      </w:pPr>
      <w:bookmarkStart w:id="0" w:name="_Toc13510"/>
      <w:bookmarkStart w:id="1" w:name="_Toc63606557"/>
      <w:r>
        <w:rPr>
          <w:rFonts w:hint="eastAsia" w:ascii="仿宋_GB2312" w:hAnsi="宋体" w:eastAsia="仿宋_GB2312" w:cs="仿宋_GB2312"/>
          <w:kern w:val="2"/>
          <w:sz w:val="32"/>
          <w:szCs w:val="32"/>
          <w:lang w:val="en-US" w:eastAsia="zh-CN" w:bidi="ar-SA"/>
        </w:rPr>
        <w:t>城东四期古洋片区的建设，对解决德化县当前工业用地供应紧张，打造陶瓷产业集群，服务传统陶瓷产业发展转型升级，实现陶瓷产值500亿的目标具有重要意义。</w:t>
      </w:r>
    </w:p>
    <w:p>
      <w:pPr>
        <w:pStyle w:val="6"/>
        <w:keepNext w:val="0"/>
        <w:keepLines w:val="0"/>
        <w:pageBreakBefore w:val="0"/>
        <w:widowControl w:val="0"/>
        <w:numPr>
          <w:ilvl w:val="0"/>
          <w:numId w:val="0"/>
        </w:numPr>
        <w:kinsoku/>
        <w:wordWrap/>
        <w:overflowPunct/>
        <w:topLinePunct w:val="0"/>
        <w:bidi w:val="0"/>
        <w:adjustRightInd/>
        <w:snapToGrid/>
        <w:spacing w:line="560" w:lineRule="exact"/>
        <w:ind w:left="621" w:leftChars="0"/>
        <w:textAlignment w:val="auto"/>
        <w:rPr>
          <w:rFonts w:hint="default"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w:t>
      </w:r>
      <w:bookmarkEnd w:id="0"/>
      <w:r>
        <w:rPr>
          <w:rFonts w:hint="eastAsia" w:ascii="楷体_GB2312" w:hAnsi="楷体_GB2312" w:eastAsia="楷体_GB2312" w:cs="楷体_GB2312"/>
          <w:kern w:val="2"/>
          <w:sz w:val="32"/>
          <w:szCs w:val="32"/>
          <w:lang w:val="en-US" w:eastAsia="zh-CN" w:bidi="ar-SA"/>
        </w:rPr>
        <w:t>强化产业集聚功能，打造现代陶瓷中心</w:t>
      </w:r>
    </w:p>
    <w:bookmarkEnd w:id="1"/>
    <w:p>
      <w:pPr>
        <w:keepNext w:val="0"/>
        <w:keepLines w:val="0"/>
        <w:pageBreakBefore w:val="0"/>
        <w:widowControl w:val="0"/>
        <w:kinsoku/>
        <w:wordWrap/>
        <w:overflowPunct/>
        <w:topLinePunct w:val="0"/>
        <w:bidi w:val="0"/>
        <w:adjustRightInd/>
        <w:snapToGrid/>
        <w:spacing w:line="560" w:lineRule="exact"/>
        <w:ind w:firstLine="560"/>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随着进城人口激增，德化老城区容量日渐饱和，已成为经济社会发展的瓶颈。为进一步实施“大城关”发展战略，推进“东进南拓、整合提高”，本次成片开发规划以工业为主导，同时</w:t>
      </w:r>
      <w:r>
        <w:rPr>
          <w:rFonts w:hint="eastAsia" w:ascii="仿宋_GB2312" w:hAnsi="宋体" w:cs="仿宋_GB2312"/>
          <w:kern w:val="2"/>
          <w:sz w:val="32"/>
          <w:szCs w:val="32"/>
          <w:lang w:val="en-US" w:eastAsia="zh-CN" w:bidi="ar-SA"/>
        </w:rPr>
        <w:t>配套</w:t>
      </w:r>
      <w:r>
        <w:rPr>
          <w:rFonts w:hint="eastAsia" w:ascii="仿宋_GB2312" w:hAnsi="宋体" w:eastAsia="仿宋_GB2312" w:cs="仿宋_GB2312"/>
          <w:kern w:val="2"/>
          <w:sz w:val="32"/>
          <w:szCs w:val="32"/>
          <w:lang w:val="en-US" w:eastAsia="zh-CN" w:bidi="ar-SA"/>
        </w:rPr>
        <w:t>商业综合用地、防护绿地、公共交通用地等各类综合性用地，将提升城东新区的产业集聚能力、产业配套能力和产业承载能力，大大提高陶瓷业的产业集中度，延长陶瓷业的产业链条，增强城东新区的经济实力和发展后劲。</w:t>
      </w:r>
    </w:p>
    <w:p>
      <w:pPr>
        <w:pStyle w:val="6"/>
        <w:keepNext w:val="0"/>
        <w:keepLines w:val="0"/>
        <w:pageBreakBefore w:val="0"/>
        <w:widowControl w:val="0"/>
        <w:numPr>
          <w:ilvl w:val="0"/>
          <w:numId w:val="0"/>
        </w:numPr>
        <w:kinsoku/>
        <w:wordWrap/>
        <w:overflowPunct/>
        <w:topLinePunct w:val="0"/>
        <w:bidi w:val="0"/>
        <w:adjustRightInd/>
        <w:snapToGrid/>
        <w:spacing w:line="560" w:lineRule="exact"/>
        <w:ind w:left="621" w:leftChars="0"/>
        <w:textAlignment w:val="auto"/>
        <w:rPr>
          <w:rFonts w:hint="default"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（二）强化要素集散功能，打造商贸流通中心</w:t>
      </w:r>
    </w:p>
    <w:p>
      <w:pPr>
        <w:keepNext w:val="0"/>
        <w:keepLines w:val="0"/>
        <w:pageBreakBefore w:val="0"/>
        <w:widowControl w:val="0"/>
        <w:kinsoku/>
        <w:wordWrap/>
        <w:overflowPunct/>
        <w:topLinePunct w:val="0"/>
        <w:bidi w:val="0"/>
        <w:adjustRightInd/>
        <w:snapToGrid/>
        <w:spacing w:line="560" w:lineRule="exact"/>
        <w:ind w:firstLine="560"/>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本</w:t>
      </w:r>
      <w:r>
        <w:rPr>
          <w:rFonts w:hint="eastAsia" w:ascii="仿宋_GB2312" w:hAnsi="宋体" w:cs="仿宋_GB2312"/>
          <w:kern w:val="2"/>
          <w:sz w:val="32"/>
          <w:szCs w:val="32"/>
          <w:lang w:val="en-US" w:eastAsia="zh-CN" w:bidi="ar-SA"/>
        </w:rPr>
        <w:t>次</w:t>
      </w:r>
      <w:r>
        <w:rPr>
          <w:rFonts w:hint="eastAsia" w:ascii="仿宋_GB2312" w:hAnsi="宋体" w:eastAsia="仿宋_GB2312" w:cs="仿宋_GB2312"/>
          <w:kern w:val="2"/>
          <w:sz w:val="32"/>
          <w:szCs w:val="32"/>
          <w:lang w:val="en-US" w:eastAsia="zh-CN" w:bidi="ar-SA"/>
        </w:rPr>
        <w:t>成片开发有助于增强城东新区成为资金流、技术流、信息流、人才流和商品流的重要集散地，扩大城东新区的吸收和辐射能力。</w:t>
      </w:r>
    </w:p>
    <w:p>
      <w:pPr>
        <w:pStyle w:val="6"/>
        <w:keepNext w:val="0"/>
        <w:keepLines w:val="0"/>
        <w:pageBreakBefore w:val="0"/>
        <w:widowControl w:val="0"/>
        <w:numPr>
          <w:ilvl w:val="0"/>
          <w:numId w:val="0"/>
        </w:numPr>
        <w:kinsoku/>
        <w:wordWrap/>
        <w:overflowPunct/>
        <w:topLinePunct w:val="0"/>
        <w:bidi w:val="0"/>
        <w:adjustRightInd/>
        <w:snapToGrid/>
        <w:spacing w:line="560" w:lineRule="exact"/>
        <w:ind w:left="621" w:leftChars="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（三）强化综合服务功能，打造现代服务中心</w:t>
      </w:r>
    </w:p>
    <w:p>
      <w:pPr>
        <w:keepNext w:val="0"/>
        <w:keepLines w:val="0"/>
        <w:pageBreakBefore w:val="0"/>
        <w:widowControl w:val="0"/>
        <w:kinsoku/>
        <w:wordWrap/>
        <w:overflowPunct/>
        <w:topLinePunct w:val="0"/>
        <w:bidi w:val="0"/>
        <w:adjustRightInd/>
        <w:snapToGrid/>
        <w:spacing w:line="560" w:lineRule="exact"/>
        <w:ind w:firstLine="560"/>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本</w:t>
      </w:r>
      <w:r>
        <w:rPr>
          <w:rFonts w:hint="eastAsia" w:ascii="仿宋_GB2312" w:hAnsi="宋体" w:cs="仿宋_GB2312"/>
          <w:kern w:val="2"/>
          <w:sz w:val="32"/>
          <w:szCs w:val="32"/>
          <w:lang w:val="en-US" w:eastAsia="zh-CN" w:bidi="ar-SA"/>
        </w:rPr>
        <w:t>次</w:t>
      </w:r>
      <w:r>
        <w:rPr>
          <w:rFonts w:hint="eastAsia" w:ascii="仿宋_GB2312" w:hAnsi="宋体" w:eastAsia="仿宋_GB2312" w:cs="仿宋_GB2312"/>
          <w:kern w:val="2"/>
          <w:sz w:val="32"/>
          <w:szCs w:val="32"/>
          <w:lang w:val="en-US" w:eastAsia="zh-CN" w:bidi="ar-SA"/>
        </w:rPr>
        <w:t>成片开发有助于为社会</w:t>
      </w:r>
      <w:r>
        <w:rPr>
          <w:rFonts w:hint="eastAsia" w:ascii="仿宋_GB2312" w:hAnsi="宋体" w:cs="仿宋_GB2312"/>
          <w:kern w:val="2"/>
          <w:sz w:val="32"/>
          <w:szCs w:val="32"/>
          <w:lang w:val="en-US" w:eastAsia="zh-CN" w:bidi="ar-SA"/>
        </w:rPr>
        <w:t>经济</w:t>
      </w:r>
      <w:r>
        <w:rPr>
          <w:rFonts w:hint="eastAsia" w:ascii="仿宋_GB2312" w:hAnsi="宋体" w:eastAsia="仿宋_GB2312" w:cs="仿宋_GB2312"/>
          <w:kern w:val="2"/>
          <w:sz w:val="32"/>
          <w:szCs w:val="32"/>
          <w:lang w:val="en-US" w:eastAsia="zh-CN" w:bidi="ar-SA"/>
        </w:rPr>
        <w:t>发展提供全方位、多层次、综合性服务的能力，提高服务业的产业化、社会化水平和市场化、专业化程度，提高城东新区的吸引力和竞争力。</w:t>
      </w:r>
    </w:p>
    <w:p>
      <w:pPr>
        <w:pStyle w:val="6"/>
        <w:keepNext w:val="0"/>
        <w:keepLines w:val="0"/>
        <w:pageBreakBefore w:val="0"/>
        <w:widowControl w:val="0"/>
        <w:numPr>
          <w:ilvl w:val="0"/>
          <w:numId w:val="0"/>
        </w:numPr>
        <w:kinsoku/>
        <w:wordWrap/>
        <w:overflowPunct/>
        <w:topLinePunct w:val="0"/>
        <w:bidi w:val="0"/>
        <w:adjustRightInd/>
        <w:snapToGrid/>
        <w:spacing w:line="560" w:lineRule="exact"/>
        <w:ind w:left="621" w:leftChars="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（四）优化产业布局，促进产城融合</w:t>
      </w:r>
    </w:p>
    <w:p>
      <w:pPr>
        <w:keepNext w:val="0"/>
        <w:keepLines w:val="0"/>
        <w:pageBreakBefore w:val="0"/>
        <w:widowControl w:val="0"/>
        <w:kinsoku/>
        <w:wordWrap/>
        <w:overflowPunct/>
        <w:topLinePunct w:val="0"/>
        <w:bidi w:val="0"/>
        <w:adjustRightInd/>
        <w:snapToGrid/>
        <w:spacing w:line="560" w:lineRule="exact"/>
        <w:ind w:firstLine="560"/>
        <w:textAlignment w:val="auto"/>
        <w:rPr>
          <w:rFonts w:hint="eastAsia" w:ascii="仿宋_GB2312" w:hAnsi="宋体" w:eastAsia="仿宋_GB2312" w:cs="仿宋_GB2312"/>
          <w:kern w:val="2"/>
          <w:sz w:val="32"/>
          <w:szCs w:val="32"/>
          <w:lang w:val="zh-CN" w:eastAsia="zh-CN" w:bidi="ar-SA"/>
        </w:rPr>
      </w:pPr>
      <w:r>
        <w:rPr>
          <w:rFonts w:hint="eastAsia" w:ascii="仿宋_GB2312" w:hAnsi="宋体" w:eastAsia="仿宋_GB2312" w:cs="仿宋_GB2312"/>
          <w:kern w:val="2"/>
          <w:sz w:val="32"/>
          <w:szCs w:val="32"/>
          <w:lang w:val="zh-CN" w:eastAsia="zh-CN" w:bidi="ar-SA"/>
        </w:rPr>
        <w:t>陶瓷产业属劳动密集型产业，用工量大。</w:t>
      </w:r>
      <w:r>
        <w:rPr>
          <w:rFonts w:hint="eastAsia" w:ascii="仿宋_GB2312" w:hAnsi="宋体" w:eastAsia="仿宋_GB2312" w:cs="仿宋_GB2312"/>
          <w:kern w:val="2"/>
          <w:sz w:val="32"/>
          <w:szCs w:val="32"/>
          <w:lang w:val="en-US" w:eastAsia="zh-CN" w:bidi="ar-SA"/>
        </w:rPr>
        <w:t>本次成片开发</w:t>
      </w:r>
      <w:r>
        <w:rPr>
          <w:rFonts w:hint="eastAsia" w:ascii="仿宋_GB2312" w:hAnsi="宋体" w:eastAsia="仿宋_GB2312" w:cs="仿宋_GB2312"/>
          <w:kern w:val="2"/>
          <w:sz w:val="32"/>
          <w:szCs w:val="32"/>
          <w:lang w:val="zh-CN" w:eastAsia="zh-CN" w:bidi="ar-SA"/>
        </w:rPr>
        <w:t>在以工业为主的前提下，配套相应的居住、教育、商服、公园等用地，较好地解决企业用工及进城人员就业、生活等问题，提升城市品位，缓解主城区交通、居住拥挤状况</w:t>
      </w:r>
      <w:r>
        <w:rPr>
          <w:rFonts w:hint="eastAsia" w:ascii="仿宋_GB2312" w:hAnsi="宋体" w:cs="仿宋_GB2312"/>
          <w:kern w:val="2"/>
          <w:sz w:val="32"/>
          <w:szCs w:val="32"/>
          <w:lang w:val="zh-CN" w:eastAsia="zh-CN" w:bidi="ar-SA"/>
        </w:rPr>
        <w:t>。本次成片开发区域</w:t>
      </w:r>
      <w:r>
        <w:rPr>
          <w:rFonts w:hint="eastAsia" w:ascii="仿宋_GB2312" w:hAnsi="宋体" w:eastAsia="仿宋_GB2312" w:cs="仿宋_GB2312"/>
          <w:kern w:val="2"/>
          <w:sz w:val="32"/>
          <w:szCs w:val="32"/>
          <w:lang w:val="en-US" w:eastAsia="zh-CN" w:bidi="ar-SA"/>
        </w:rPr>
        <w:t>将</w:t>
      </w:r>
      <w:r>
        <w:rPr>
          <w:rFonts w:hint="eastAsia" w:ascii="仿宋_GB2312" w:hAnsi="宋体" w:eastAsia="仿宋_GB2312" w:cs="仿宋_GB2312"/>
          <w:kern w:val="2"/>
          <w:sz w:val="32"/>
          <w:szCs w:val="32"/>
          <w:lang w:val="zh-CN" w:eastAsia="zh-CN" w:bidi="ar-SA"/>
        </w:rPr>
        <w:t>打造成为以工业为主，兼有居住、商业、公共服务和管理设施于一体的产城融合新区。</w:t>
      </w:r>
    </w:p>
    <w:p>
      <w:pPr>
        <w:keepNext w:val="0"/>
        <w:keepLines w:val="0"/>
        <w:pageBreakBefore w:val="0"/>
        <w:widowControl w:val="0"/>
        <w:kinsoku/>
        <w:wordWrap/>
        <w:overflowPunct/>
        <w:topLinePunct w:val="0"/>
        <w:autoSpaceDE w:val="0"/>
        <w:autoSpaceDN w:val="0"/>
        <w:bidi w:val="0"/>
        <w:adjustRightInd/>
        <w:snapToGrid/>
        <w:spacing w:line="560" w:lineRule="exact"/>
        <w:ind w:firstLine="643"/>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功能分析</w:t>
      </w:r>
    </w:p>
    <w:p>
      <w:pPr>
        <w:pStyle w:val="6"/>
        <w:keepNext w:val="0"/>
        <w:keepLines w:val="0"/>
        <w:pageBreakBefore w:val="0"/>
        <w:widowControl w:val="0"/>
        <w:kinsoku/>
        <w:wordWrap/>
        <w:overflowPunct/>
        <w:topLinePunct w:val="0"/>
        <w:bidi w:val="0"/>
        <w:adjustRightInd/>
        <w:snapToGrid/>
        <w:spacing w:line="560" w:lineRule="exact"/>
        <w:ind w:firstLine="560"/>
        <w:textAlignment w:val="auto"/>
        <w:rPr>
          <w:rFonts w:hint="eastAsia" w:ascii="仿宋_GB2312" w:hAnsi="宋体" w:eastAsia="仿宋_GB2312" w:cs="仿宋_GB2312"/>
          <w:kern w:val="2"/>
          <w:sz w:val="32"/>
          <w:szCs w:val="32"/>
          <w:lang w:val="zh-CN" w:eastAsia="zh-CN" w:bidi="ar-SA"/>
        </w:rPr>
      </w:pPr>
      <w:r>
        <w:rPr>
          <w:rFonts w:hint="eastAsia" w:ascii="仿宋_GB2312" w:hAnsi="宋体" w:eastAsia="仿宋_GB2312" w:cs="仿宋_GB2312"/>
          <w:kern w:val="2"/>
          <w:sz w:val="32"/>
          <w:szCs w:val="32"/>
          <w:lang w:val="zh-CN" w:eastAsia="zh-CN" w:bidi="ar-SA"/>
        </w:rPr>
        <w:t>主要用途：本次成片开发区域主要为</w:t>
      </w:r>
      <w:r>
        <w:rPr>
          <w:rFonts w:hint="eastAsia" w:ascii="仿宋_GB2312" w:hAnsi="宋体" w:eastAsia="仿宋_GB2312" w:cs="仿宋_GB2312"/>
          <w:kern w:val="2"/>
          <w:sz w:val="32"/>
          <w:szCs w:val="32"/>
          <w:lang w:val="en-US" w:eastAsia="zh-CN" w:bidi="ar-SA"/>
        </w:rPr>
        <w:t>工业、</w:t>
      </w:r>
      <w:r>
        <w:rPr>
          <w:rFonts w:hint="eastAsia" w:ascii="仿宋_GB2312" w:hAnsi="宋体" w:eastAsia="仿宋_GB2312" w:cs="仿宋_GB2312"/>
          <w:kern w:val="2"/>
          <w:sz w:val="32"/>
          <w:szCs w:val="32"/>
          <w:lang w:val="zh-CN" w:eastAsia="zh-CN" w:bidi="ar-SA"/>
        </w:rPr>
        <w:t>住宅、</w:t>
      </w:r>
      <w:r>
        <w:rPr>
          <w:rFonts w:hint="eastAsia" w:ascii="仿宋_GB2312" w:hAnsi="宋体" w:eastAsia="仿宋_GB2312" w:cs="仿宋_GB2312"/>
          <w:kern w:val="2"/>
          <w:sz w:val="32"/>
          <w:szCs w:val="32"/>
          <w:lang w:val="en-US" w:eastAsia="zh-CN" w:bidi="ar-SA"/>
        </w:rPr>
        <w:t>商业用地</w:t>
      </w:r>
      <w:r>
        <w:rPr>
          <w:rFonts w:hint="eastAsia" w:ascii="仿宋_GB2312" w:hAnsi="宋体" w:eastAsia="仿宋_GB2312" w:cs="仿宋_GB2312"/>
          <w:kern w:val="2"/>
          <w:sz w:val="32"/>
          <w:szCs w:val="32"/>
          <w:lang w:val="zh-CN" w:eastAsia="zh-CN" w:bidi="ar-SA"/>
        </w:rPr>
        <w:t>。</w:t>
      </w:r>
    </w:p>
    <w:p>
      <w:pPr>
        <w:pStyle w:val="6"/>
        <w:keepNext w:val="0"/>
        <w:keepLines w:val="0"/>
        <w:pageBreakBefore w:val="0"/>
        <w:widowControl w:val="0"/>
        <w:kinsoku/>
        <w:wordWrap/>
        <w:overflowPunct/>
        <w:topLinePunct w:val="0"/>
        <w:bidi w:val="0"/>
        <w:adjustRightInd/>
        <w:snapToGrid/>
        <w:spacing w:line="560" w:lineRule="exact"/>
        <w:ind w:firstLine="560"/>
        <w:textAlignment w:val="auto"/>
        <w:rPr>
          <w:rFonts w:hint="eastAsia" w:ascii="仿宋_GB2312" w:hAnsi="宋体" w:eastAsia="仿宋_GB2312" w:cs="仿宋_GB2312"/>
          <w:kern w:val="2"/>
          <w:sz w:val="32"/>
          <w:szCs w:val="32"/>
          <w:lang w:val="zh-CN" w:eastAsia="zh-CN" w:bidi="ar-SA"/>
        </w:rPr>
      </w:pPr>
      <w:r>
        <w:rPr>
          <w:rFonts w:hint="eastAsia" w:ascii="仿宋_GB2312" w:hAnsi="宋体" w:eastAsia="仿宋_GB2312" w:cs="仿宋_GB2312"/>
          <w:kern w:val="2"/>
          <w:sz w:val="32"/>
          <w:szCs w:val="32"/>
          <w:lang w:val="zh-CN" w:eastAsia="zh-CN" w:bidi="ar-SA"/>
        </w:rPr>
        <w:t>成片开发范围内规划</w:t>
      </w:r>
      <w:r>
        <w:rPr>
          <w:rFonts w:hint="eastAsia" w:ascii="仿宋_GB2312" w:hAnsi="宋体" w:eastAsia="仿宋_GB2312" w:cs="仿宋_GB2312"/>
          <w:kern w:val="2"/>
          <w:sz w:val="32"/>
          <w:szCs w:val="32"/>
          <w:lang w:val="en-US" w:eastAsia="zh-CN" w:bidi="ar-SA"/>
        </w:rPr>
        <w:t>工矿用地37.4527</w:t>
      </w:r>
      <w:r>
        <w:rPr>
          <w:rFonts w:hint="eastAsia" w:ascii="仿宋_GB2312" w:hAnsi="宋体" w:eastAsia="仿宋_GB2312" w:cs="仿宋_GB2312"/>
          <w:kern w:val="2"/>
          <w:sz w:val="32"/>
          <w:szCs w:val="32"/>
          <w:lang w:val="zh-CN" w:eastAsia="zh-CN" w:bidi="ar-SA"/>
        </w:rPr>
        <w:t>公顷</w:t>
      </w:r>
      <w:r>
        <w:rPr>
          <w:rFonts w:hint="eastAsia" w:ascii="仿宋_GB2312" w:hAnsi="宋体" w:cs="仿宋_GB2312"/>
          <w:kern w:val="2"/>
          <w:sz w:val="32"/>
          <w:szCs w:val="32"/>
          <w:lang w:val="zh-CN" w:eastAsia="zh-CN" w:bidi="ar-SA"/>
        </w:rPr>
        <w:t>、</w:t>
      </w:r>
      <w:r>
        <w:rPr>
          <w:rFonts w:hint="eastAsia" w:ascii="仿宋_GB2312" w:hAnsi="宋体" w:eastAsia="仿宋_GB2312" w:cs="仿宋_GB2312"/>
          <w:kern w:val="2"/>
          <w:sz w:val="32"/>
          <w:szCs w:val="32"/>
          <w:lang w:val="zh-CN" w:eastAsia="zh-CN" w:bidi="ar-SA"/>
        </w:rPr>
        <w:t>居住用地面积2.3601公顷</w:t>
      </w:r>
      <w:r>
        <w:rPr>
          <w:rFonts w:hint="eastAsia" w:ascii="仿宋_GB2312" w:hAnsi="宋体" w:cs="仿宋_GB2312"/>
          <w:kern w:val="2"/>
          <w:sz w:val="32"/>
          <w:szCs w:val="32"/>
          <w:lang w:val="zh-CN" w:eastAsia="zh-CN" w:bidi="ar-SA"/>
        </w:rPr>
        <w:t>、</w:t>
      </w:r>
      <w:r>
        <w:rPr>
          <w:rFonts w:hint="eastAsia" w:ascii="仿宋_GB2312" w:hAnsi="宋体" w:eastAsia="仿宋_GB2312" w:cs="仿宋_GB2312"/>
          <w:kern w:val="2"/>
          <w:sz w:val="32"/>
          <w:szCs w:val="32"/>
          <w:lang w:val="zh-CN" w:eastAsia="zh-CN" w:bidi="ar-SA"/>
        </w:rPr>
        <w:t>商业服务业用地面积6.3113公顷</w:t>
      </w:r>
      <w:r>
        <w:rPr>
          <w:rFonts w:hint="eastAsia" w:ascii="仿宋_GB2312" w:hAnsi="宋体" w:cs="仿宋_GB2312"/>
          <w:kern w:val="2"/>
          <w:sz w:val="32"/>
          <w:szCs w:val="32"/>
          <w:lang w:val="zh-CN" w:eastAsia="zh-CN" w:bidi="ar-SA"/>
        </w:rPr>
        <w:t>、</w:t>
      </w:r>
      <w:r>
        <w:rPr>
          <w:rFonts w:hint="eastAsia" w:ascii="仿宋_GB2312" w:hAnsi="宋体" w:eastAsia="仿宋_GB2312" w:cs="仿宋_GB2312"/>
          <w:kern w:val="2"/>
          <w:sz w:val="32"/>
          <w:szCs w:val="32"/>
          <w:lang w:val="zh-CN" w:eastAsia="zh-CN" w:bidi="ar-SA"/>
        </w:rPr>
        <w:t>公共管理与公共服务用地面积5.4591公顷</w:t>
      </w:r>
      <w:r>
        <w:rPr>
          <w:rFonts w:hint="eastAsia" w:ascii="仿宋_GB2312" w:hAnsi="宋体" w:cs="仿宋_GB2312"/>
          <w:kern w:val="2"/>
          <w:sz w:val="32"/>
          <w:szCs w:val="32"/>
          <w:lang w:val="zh-CN" w:eastAsia="zh-CN" w:bidi="ar-SA"/>
        </w:rPr>
        <w:t>、</w:t>
      </w:r>
      <w:r>
        <w:rPr>
          <w:rFonts w:hint="eastAsia" w:ascii="仿宋_GB2312" w:hAnsi="宋体" w:eastAsia="仿宋_GB2312" w:cs="仿宋_GB2312"/>
          <w:kern w:val="2"/>
          <w:sz w:val="32"/>
          <w:szCs w:val="32"/>
          <w:lang w:val="zh-CN" w:eastAsia="zh-CN" w:bidi="ar-SA"/>
        </w:rPr>
        <w:t>公用设施用地0.9829公顷</w:t>
      </w:r>
      <w:r>
        <w:rPr>
          <w:rFonts w:hint="eastAsia" w:ascii="仿宋_GB2312" w:hAnsi="宋体" w:cs="仿宋_GB2312"/>
          <w:kern w:val="2"/>
          <w:sz w:val="32"/>
          <w:szCs w:val="32"/>
          <w:lang w:val="zh-CN" w:eastAsia="zh-CN" w:bidi="ar-SA"/>
        </w:rPr>
        <w:t>、</w:t>
      </w:r>
      <w:r>
        <w:rPr>
          <w:rFonts w:hint="eastAsia" w:ascii="仿宋_GB2312" w:hAnsi="宋体" w:eastAsia="仿宋_GB2312" w:cs="仿宋_GB2312"/>
          <w:kern w:val="2"/>
          <w:sz w:val="32"/>
          <w:szCs w:val="32"/>
          <w:lang w:val="zh-CN" w:eastAsia="zh-CN" w:bidi="ar-SA"/>
        </w:rPr>
        <w:t>绿地与开敞空间用地面积11.0984公顷</w:t>
      </w:r>
      <w:r>
        <w:rPr>
          <w:rFonts w:hint="eastAsia" w:ascii="仿宋_GB2312" w:hAnsi="宋体" w:cs="仿宋_GB2312"/>
          <w:kern w:val="2"/>
          <w:sz w:val="32"/>
          <w:szCs w:val="32"/>
          <w:lang w:val="zh-CN" w:eastAsia="zh-CN" w:bidi="ar-SA"/>
        </w:rPr>
        <w:t>、</w:t>
      </w:r>
      <w:r>
        <w:rPr>
          <w:rFonts w:hint="eastAsia" w:ascii="仿宋_GB2312" w:hAnsi="宋体" w:eastAsia="仿宋_GB2312" w:cs="仿宋_GB2312"/>
          <w:kern w:val="2"/>
          <w:sz w:val="32"/>
          <w:szCs w:val="32"/>
          <w:lang w:val="zh-CN" w:eastAsia="zh-CN" w:bidi="ar-SA"/>
        </w:rPr>
        <w:t>交通运输用地21.2093公顷。</w:t>
      </w:r>
    </w:p>
    <w:p>
      <w:pPr>
        <w:pStyle w:val="6"/>
        <w:keepNext w:val="0"/>
        <w:keepLines w:val="0"/>
        <w:pageBreakBefore w:val="0"/>
        <w:widowControl w:val="0"/>
        <w:kinsoku/>
        <w:wordWrap/>
        <w:overflowPunct/>
        <w:topLinePunct w:val="0"/>
        <w:bidi w:val="0"/>
        <w:adjustRightInd/>
        <w:snapToGrid/>
        <w:spacing w:line="560" w:lineRule="exact"/>
        <w:ind w:firstLine="560"/>
        <w:textAlignment w:val="auto"/>
        <w:rPr>
          <w:rFonts w:hint="default"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zh-CN" w:eastAsia="zh-CN" w:bidi="ar-SA"/>
        </w:rPr>
        <w:t>实现功能：本次成片开发</w:t>
      </w:r>
      <w:r>
        <w:rPr>
          <w:rFonts w:hint="eastAsia" w:ascii="仿宋_GB2312" w:hAnsi="宋体" w:eastAsia="仿宋_GB2312" w:cs="仿宋_GB2312"/>
          <w:kern w:val="2"/>
          <w:sz w:val="32"/>
          <w:szCs w:val="32"/>
          <w:lang w:val="en-US" w:eastAsia="zh-CN" w:bidi="ar-SA"/>
        </w:rPr>
        <w:t>对解决当前工业用地供需矛盾，打造陶瓷产业集群，服务传统陶瓷产业发展转型升级</w:t>
      </w:r>
      <w:r>
        <w:rPr>
          <w:rFonts w:hint="eastAsia" w:ascii="仿宋_GB2312" w:hAnsi="宋体" w:eastAsia="仿宋_GB2312" w:cs="仿宋_GB2312"/>
          <w:kern w:val="2"/>
          <w:sz w:val="32"/>
          <w:szCs w:val="32"/>
          <w:lang w:val="zh-CN" w:eastAsia="zh-CN" w:bidi="ar-SA"/>
        </w:rPr>
        <w:t>，</w:t>
      </w:r>
      <w:r>
        <w:rPr>
          <w:rFonts w:hint="eastAsia" w:ascii="仿宋_GB2312" w:hAnsi="宋体" w:eastAsia="仿宋_GB2312" w:cs="仿宋_GB2312"/>
          <w:kern w:val="2"/>
          <w:sz w:val="32"/>
          <w:szCs w:val="32"/>
          <w:lang w:val="en-US" w:eastAsia="zh-CN" w:bidi="ar-SA"/>
        </w:rPr>
        <w:t>将起重大促进作用。</w:t>
      </w:r>
    </w:p>
    <w:p>
      <w:pPr>
        <w:keepNext w:val="0"/>
        <w:keepLines w:val="0"/>
        <w:pageBreakBefore w:val="0"/>
        <w:widowControl w:val="0"/>
        <w:kinsoku/>
        <w:wordWrap/>
        <w:overflowPunct/>
        <w:topLinePunct w:val="0"/>
        <w:autoSpaceDE w:val="0"/>
        <w:autoSpaceDN w:val="0"/>
        <w:bidi w:val="0"/>
        <w:adjustRightInd/>
        <w:snapToGrid/>
        <w:spacing w:line="560" w:lineRule="exact"/>
        <w:ind w:firstLine="643"/>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项目的公建配比情况</w:t>
      </w:r>
    </w:p>
    <w:p>
      <w:pPr>
        <w:pStyle w:val="6"/>
        <w:keepNext w:val="0"/>
        <w:keepLines w:val="0"/>
        <w:pageBreakBefore w:val="0"/>
        <w:widowControl w:val="0"/>
        <w:kinsoku/>
        <w:wordWrap/>
        <w:overflowPunct/>
        <w:topLinePunct w:val="0"/>
        <w:bidi w:val="0"/>
        <w:adjustRightInd/>
        <w:snapToGrid/>
        <w:spacing w:line="560" w:lineRule="exact"/>
        <w:ind w:firstLine="560"/>
        <w:textAlignment w:val="auto"/>
        <w:rPr>
          <w:rFonts w:hint="eastAsia" w:ascii="仿宋_GB2312" w:hAnsi="宋体" w:eastAsia="仿宋_GB2312" w:cs="仿宋_GB2312"/>
          <w:kern w:val="2"/>
          <w:sz w:val="32"/>
          <w:szCs w:val="32"/>
          <w:lang w:val="zh-CN" w:eastAsia="zh-CN" w:bidi="ar-SA"/>
        </w:rPr>
      </w:pPr>
      <w:r>
        <w:rPr>
          <w:rFonts w:hint="eastAsia" w:ascii="仿宋_GB2312" w:hAnsi="宋体" w:eastAsia="仿宋_GB2312" w:cs="仿宋_GB2312"/>
          <w:kern w:val="2"/>
          <w:sz w:val="32"/>
          <w:szCs w:val="32"/>
          <w:lang w:val="zh-CN" w:eastAsia="zh-CN" w:bidi="ar-SA"/>
        </w:rPr>
        <w:t>本</w:t>
      </w:r>
      <w:r>
        <w:rPr>
          <w:rFonts w:hint="eastAsia" w:ascii="仿宋_GB2312" w:hAnsi="宋体" w:eastAsia="仿宋_GB2312" w:cs="仿宋_GB2312"/>
          <w:kern w:val="2"/>
          <w:sz w:val="32"/>
          <w:szCs w:val="32"/>
          <w:lang w:val="en-US" w:eastAsia="zh-CN" w:bidi="ar-SA"/>
        </w:rPr>
        <w:t>次</w:t>
      </w:r>
      <w:r>
        <w:rPr>
          <w:rFonts w:hint="eastAsia" w:ascii="仿宋_GB2312" w:hAnsi="宋体" w:eastAsia="仿宋_GB2312" w:cs="仿宋_GB2312"/>
          <w:kern w:val="2"/>
          <w:sz w:val="32"/>
          <w:szCs w:val="32"/>
          <w:lang w:val="zh-CN" w:eastAsia="zh-CN" w:bidi="ar-SA"/>
        </w:rPr>
        <w:t>土地征收成片开发范围内，公益性用地面积</w:t>
      </w:r>
      <w:r>
        <w:rPr>
          <w:rFonts w:hint="eastAsia" w:ascii="仿宋_GB2312" w:hAnsi="宋体" w:eastAsia="仿宋_GB2312" w:cs="仿宋_GB2312"/>
          <w:kern w:val="2"/>
          <w:sz w:val="32"/>
          <w:szCs w:val="32"/>
          <w:lang w:val="en-US" w:eastAsia="zh-CN" w:bidi="ar-SA"/>
        </w:rPr>
        <w:t>38.7497</w:t>
      </w:r>
      <w:r>
        <w:rPr>
          <w:rFonts w:hint="eastAsia" w:ascii="仿宋_GB2312" w:hAnsi="宋体" w:eastAsia="仿宋_GB2312" w:cs="仿宋_GB2312"/>
          <w:kern w:val="2"/>
          <w:sz w:val="32"/>
          <w:szCs w:val="32"/>
          <w:lang w:val="zh-CN" w:eastAsia="zh-CN" w:bidi="ar-SA"/>
        </w:rPr>
        <w:t>公顷，占用地总面积的4</w:t>
      </w:r>
      <w:r>
        <w:rPr>
          <w:rFonts w:hint="eastAsia" w:ascii="仿宋_GB2312" w:hAnsi="宋体" w:eastAsia="仿宋_GB2312" w:cs="仿宋_GB2312"/>
          <w:kern w:val="2"/>
          <w:sz w:val="32"/>
          <w:szCs w:val="32"/>
          <w:lang w:val="en-US" w:eastAsia="zh-CN" w:bidi="ar-SA"/>
        </w:rPr>
        <w:t>5.66</w:t>
      </w:r>
      <w:r>
        <w:rPr>
          <w:rFonts w:hint="eastAsia" w:ascii="仿宋_GB2312" w:hAnsi="宋体" w:eastAsia="仿宋_GB2312" w:cs="仿宋_GB2312"/>
          <w:kern w:val="2"/>
          <w:sz w:val="32"/>
          <w:szCs w:val="32"/>
          <w:lang w:val="zh-CN" w:eastAsia="zh-CN" w:bidi="ar-SA"/>
        </w:rPr>
        <w:t>%，符合自然资规〔2020〕5号文公益性用地占比一般不低于40%的规定。</w:t>
      </w:r>
    </w:p>
    <w:p>
      <w:pPr>
        <w:keepNext w:val="0"/>
        <w:keepLines w:val="0"/>
        <w:pageBreakBefore w:val="0"/>
        <w:widowControl w:val="0"/>
        <w:kinsoku/>
        <w:wordWrap/>
        <w:overflowPunct/>
        <w:topLinePunct w:val="0"/>
        <w:autoSpaceDE w:val="0"/>
        <w:autoSpaceDN w:val="0"/>
        <w:bidi w:val="0"/>
        <w:adjustRightInd/>
        <w:snapToGrid/>
        <w:spacing w:line="560" w:lineRule="exact"/>
        <w:ind w:firstLine="643"/>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六、效益评估</w:t>
      </w:r>
    </w:p>
    <w:p>
      <w:pPr>
        <w:pStyle w:val="6"/>
        <w:keepNext w:val="0"/>
        <w:keepLines w:val="0"/>
        <w:pageBreakBefore w:val="0"/>
        <w:widowControl w:val="0"/>
        <w:numPr>
          <w:ilvl w:val="0"/>
          <w:numId w:val="0"/>
        </w:numPr>
        <w:kinsoku/>
        <w:wordWrap/>
        <w:overflowPunct/>
        <w:topLinePunct w:val="0"/>
        <w:bidi w:val="0"/>
        <w:adjustRightInd/>
        <w:snapToGrid/>
        <w:spacing w:line="560" w:lineRule="exact"/>
        <w:ind w:left="621" w:leftChars="0"/>
        <w:textAlignment w:val="auto"/>
        <w:rPr>
          <w:rFonts w:hint="eastAsia" w:ascii="楷体_GB2312" w:hAnsi="楷体_GB2312" w:eastAsia="楷体_GB2312" w:cs="楷体_GB2312"/>
          <w:kern w:val="2"/>
          <w:sz w:val="32"/>
          <w:szCs w:val="32"/>
          <w:lang w:val="en-US" w:eastAsia="zh-CN" w:bidi="ar-SA"/>
        </w:rPr>
      </w:pPr>
      <w:bookmarkStart w:id="2" w:name="_Toc30880"/>
      <w:r>
        <w:rPr>
          <w:rFonts w:hint="eastAsia" w:ascii="楷体_GB2312" w:hAnsi="楷体_GB2312" w:eastAsia="楷体_GB2312" w:cs="楷体_GB2312"/>
          <w:kern w:val="2"/>
          <w:sz w:val="32"/>
          <w:szCs w:val="32"/>
          <w:lang w:val="en-US" w:eastAsia="zh-CN" w:bidi="ar-SA"/>
        </w:rPr>
        <w:t>（一）土地利用效益</w:t>
      </w:r>
      <w:bookmarkEnd w:id="2"/>
    </w:p>
    <w:p>
      <w:pPr>
        <w:pStyle w:val="6"/>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通过本次成片开发，合</w:t>
      </w:r>
      <w:bookmarkStart w:id="3" w:name="_GoBack"/>
      <w:bookmarkEnd w:id="3"/>
      <w:r>
        <w:rPr>
          <w:rFonts w:hint="eastAsia" w:ascii="仿宋_GB2312" w:hAnsi="宋体" w:eastAsia="仿宋_GB2312" w:cs="仿宋_GB2312"/>
          <w:kern w:val="2"/>
          <w:sz w:val="32"/>
          <w:szCs w:val="32"/>
          <w:lang w:val="en-US" w:eastAsia="zh-CN" w:bidi="ar-SA"/>
        </w:rPr>
        <w:t>理配置土地资源，科学规划，有效提升土地利用效率。方案实施过程中</w:t>
      </w:r>
      <w:r>
        <w:rPr>
          <w:rFonts w:hint="eastAsia" w:ascii="仿宋_GB2312" w:hAnsi="宋体" w:cs="仿宋_GB2312"/>
          <w:kern w:val="2"/>
          <w:sz w:val="32"/>
          <w:szCs w:val="32"/>
          <w:lang w:val="en-US" w:eastAsia="zh-CN" w:bidi="ar-SA"/>
        </w:rPr>
        <w:t>，</w:t>
      </w:r>
      <w:r>
        <w:rPr>
          <w:rFonts w:hint="eastAsia" w:ascii="仿宋_GB2312" w:hAnsi="宋体" w:eastAsia="仿宋_GB2312" w:cs="仿宋_GB2312"/>
          <w:kern w:val="2"/>
          <w:sz w:val="32"/>
          <w:szCs w:val="32"/>
          <w:lang w:val="en-US" w:eastAsia="zh-CN" w:bidi="ar-SA"/>
        </w:rPr>
        <w:t>将严格执行《福建省自然资源厅 福建省商务厅关于严格土地节约集约利用促进开发区高质量发展措施的通知》（闽自然资发〔2019〕104号）文件中关于“新建工业项目的固定资产投入强度不低于270万元/亩，地均税收不低于20万元/亩”的要求，通过采取科学合理确定出让土地的宗地规模、严格落实工业和经营性用地招标拍卖挂牌出让制度、强化用地合同管理及供后监管等节约集约用地措施，合理安排用地规模、结构和布局，优化土地利用空间格局，因地制宜配置土地，提高土地利用效率和效益。</w:t>
      </w:r>
    </w:p>
    <w:p>
      <w:pPr>
        <w:pStyle w:val="6"/>
        <w:keepNext w:val="0"/>
        <w:keepLines w:val="0"/>
        <w:pageBreakBefore w:val="0"/>
        <w:widowControl w:val="0"/>
        <w:numPr>
          <w:ilvl w:val="0"/>
          <w:numId w:val="0"/>
        </w:numPr>
        <w:kinsoku/>
        <w:wordWrap/>
        <w:overflowPunct/>
        <w:topLinePunct w:val="0"/>
        <w:bidi w:val="0"/>
        <w:adjustRightInd/>
        <w:snapToGrid/>
        <w:spacing w:line="560" w:lineRule="exact"/>
        <w:ind w:left="621" w:leftChars="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（二）经济效益</w:t>
      </w:r>
    </w:p>
    <w:p>
      <w:pPr>
        <w:pStyle w:val="6"/>
        <w:keepNext w:val="0"/>
        <w:keepLines w:val="0"/>
        <w:pageBreakBefore w:val="0"/>
        <w:widowControl w:val="0"/>
        <w:kinsoku/>
        <w:wordWrap/>
        <w:overflowPunct/>
        <w:topLinePunct w:val="0"/>
        <w:bidi w:val="0"/>
        <w:adjustRightInd/>
        <w:snapToGrid/>
        <w:spacing w:line="560" w:lineRule="exact"/>
        <w:ind w:firstLine="560"/>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本次成片开发可供出让经营性用地</w:t>
      </w:r>
      <w:r>
        <w:rPr>
          <w:rFonts w:hint="eastAsia" w:ascii="仿宋_GB2312" w:hAnsi="宋体" w:cs="仿宋_GB2312"/>
          <w:kern w:val="2"/>
          <w:sz w:val="32"/>
          <w:szCs w:val="32"/>
          <w:lang w:val="en-US" w:eastAsia="zh-CN" w:bidi="ar-SA"/>
        </w:rPr>
        <w:t>包含</w:t>
      </w:r>
      <w:r>
        <w:rPr>
          <w:rFonts w:hint="eastAsia" w:ascii="仿宋_GB2312" w:hAnsi="宋体" w:eastAsia="仿宋_GB2312" w:cs="仿宋_GB2312"/>
          <w:kern w:val="2"/>
          <w:sz w:val="32"/>
          <w:szCs w:val="32"/>
          <w:lang w:val="en-US" w:eastAsia="zh-CN" w:bidi="ar-SA"/>
        </w:rPr>
        <w:t>：工业用地面积37.4527公顷，项目预计投资16.5亿元，实现年产值</w:t>
      </w:r>
      <w:r>
        <w:rPr>
          <w:rFonts w:hint="eastAsia" w:ascii="仿宋_GB2312" w:hAnsi="宋体" w:cs="仿宋_GB2312"/>
          <w:kern w:val="2"/>
          <w:sz w:val="32"/>
          <w:szCs w:val="32"/>
          <w:lang w:val="en-US" w:eastAsia="zh-CN" w:bidi="ar-SA"/>
        </w:rPr>
        <w:t>约</w:t>
      </w:r>
      <w:r>
        <w:rPr>
          <w:rFonts w:hint="eastAsia" w:ascii="仿宋_GB2312" w:hAnsi="宋体" w:eastAsia="仿宋_GB2312" w:cs="仿宋_GB2312"/>
          <w:kern w:val="2"/>
          <w:sz w:val="32"/>
          <w:szCs w:val="32"/>
          <w:lang w:val="en-US" w:eastAsia="zh-CN" w:bidi="ar-SA"/>
        </w:rPr>
        <w:t>20亿元，年创造税利约1.6亿元。居住用地面积2.3601公顷，预计可建成住宅建筑面积约6万平方米。商业用地6.3113公顷，</w:t>
      </w:r>
      <w:r>
        <w:rPr>
          <w:rFonts w:hint="eastAsia" w:ascii="仿宋_GB2312" w:hAnsi="宋体" w:cs="仿宋_GB2312"/>
          <w:kern w:val="2"/>
          <w:sz w:val="32"/>
          <w:szCs w:val="32"/>
          <w:lang w:val="en-US" w:eastAsia="zh-CN" w:bidi="ar-SA"/>
        </w:rPr>
        <w:t>预计</w:t>
      </w:r>
      <w:r>
        <w:rPr>
          <w:rFonts w:hint="eastAsia" w:ascii="仿宋_GB2312" w:hAnsi="宋体" w:eastAsia="仿宋_GB2312" w:cs="仿宋_GB2312"/>
          <w:kern w:val="2"/>
          <w:sz w:val="32"/>
          <w:szCs w:val="32"/>
          <w:lang w:val="en-US" w:eastAsia="zh-CN" w:bidi="ar-SA"/>
        </w:rPr>
        <w:t>可建商务商业配套12万平方米。按照周边目前房地产</w:t>
      </w:r>
      <w:r>
        <w:rPr>
          <w:rFonts w:hint="eastAsia" w:ascii="仿宋_GB2312" w:hAnsi="宋体" w:cs="仿宋_GB2312"/>
          <w:kern w:val="2"/>
          <w:sz w:val="32"/>
          <w:szCs w:val="32"/>
          <w:lang w:val="en-US" w:eastAsia="zh-CN" w:bidi="ar-SA"/>
        </w:rPr>
        <w:t>市场</w:t>
      </w:r>
      <w:r>
        <w:rPr>
          <w:rFonts w:hint="eastAsia" w:ascii="仿宋_GB2312" w:hAnsi="宋体" w:eastAsia="仿宋_GB2312" w:cs="仿宋_GB2312"/>
          <w:kern w:val="2"/>
          <w:sz w:val="32"/>
          <w:szCs w:val="32"/>
          <w:lang w:val="en-US" w:eastAsia="zh-CN" w:bidi="ar-SA"/>
        </w:rPr>
        <w:t>价格，住宅约7000元/m</w:t>
      </w:r>
      <w:r>
        <w:rPr>
          <w:rFonts w:hint="eastAsia" w:ascii="仿宋_GB2312" w:hAnsi="宋体" w:eastAsia="仿宋_GB2312" w:cs="仿宋_GB2312"/>
          <w:kern w:val="2"/>
          <w:sz w:val="32"/>
          <w:szCs w:val="32"/>
          <w:vertAlign w:val="superscript"/>
          <w:lang w:val="en-US" w:eastAsia="zh-CN" w:bidi="ar-SA"/>
        </w:rPr>
        <w:t>2</w:t>
      </w:r>
      <w:r>
        <w:rPr>
          <w:rFonts w:hint="eastAsia" w:ascii="仿宋_GB2312" w:hAnsi="宋体" w:eastAsia="仿宋_GB2312" w:cs="仿宋_GB2312"/>
          <w:kern w:val="2"/>
          <w:sz w:val="32"/>
          <w:szCs w:val="32"/>
          <w:lang w:val="en-US" w:eastAsia="zh-CN" w:bidi="ar-SA"/>
        </w:rPr>
        <w:t>，商业约8000元/m</w:t>
      </w:r>
      <w:r>
        <w:rPr>
          <w:rFonts w:hint="eastAsia" w:ascii="仿宋_GB2312" w:hAnsi="宋体" w:eastAsia="仿宋_GB2312" w:cs="仿宋_GB2312"/>
          <w:kern w:val="2"/>
          <w:sz w:val="32"/>
          <w:szCs w:val="32"/>
          <w:vertAlign w:val="superscript"/>
          <w:lang w:val="en-US" w:eastAsia="zh-CN" w:bidi="ar-SA"/>
        </w:rPr>
        <w:t>2</w:t>
      </w:r>
      <w:r>
        <w:rPr>
          <w:rFonts w:hint="eastAsia" w:ascii="仿宋_GB2312" w:hAnsi="宋体" w:eastAsia="仿宋_GB2312" w:cs="仿宋_GB2312"/>
          <w:kern w:val="2"/>
          <w:sz w:val="32"/>
          <w:szCs w:val="32"/>
          <w:lang w:val="en-US" w:eastAsia="zh-CN" w:bidi="ar-SA"/>
        </w:rPr>
        <w:t>，建成后预计可实现销售收入约13.8亿元，可缴交税收约4500万元。</w:t>
      </w:r>
    </w:p>
    <w:p>
      <w:pPr>
        <w:pStyle w:val="6"/>
        <w:keepNext w:val="0"/>
        <w:keepLines w:val="0"/>
        <w:pageBreakBefore w:val="0"/>
        <w:widowControl w:val="0"/>
        <w:numPr>
          <w:ilvl w:val="0"/>
          <w:numId w:val="0"/>
        </w:numPr>
        <w:kinsoku/>
        <w:wordWrap/>
        <w:overflowPunct/>
        <w:topLinePunct w:val="0"/>
        <w:bidi w:val="0"/>
        <w:adjustRightInd/>
        <w:snapToGrid/>
        <w:spacing w:line="560" w:lineRule="exact"/>
        <w:ind w:left="621" w:leftChars="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（三）社会效益</w:t>
      </w:r>
    </w:p>
    <w:p>
      <w:pPr>
        <w:pStyle w:val="6"/>
        <w:keepNext w:val="0"/>
        <w:keepLines w:val="0"/>
        <w:pageBreakBefore w:val="0"/>
        <w:widowControl w:val="0"/>
        <w:kinsoku/>
        <w:wordWrap/>
        <w:overflowPunct/>
        <w:topLinePunct w:val="0"/>
        <w:bidi w:val="0"/>
        <w:adjustRightInd/>
        <w:snapToGrid/>
        <w:spacing w:line="560" w:lineRule="exact"/>
        <w:ind w:firstLine="560"/>
        <w:textAlignment w:val="auto"/>
        <w:rPr>
          <w:rFonts w:hint="eastAsia" w:ascii="仿宋_GB2312" w:hAnsi="宋体" w:eastAsia="仿宋_GB2312" w:cs="仿宋_GB2312"/>
          <w:kern w:val="2"/>
          <w:sz w:val="32"/>
          <w:szCs w:val="32"/>
          <w:lang w:val="en-US" w:eastAsia="zh-CN" w:bidi="ar-SA"/>
        </w:rPr>
      </w:pPr>
      <w:r>
        <w:rPr>
          <w:rFonts w:hint="eastAsia" w:ascii="仿宋_GB2312" w:hAnsi="宋体" w:eastAsia="仿宋_GB2312" w:cs="仿宋_GB2312"/>
          <w:kern w:val="2"/>
          <w:sz w:val="32"/>
          <w:szCs w:val="32"/>
          <w:lang w:val="en-US" w:eastAsia="zh-CN" w:bidi="ar-SA"/>
        </w:rPr>
        <w:t>本次成片开发社会效益较为显著，主要体现在以下三个方面：一是成片开发区域内规划</w:t>
      </w:r>
      <w:r>
        <w:rPr>
          <w:rFonts w:hint="eastAsia" w:ascii="仿宋_GB2312" w:hAnsi="宋体" w:cs="仿宋_GB2312"/>
          <w:kern w:val="2"/>
          <w:sz w:val="32"/>
          <w:szCs w:val="32"/>
          <w:lang w:val="en-US" w:eastAsia="zh-CN" w:bidi="ar-SA"/>
        </w:rPr>
        <w:t>的</w:t>
      </w:r>
      <w:r>
        <w:rPr>
          <w:rFonts w:hint="eastAsia" w:ascii="仿宋_GB2312" w:hAnsi="宋体" w:eastAsia="仿宋_GB2312" w:cs="仿宋_GB2312"/>
          <w:kern w:val="2"/>
          <w:sz w:val="32"/>
          <w:szCs w:val="32"/>
          <w:lang w:val="en-US" w:eastAsia="zh-CN" w:bidi="ar-SA"/>
        </w:rPr>
        <w:t>工业用地，是片区的重要组成部分。建成后将推动德化县陶瓷产业持续繁荣，提供约9000个就业岗位，确保被征地农民长远生计有保障。二是成片开发的实施有利于推动德化城市化进程。“四纵三横”的骨架路网以及若干条支路的建成将改善片区及周边地区的交通条件。三是建成后完善的公共、市政基础设施配套，将明显改善城区居民生活环境和教育条件，有利于提高居民的生活质量和教育水平。</w:t>
      </w:r>
    </w:p>
    <w:p>
      <w:pPr>
        <w:pStyle w:val="6"/>
        <w:keepNext w:val="0"/>
        <w:keepLines w:val="0"/>
        <w:pageBreakBefore w:val="0"/>
        <w:widowControl w:val="0"/>
        <w:numPr>
          <w:ilvl w:val="0"/>
          <w:numId w:val="0"/>
        </w:numPr>
        <w:kinsoku/>
        <w:wordWrap/>
        <w:overflowPunct/>
        <w:topLinePunct w:val="0"/>
        <w:bidi w:val="0"/>
        <w:adjustRightInd/>
        <w:snapToGrid/>
        <w:spacing w:line="560" w:lineRule="exact"/>
        <w:ind w:left="621" w:leftChars="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（四）生态效益</w:t>
      </w:r>
    </w:p>
    <w:p>
      <w:pPr>
        <w:pStyle w:val="6"/>
        <w:keepNext w:val="0"/>
        <w:keepLines w:val="0"/>
        <w:pageBreakBefore w:val="0"/>
        <w:widowControl w:val="0"/>
        <w:kinsoku/>
        <w:wordWrap/>
        <w:overflowPunct/>
        <w:topLinePunct w:val="0"/>
        <w:bidi w:val="0"/>
        <w:adjustRightInd/>
        <w:snapToGrid/>
        <w:spacing w:line="560" w:lineRule="exact"/>
        <w:ind w:firstLine="560"/>
        <w:textAlignment w:val="auto"/>
        <w:rPr>
          <w:rFonts w:hint="eastAsia" w:ascii="仿宋_GB2312" w:hAnsi="宋体" w:eastAsia="仿宋_GB2312" w:cs="仿宋_GB2312"/>
          <w:kern w:val="2"/>
          <w:sz w:val="32"/>
          <w:szCs w:val="32"/>
          <w:lang w:val="zh-CN" w:eastAsia="zh-CN" w:bidi="ar-SA"/>
        </w:rPr>
      </w:pPr>
      <w:r>
        <w:rPr>
          <w:rFonts w:hint="eastAsia" w:ascii="仿宋_GB2312" w:hAnsi="宋体" w:eastAsia="仿宋_GB2312" w:cs="仿宋_GB2312"/>
          <w:kern w:val="2"/>
          <w:sz w:val="32"/>
          <w:szCs w:val="32"/>
          <w:lang w:val="zh-CN" w:eastAsia="zh-CN" w:bidi="ar-SA"/>
        </w:rPr>
        <w:t>本次成片开发生态效益</w:t>
      </w:r>
      <w:r>
        <w:rPr>
          <w:rFonts w:hint="eastAsia" w:ascii="仿宋_GB2312" w:hAnsi="宋体" w:eastAsia="仿宋_GB2312" w:cs="仿宋_GB2312"/>
          <w:kern w:val="2"/>
          <w:sz w:val="32"/>
          <w:szCs w:val="32"/>
          <w:lang w:val="en-US" w:eastAsia="zh-CN" w:bidi="ar-SA"/>
        </w:rPr>
        <w:t>较为显著</w:t>
      </w:r>
      <w:r>
        <w:rPr>
          <w:rFonts w:hint="eastAsia" w:ascii="仿宋_GB2312" w:hAnsi="宋体" w:eastAsia="仿宋_GB2312" w:cs="仿宋_GB2312"/>
          <w:kern w:val="2"/>
          <w:sz w:val="32"/>
          <w:szCs w:val="32"/>
          <w:lang w:val="zh-CN" w:eastAsia="zh-CN" w:bidi="ar-SA"/>
        </w:rPr>
        <w:t>，主要体现在以下三个方面：一是注重生态保护。</w:t>
      </w:r>
      <w:r>
        <w:rPr>
          <w:rFonts w:hint="eastAsia" w:ascii="仿宋_GB2312" w:hAnsi="宋体" w:eastAsia="仿宋_GB2312" w:cs="仿宋_GB2312"/>
          <w:kern w:val="2"/>
          <w:sz w:val="32"/>
          <w:szCs w:val="32"/>
          <w:lang w:val="en-US" w:eastAsia="zh-CN" w:bidi="ar-SA"/>
        </w:rPr>
        <w:t>根据</w:t>
      </w:r>
      <w:r>
        <w:rPr>
          <w:rFonts w:hint="eastAsia" w:ascii="仿宋_GB2312" w:hAnsi="宋体" w:eastAsia="仿宋_GB2312" w:cs="仿宋_GB2312"/>
          <w:kern w:val="2"/>
          <w:sz w:val="32"/>
          <w:szCs w:val="32"/>
          <w:lang w:val="zh-CN" w:eastAsia="zh-CN" w:bidi="ar-SA"/>
        </w:rPr>
        <w:t>区域生态环境的现状调查，本次成片开发范围内不涉及生态保护红线、自然保护地、饮用水源保护地、重要湿地、生态公益林等生态价值高、需要严格保护的区域，也未发现受国家及省市重点保护的文物古迹、古树名木等以及其它需要特殊保护的目标。二是注重公园绿地配套。本次成片开发尽量保留原有绿地，规划建设</w:t>
      </w:r>
      <w:r>
        <w:rPr>
          <w:rFonts w:hint="eastAsia" w:ascii="仿宋_GB2312" w:hAnsi="宋体" w:cs="仿宋_GB2312"/>
          <w:kern w:val="2"/>
          <w:sz w:val="32"/>
          <w:szCs w:val="32"/>
          <w:lang w:val="zh-CN" w:eastAsia="zh-CN" w:bidi="ar-SA"/>
        </w:rPr>
        <w:t>的</w:t>
      </w:r>
      <w:r>
        <w:rPr>
          <w:rFonts w:hint="eastAsia" w:ascii="仿宋_GB2312" w:hAnsi="宋体" w:eastAsia="仿宋_GB2312" w:cs="仿宋_GB2312"/>
          <w:kern w:val="2"/>
          <w:sz w:val="32"/>
          <w:szCs w:val="32"/>
          <w:lang w:val="zh-CN" w:eastAsia="zh-CN" w:bidi="ar-SA"/>
        </w:rPr>
        <w:t>公园及防护绿地，建成后能有效</w:t>
      </w:r>
      <w:r>
        <w:rPr>
          <w:rFonts w:hint="eastAsia" w:ascii="仿宋_GB2312" w:hAnsi="宋体" w:eastAsia="仿宋_GB2312" w:cs="仿宋_GB2312"/>
          <w:kern w:val="2"/>
          <w:sz w:val="32"/>
          <w:szCs w:val="32"/>
          <w:lang w:val="en-US" w:eastAsia="zh-CN" w:bidi="ar-SA"/>
        </w:rPr>
        <w:t>改善</w:t>
      </w:r>
      <w:r>
        <w:rPr>
          <w:rFonts w:hint="eastAsia" w:ascii="仿宋_GB2312" w:hAnsi="宋体" w:eastAsia="仿宋_GB2312" w:cs="仿宋_GB2312"/>
          <w:kern w:val="2"/>
          <w:sz w:val="32"/>
          <w:szCs w:val="32"/>
          <w:lang w:val="zh-CN" w:eastAsia="zh-CN" w:bidi="ar-SA"/>
        </w:rPr>
        <w:t>区域生态环境。三是注重环境保护，要求引进陶瓷工业项目采用科学环保节能的生产工艺，排出的废气、废水经处理达标后排放。</w:t>
      </w:r>
    </w:p>
    <w:p>
      <w:pPr>
        <w:keepNext w:val="0"/>
        <w:keepLines w:val="0"/>
        <w:pageBreakBefore w:val="0"/>
        <w:widowControl w:val="0"/>
        <w:kinsoku/>
        <w:wordWrap/>
        <w:overflowPunct/>
        <w:topLinePunct w:val="0"/>
        <w:autoSpaceDE w:val="0"/>
        <w:autoSpaceDN w:val="0"/>
        <w:bidi w:val="0"/>
        <w:adjustRightInd/>
        <w:snapToGrid/>
        <w:spacing w:line="560" w:lineRule="exact"/>
        <w:ind w:firstLine="643"/>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七、永久基本农田及生态保护情况</w:t>
      </w:r>
    </w:p>
    <w:p>
      <w:pPr>
        <w:pStyle w:val="6"/>
        <w:keepNext w:val="0"/>
        <w:keepLines w:val="0"/>
        <w:pageBreakBefore w:val="0"/>
        <w:widowControl w:val="0"/>
        <w:kinsoku/>
        <w:wordWrap/>
        <w:overflowPunct/>
        <w:topLinePunct w:val="0"/>
        <w:bidi w:val="0"/>
        <w:adjustRightInd/>
        <w:snapToGrid/>
        <w:spacing w:line="560" w:lineRule="exact"/>
        <w:ind w:firstLine="560"/>
        <w:textAlignment w:val="auto"/>
        <w:rPr>
          <w:rFonts w:hint="eastAsia" w:ascii="仿宋_GB2312" w:hAnsi="宋体" w:eastAsia="仿宋_GB2312" w:cs="仿宋_GB2312"/>
          <w:kern w:val="2"/>
          <w:sz w:val="32"/>
          <w:szCs w:val="32"/>
          <w:lang w:val="zh-CN" w:eastAsia="zh-CN" w:bidi="ar-SA"/>
        </w:rPr>
      </w:pPr>
      <w:r>
        <w:rPr>
          <w:rFonts w:hint="eastAsia" w:ascii="仿宋_GB2312" w:hAnsi="宋体" w:eastAsia="仿宋_GB2312" w:cs="仿宋_GB2312"/>
          <w:kern w:val="2"/>
          <w:sz w:val="32"/>
          <w:szCs w:val="32"/>
          <w:lang w:val="zh-CN" w:eastAsia="zh-CN" w:bidi="ar-SA"/>
        </w:rPr>
        <w:t>本次成开发范围不涉及占用永久基本农田、生态保护红线、自然保护地、生态公益林、饮用水源保护地等法律法规规定需严格保护的区域。</w:t>
      </w:r>
    </w:p>
    <w:p>
      <w:pPr>
        <w:keepNext w:val="0"/>
        <w:keepLines w:val="0"/>
        <w:pageBreakBefore w:val="0"/>
        <w:widowControl w:val="0"/>
        <w:kinsoku/>
        <w:wordWrap/>
        <w:overflowPunct/>
        <w:topLinePunct w:val="0"/>
        <w:autoSpaceDE w:val="0"/>
        <w:autoSpaceDN w:val="0"/>
        <w:bidi w:val="0"/>
        <w:adjustRightInd/>
        <w:snapToGrid/>
        <w:spacing w:line="560" w:lineRule="exact"/>
        <w:ind w:firstLine="643"/>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八、结论</w:t>
      </w:r>
    </w:p>
    <w:p>
      <w:pPr>
        <w:keepNext w:val="0"/>
        <w:keepLines w:val="0"/>
        <w:pageBreakBefore w:val="0"/>
        <w:widowControl w:val="0"/>
        <w:kinsoku/>
        <w:wordWrap/>
        <w:overflowPunct/>
        <w:topLinePunct w:val="0"/>
        <w:bidi w:val="0"/>
        <w:adjustRightInd/>
        <w:snapToGrid/>
        <w:spacing w:line="560" w:lineRule="exact"/>
        <w:textAlignment w:val="auto"/>
        <w:rPr>
          <w:rFonts w:hint="eastAsia" w:ascii="仿宋_GB2312" w:hAnsi="宋体" w:eastAsia="仿宋_GB2312" w:cs="仿宋_GB2312"/>
          <w:kern w:val="2"/>
          <w:sz w:val="32"/>
          <w:szCs w:val="32"/>
          <w:lang w:val="zh-CN" w:eastAsia="zh-CN" w:bidi="ar-SA"/>
        </w:rPr>
      </w:pPr>
      <w:r>
        <w:rPr>
          <w:rFonts w:hint="eastAsia" w:ascii="仿宋_GB2312" w:hAnsi="宋体" w:eastAsia="仿宋_GB2312" w:cs="仿宋_GB2312"/>
          <w:kern w:val="2"/>
          <w:sz w:val="32"/>
          <w:szCs w:val="32"/>
          <w:lang w:val="zh-CN" w:eastAsia="zh-CN" w:bidi="ar-SA"/>
        </w:rPr>
        <w:t>《德化县2021年度第六批次土地征收成片开发方案</w:t>
      </w:r>
      <w:r>
        <w:rPr>
          <w:rFonts w:hint="eastAsia" w:ascii="仿宋_GB2312" w:hAnsi="宋体" w:eastAsia="仿宋_GB2312" w:cs="仿宋_GB2312"/>
          <w:kern w:val="2"/>
          <w:sz w:val="32"/>
          <w:szCs w:val="32"/>
          <w:lang w:val="en-US" w:eastAsia="zh-CN" w:bidi="ar-SA"/>
        </w:rPr>
        <w:t>(草案）</w:t>
      </w:r>
      <w:r>
        <w:rPr>
          <w:rFonts w:hint="eastAsia" w:ascii="仿宋_GB2312" w:hAnsi="宋体" w:eastAsia="仿宋_GB2312" w:cs="仿宋_GB2312"/>
          <w:kern w:val="2"/>
          <w:sz w:val="32"/>
          <w:szCs w:val="32"/>
          <w:lang w:val="zh-CN" w:eastAsia="zh-CN" w:bidi="ar-SA"/>
        </w:rPr>
        <w:t>》符合自然资源部土地征收“成片开发”的标准。</w:t>
      </w:r>
    </w:p>
    <w:sectPr>
      <w:headerReference r:id="rId3" w:type="default"/>
      <w:footerReference r:id="rId4" w:type="default"/>
      <w:pgSz w:w="11906" w:h="16838"/>
      <w:pgMar w:top="1440" w:right="1800" w:bottom="1440" w:left="1800"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0971722"/>
    </w:sdtPr>
    <w:sdtContent>
      <w:p>
        <w:pPr>
          <w:pStyle w:val="8"/>
          <w:ind w:firstLine="360"/>
          <w:jc w:val="center"/>
        </w:pPr>
        <w:r>
          <w:fldChar w:fldCharType="begin"/>
        </w:r>
        <w:r>
          <w:instrText xml:space="preserve">PAGE   \* MERGEFORMAT</w:instrText>
        </w:r>
        <w:r>
          <w:fldChar w:fldCharType="separate"/>
        </w:r>
        <w:r>
          <w:rPr>
            <w:lang w:val="zh-CN"/>
          </w:rPr>
          <w:t>4</w:t>
        </w:r>
        <w:r>
          <w:rPr>
            <w:lang w:val="zh-CN"/>
          </w:rPr>
          <w:fldChar w:fldCharType="end"/>
        </w:r>
      </w:p>
    </w:sdtContent>
  </w:sdt>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40"/>
  <w:drawingGridVerticalSpacing w:val="381"/>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CE"/>
    <w:rsid w:val="00021299"/>
    <w:rsid w:val="000A2A1B"/>
    <w:rsid w:val="000A4F33"/>
    <w:rsid w:val="000B1C82"/>
    <w:rsid w:val="000C5AC5"/>
    <w:rsid w:val="000E05E6"/>
    <w:rsid w:val="00101E50"/>
    <w:rsid w:val="00107349"/>
    <w:rsid w:val="00150379"/>
    <w:rsid w:val="0015493A"/>
    <w:rsid w:val="00180A32"/>
    <w:rsid w:val="0018760C"/>
    <w:rsid w:val="001B0ED9"/>
    <w:rsid w:val="001B1E15"/>
    <w:rsid w:val="001B3729"/>
    <w:rsid w:val="001D3E12"/>
    <w:rsid w:val="001E4320"/>
    <w:rsid w:val="001F595C"/>
    <w:rsid w:val="001F5DFC"/>
    <w:rsid w:val="00202F07"/>
    <w:rsid w:val="0021434D"/>
    <w:rsid w:val="002167AD"/>
    <w:rsid w:val="00223EEE"/>
    <w:rsid w:val="00242F1F"/>
    <w:rsid w:val="00244D6A"/>
    <w:rsid w:val="00270DE9"/>
    <w:rsid w:val="00274135"/>
    <w:rsid w:val="002828F4"/>
    <w:rsid w:val="002A3E2B"/>
    <w:rsid w:val="002A6C4C"/>
    <w:rsid w:val="002C490D"/>
    <w:rsid w:val="002D0BA5"/>
    <w:rsid w:val="00304663"/>
    <w:rsid w:val="00323F7B"/>
    <w:rsid w:val="00363BEA"/>
    <w:rsid w:val="00376EBD"/>
    <w:rsid w:val="003E17EA"/>
    <w:rsid w:val="003F71C1"/>
    <w:rsid w:val="00407629"/>
    <w:rsid w:val="0042461E"/>
    <w:rsid w:val="004255B1"/>
    <w:rsid w:val="004C19C5"/>
    <w:rsid w:val="004C5874"/>
    <w:rsid w:val="004D2248"/>
    <w:rsid w:val="004F4F81"/>
    <w:rsid w:val="0051793A"/>
    <w:rsid w:val="00551DA5"/>
    <w:rsid w:val="005663A0"/>
    <w:rsid w:val="005717B5"/>
    <w:rsid w:val="00590E76"/>
    <w:rsid w:val="005B7C5D"/>
    <w:rsid w:val="005D4D80"/>
    <w:rsid w:val="005E6A3A"/>
    <w:rsid w:val="00614D0C"/>
    <w:rsid w:val="00631D7E"/>
    <w:rsid w:val="006506C1"/>
    <w:rsid w:val="00673921"/>
    <w:rsid w:val="00676D74"/>
    <w:rsid w:val="006B6EAC"/>
    <w:rsid w:val="006C0A22"/>
    <w:rsid w:val="006C390F"/>
    <w:rsid w:val="006C3ECE"/>
    <w:rsid w:val="007030D3"/>
    <w:rsid w:val="007237A1"/>
    <w:rsid w:val="0075012F"/>
    <w:rsid w:val="0078253C"/>
    <w:rsid w:val="00803375"/>
    <w:rsid w:val="00807939"/>
    <w:rsid w:val="00811DE1"/>
    <w:rsid w:val="0082378A"/>
    <w:rsid w:val="00835BE2"/>
    <w:rsid w:val="00851935"/>
    <w:rsid w:val="00855B56"/>
    <w:rsid w:val="00857726"/>
    <w:rsid w:val="0086182A"/>
    <w:rsid w:val="008C13F1"/>
    <w:rsid w:val="008D0F5C"/>
    <w:rsid w:val="008F001C"/>
    <w:rsid w:val="00906086"/>
    <w:rsid w:val="009218B5"/>
    <w:rsid w:val="00922841"/>
    <w:rsid w:val="009321BF"/>
    <w:rsid w:val="00934976"/>
    <w:rsid w:val="00971FA0"/>
    <w:rsid w:val="009B0F38"/>
    <w:rsid w:val="009E09D8"/>
    <w:rsid w:val="009E36AE"/>
    <w:rsid w:val="00A2710F"/>
    <w:rsid w:val="00A435FD"/>
    <w:rsid w:val="00A72117"/>
    <w:rsid w:val="00A76B73"/>
    <w:rsid w:val="00AB680B"/>
    <w:rsid w:val="00AD3A66"/>
    <w:rsid w:val="00AE5572"/>
    <w:rsid w:val="00AF1C3D"/>
    <w:rsid w:val="00B06850"/>
    <w:rsid w:val="00B1609C"/>
    <w:rsid w:val="00B27516"/>
    <w:rsid w:val="00B339B9"/>
    <w:rsid w:val="00B33FB5"/>
    <w:rsid w:val="00B52D97"/>
    <w:rsid w:val="00B75A5F"/>
    <w:rsid w:val="00B9076F"/>
    <w:rsid w:val="00B9557C"/>
    <w:rsid w:val="00B95C2E"/>
    <w:rsid w:val="00BF67B4"/>
    <w:rsid w:val="00C21BB3"/>
    <w:rsid w:val="00C57F21"/>
    <w:rsid w:val="00C9574B"/>
    <w:rsid w:val="00CB1055"/>
    <w:rsid w:val="00CE64B7"/>
    <w:rsid w:val="00CE6955"/>
    <w:rsid w:val="00CE7AAD"/>
    <w:rsid w:val="00D502C5"/>
    <w:rsid w:val="00D6428A"/>
    <w:rsid w:val="00D83CCF"/>
    <w:rsid w:val="00D939C6"/>
    <w:rsid w:val="00DA4A3D"/>
    <w:rsid w:val="00DB60E5"/>
    <w:rsid w:val="00DE664D"/>
    <w:rsid w:val="00E01702"/>
    <w:rsid w:val="00E23BE1"/>
    <w:rsid w:val="00E2509F"/>
    <w:rsid w:val="00E47892"/>
    <w:rsid w:val="00E543FB"/>
    <w:rsid w:val="00E70CC6"/>
    <w:rsid w:val="00E84836"/>
    <w:rsid w:val="00EC21F5"/>
    <w:rsid w:val="00ED77C9"/>
    <w:rsid w:val="00F4496C"/>
    <w:rsid w:val="00F953B4"/>
    <w:rsid w:val="00F9566C"/>
    <w:rsid w:val="00FA7B10"/>
    <w:rsid w:val="00FC40F0"/>
    <w:rsid w:val="00FE7B25"/>
    <w:rsid w:val="01FA7020"/>
    <w:rsid w:val="04CB7E83"/>
    <w:rsid w:val="053D52B8"/>
    <w:rsid w:val="07A54E05"/>
    <w:rsid w:val="09B03DB8"/>
    <w:rsid w:val="0A544D1A"/>
    <w:rsid w:val="0C705937"/>
    <w:rsid w:val="0DF51AC7"/>
    <w:rsid w:val="0E0843FD"/>
    <w:rsid w:val="13403F16"/>
    <w:rsid w:val="142666C2"/>
    <w:rsid w:val="14DE5C7A"/>
    <w:rsid w:val="160C52E8"/>
    <w:rsid w:val="16B353AE"/>
    <w:rsid w:val="18524894"/>
    <w:rsid w:val="18545EA9"/>
    <w:rsid w:val="18883117"/>
    <w:rsid w:val="18CB481A"/>
    <w:rsid w:val="1BAC2808"/>
    <w:rsid w:val="1EF95449"/>
    <w:rsid w:val="1F54760C"/>
    <w:rsid w:val="1FC7106F"/>
    <w:rsid w:val="1FE13668"/>
    <w:rsid w:val="20345674"/>
    <w:rsid w:val="216D0958"/>
    <w:rsid w:val="21AE62E8"/>
    <w:rsid w:val="21AF4D96"/>
    <w:rsid w:val="21FF0849"/>
    <w:rsid w:val="265B2C77"/>
    <w:rsid w:val="26FE3193"/>
    <w:rsid w:val="28801D48"/>
    <w:rsid w:val="29170BB8"/>
    <w:rsid w:val="296954AE"/>
    <w:rsid w:val="298C2EC7"/>
    <w:rsid w:val="2AB0064D"/>
    <w:rsid w:val="2C56724A"/>
    <w:rsid w:val="2D1C5D66"/>
    <w:rsid w:val="2E3E2B11"/>
    <w:rsid w:val="2FF3702C"/>
    <w:rsid w:val="321643C5"/>
    <w:rsid w:val="32D54B62"/>
    <w:rsid w:val="32F1060E"/>
    <w:rsid w:val="32F20F88"/>
    <w:rsid w:val="365005ED"/>
    <w:rsid w:val="37BD2244"/>
    <w:rsid w:val="391806BD"/>
    <w:rsid w:val="3A05687E"/>
    <w:rsid w:val="3B0465F6"/>
    <w:rsid w:val="3B154603"/>
    <w:rsid w:val="3C2E370F"/>
    <w:rsid w:val="3C635E9E"/>
    <w:rsid w:val="3E57765F"/>
    <w:rsid w:val="41CB2BAC"/>
    <w:rsid w:val="43200B79"/>
    <w:rsid w:val="45E50F5A"/>
    <w:rsid w:val="48820FF3"/>
    <w:rsid w:val="491F5F8E"/>
    <w:rsid w:val="4B551CB1"/>
    <w:rsid w:val="4B5C6DAB"/>
    <w:rsid w:val="4CD85FF9"/>
    <w:rsid w:val="4EA630B3"/>
    <w:rsid w:val="4F870662"/>
    <w:rsid w:val="4FB83045"/>
    <w:rsid w:val="529B31EB"/>
    <w:rsid w:val="53816DE9"/>
    <w:rsid w:val="54D5100D"/>
    <w:rsid w:val="55903CD4"/>
    <w:rsid w:val="56292283"/>
    <w:rsid w:val="578A1FD9"/>
    <w:rsid w:val="58237900"/>
    <w:rsid w:val="5C4332CE"/>
    <w:rsid w:val="5D4F266E"/>
    <w:rsid w:val="5F660C30"/>
    <w:rsid w:val="604C16DB"/>
    <w:rsid w:val="61387343"/>
    <w:rsid w:val="6496682D"/>
    <w:rsid w:val="64DE6163"/>
    <w:rsid w:val="685C3E90"/>
    <w:rsid w:val="695B46E6"/>
    <w:rsid w:val="6A9F7E21"/>
    <w:rsid w:val="6AE15718"/>
    <w:rsid w:val="6BDA4C84"/>
    <w:rsid w:val="6F8B451B"/>
    <w:rsid w:val="704750DE"/>
    <w:rsid w:val="70677EA1"/>
    <w:rsid w:val="70F02BFE"/>
    <w:rsid w:val="71805319"/>
    <w:rsid w:val="723427B5"/>
    <w:rsid w:val="731D6FB2"/>
    <w:rsid w:val="74841E6B"/>
    <w:rsid w:val="75244ADF"/>
    <w:rsid w:val="76B246FD"/>
    <w:rsid w:val="76D264F3"/>
    <w:rsid w:val="795711EA"/>
    <w:rsid w:val="7D881492"/>
    <w:rsid w:val="7DE138AE"/>
    <w:rsid w:val="7E512D6B"/>
    <w:rsid w:val="7EC830CF"/>
    <w:rsid w:val="7F527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jc w:val="both"/>
    </w:pPr>
    <w:rPr>
      <w:rFonts w:ascii="Times New Roman" w:hAnsi="Times New Roman" w:eastAsia="仿宋_GB2312" w:cstheme="minorBidi"/>
      <w:kern w:val="2"/>
      <w:sz w:val="28"/>
      <w:szCs w:val="22"/>
      <w:lang w:val="en-US" w:eastAsia="zh-CN" w:bidi="ar-SA"/>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semiHidden/>
    <w:qFormat/>
    <w:uiPriority w:val="0"/>
    <w:pPr>
      <w:ind w:firstLine="480"/>
    </w:pPr>
    <w:rPr>
      <w:sz w:val="24"/>
    </w:rPr>
  </w:style>
  <w:style w:type="paragraph" w:styleId="5">
    <w:name w:val="annotation text"/>
    <w:basedOn w:val="1"/>
    <w:semiHidden/>
    <w:unhideWhenUsed/>
    <w:qFormat/>
    <w:uiPriority w:val="99"/>
    <w:pPr>
      <w:jc w:val="left"/>
    </w:pPr>
  </w:style>
  <w:style w:type="paragraph" w:styleId="6">
    <w:name w:val="Body Text"/>
    <w:basedOn w:val="1"/>
    <w:link w:val="17"/>
    <w:qFormat/>
    <w:uiPriority w:val="0"/>
  </w:style>
  <w:style w:type="paragraph" w:styleId="7">
    <w:name w:val="Balloon Text"/>
    <w:basedOn w:val="1"/>
    <w:link w:val="20"/>
    <w:semiHidden/>
    <w:unhideWhenUsed/>
    <w:qFormat/>
    <w:uiPriority w:val="99"/>
    <w:pPr>
      <w:spacing w:line="240" w:lineRule="auto"/>
    </w:pPr>
    <w:rPr>
      <w:sz w:val="18"/>
      <w:szCs w:val="18"/>
    </w:rPr>
  </w:style>
  <w:style w:type="paragraph" w:styleId="8">
    <w:name w:val="footer"/>
    <w:basedOn w:val="1"/>
    <w:link w:val="19"/>
    <w:unhideWhenUsed/>
    <w:qFormat/>
    <w:uiPriority w:val="99"/>
    <w:pPr>
      <w:tabs>
        <w:tab w:val="center" w:pos="4153"/>
        <w:tab w:val="right" w:pos="8306"/>
      </w:tabs>
      <w:snapToGrid w:val="0"/>
      <w:spacing w:line="240" w:lineRule="auto"/>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toc 1"/>
    <w:basedOn w:val="1"/>
    <w:next w:val="1"/>
    <w:unhideWhenUsed/>
    <w:qFormat/>
    <w:uiPriority w:val="39"/>
    <w:pPr>
      <w:tabs>
        <w:tab w:val="right" w:leader="dot" w:pos="8296"/>
      </w:tabs>
      <w:ind w:firstLine="560"/>
      <w:jc w:val="center"/>
    </w:pPr>
  </w:style>
  <w:style w:type="paragraph" w:styleId="11">
    <w:name w:val="toc 2"/>
    <w:basedOn w:val="1"/>
    <w:next w:val="1"/>
    <w:unhideWhenUsed/>
    <w:qFormat/>
    <w:uiPriority w:val="39"/>
    <w:pPr>
      <w:ind w:left="420" w:leftChars="200"/>
    </w:pPr>
  </w:style>
  <w:style w:type="paragraph" w:styleId="12">
    <w:name w:val="Normal (Web)"/>
    <w:basedOn w:val="1"/>
    <w:qFormat/>
    <w:uiPriority w:val="0"/>
    <w:pPr>
      <w:widowControl/>
      <w:jc w:val="left"/>
    </w:pPr>
    <w:rPr>
      <w:rFonts w:ascii="宋体" w:hAnsi="宋体" w:eastAsia="宋体" w:cs="宋体"/>
      <w:kern w:val="0"/>
      <w:sz w:val="24"/>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Hyperlink"/>
    <w:basedOn w:val="15"/>
    <w:unhideWhenUsed/>
    <w:qFormat/>
    <w:uiPriority w:val="99"/>
    <w:rPr>
      <w:color w:val="0000FF" w:themeColor="hyperlink"/>
      <w:u w:val="single"/>
      <w14:textFill>
        <w14:solidFill>
          <w14:schemeClr w14:val="hlink"/>
        </w14:solidFill>
      </w14:textFill>
    </w:rPr>
  </w:style>
  <w:style w:type="character" w:customStyle="1" w:styleId="17">
    <w:name w:val="正文文本 字符"/>
    <w:basedOn w:val="15"/>
    <w:link w:val="6"/>
    <w:qFormat/>
    <w:uiPriority w:val="0"/>
    <w:rPr>
      <w:rFonts w:ascii="Times New Roman" w:hAnsi="Times New Roman" w:eastAsia="仿宋_GB2312"/>
      <w:sz w:val="28"/>
    </w:rPr>
  </w:style>
  <w:style w:type="character" w:customStyle="1" w:styleId="18">
    <w:name w:val="页眉 字符"/>
    <w:basedOn w:val="15"/>
    <w:link w:val="9"/>
    <w:qFormat/>
    <w:uiPriority w:val="99"/>
    <w:rPr>
      <w:rFonts w:ascii="Times New Roman" w:hAnsi="Times New Roman" w:eastAsia="仿宋_GB2312"/>
      <w:sz w:val="18"/>
      <w:szCs w:val="18"/>
    </w:rPr>
  </w:style>
  <w:style w:type="character" w:customStyle="1" w:styleId="19">
    <w:name w:val="页脚 字符"/>
    <w:basedOn w:val="15"/>
    <w:link w:val="8"/>
    <w:qFormat/>
    <w:uiPriority w:val="99"/>
    <w:rPr>
      <w:rFonts w:ascii="Times New Roman" w:hAnsi="Times New Roman" w:eastAsia="仿宋_GB2312"/>
      <w:sz w:val="18"/>
      <w:szCs w:val="18"/>
    </w:rPr>
  </w:style>
  <w:style w:type="character" w:customStyle="1" w:styleId="20">
    <w:name w:val="批注框文本 字符"/>
    <w:basedOn w:val="15"/>
    <w:link w:val="7"/>
    <w:semiHidden/>
    <w:qFormat/>
    <w:uiPriority w:val="99"/>
    <w:rPr>
      <w:rFonts w:ascii="Times New Roman" w:hAnsi="Times New Roman" w:eastAsia="仿宋_GB2312"/>
      <w:sz w:val="18"/>
      <w:szCs w:val="18"/>
    </w:rPr>
  </w:style>
  <w:style w:type="character" w:customStyle="1" w:styleId="21">
    <w:name w:val="font31"/>
    <w:basedOn w:val="15"/>
    <w:qFormat/>
    <w:uiPriority w:val="0"/>
    <w:rPr>
      <w:rFonts w:hint="default" w:ascii="Times New Roman" w:hAnsi="Times New Roman" w:cs="Times New Roman"/>
      <w:color w:val="000000"/>
      <w:sz w:val="21"/>
      <w:szCs w:val="21"/>
      <w:u w:val="none"/>
    </w:rPr>
  </w:style>
  <w:style w:type="character" w:customStyle="1" w:styleId="22">
    <w:name w:val="font21"/>
    <w:basedOn w:val="15"/>
    <w:qFormat/>
    <w:uiPriority w:val="0"/>
    <w:rPr>
      <w:rFonts w:hint="default" w:ascii="仿宋_GB2312" w:eastAsia="仿宋_GB2312" w:cs="仿宋_GB2312"/>
      <w:color w:val="000000"/>
      <w:sz w:val="21"/>
      <w:szCs w:val="21"/>
      <w:u w:val="none"/>
    </w:rPr>
  </w:style>
  <w:style w:type="character" w:customStyle="1" w:styleId="23">
    <w:name w:val="font41"/>
    <w:basedOn w:val="15"/>
    <w:qFormat/>
    <w:uiPriority w:val="0"/>
    <w:rPr>
      <w:rFonts w:hint="default" w:ascii="仿宋_GB2312" w:eastAsia="仿宋_GB2312" w:cs="仿宋_GB2312"/>
      <w:color w:val="000000"/>
      <w:sz w:val="21"/>
      <w:szCs w:val="21"/>
      <w:u w:val="none"/>
    </w:rPr>
  </w:style>
  <w:style w:type="character" w:customStyle="1" w:styleId="24">
    <w:name w:val="font11"/>
    <w:basedOn w:val="15"/>
    <w:qFormat/>
    <w:uiPriority w:val="0"/>
    <w:rPr>
      <w:rFonts w:hint="default"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2EDFA3-5F12-4958-A023-E5018E0083B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327</Words>
  <Characters>1867</Characters>
  <Lines>15</Lines>
  <Paragraphs>4</Paragraphs>
  <TotalTime>213</TotalTime>
  <ScaleCrop>false</ScaleCrop>
  <LinksUpToDate>false</LinksUpToDate>
  <CharactersWithSpaces>2190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2021-03-05T11:21:00Z</dcterms:created>
  <dc:creator>ghy</dc:creator>
  <cp:lastModifiedBy>Administrator</cp:lastModifiedBy>
  <cp:lastPrinted>2021-08-09T03:54:23Z</cp:lastPrinted>
  <dcterms:modified xsi:type="dcterms:W3CDTF">2021-08-09T07:29:10Z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7890BE775A504F99BDB81C939B93892C</vt:lpwstr>
  </property>
</Properties>
</file>