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default" w:ascii="方正小标宋简体" w:hAnsi="宋体" w:eastAsia="方正小标宋简体" w:cs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德化县2021年度第五批次土地征收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成片开发方案（草案）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Toc27870"/>
      <w:bookmarkStart w:id="1" w:name="_Toc27108"/>
      <w:bookmarkStart w:id="2" w:name="_Toc62298281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编制</w:t>
      </w:r>
      <w:bookmarkEnd w:id="0"/>
      <w:bookmarkEnd w:id="1"/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</w:pPr>
      <w:bookmarkStart w:id="3" w:name="_Toc62298282"/>
      <w:bookmarkStart w:id="4" w:name="_Toc23458"/>
      <w:bookmarkStart w:id="5" w:name="_Toc19124"/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依据德化县国民经济和社会发展规划、年度计划、《德化县土地利用总体规划》（2006-2020年）、《德化县城市总体规划修编》（2008-2020）和《德化观音岐片区控制性详细规划》，编制《德化县2021年度第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批次土地征收成片开发方案》(观音岐片区一期）。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基本情况</w:t>
      </w:r>
    </w:p>
    <w:p>
      <w:pPr>
        <w:bidi w:val="0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本次成片开发区域位于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龙浔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宝美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，总面积13.3876公顷，其中：农用地7.7810公顷，建设用地3.2202公顷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未利用地2.3864公顷。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拟征收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宝美村集体土地10.9916公顷，使用国有土地2.3960公顷。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三、项目的必要性</w:t>
      </w:r>
    </w:p>
    <w:p>
      <w:pPr>
        <w:pStyle w:val="5"/>
        <w:numPr>
          <w:ilvl w:val="0"/>
          <w:numId w:val="0"/>
        </w:numPr>
        <w:ind w:left="621" w:leftChars="0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bookmarkStart w:id="6" w:name="_Toc13510"/>
      <w:bookmarkStart w:id="7" w:name="_Toc63606557"/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zh-CN" w:eastAsia="zh-CN" w:bidi="ar-SA"/>
        </w:rPr>
        <w:t>加快</w:t>
      </w:r>
      <w:bookmarkEnd w:id="6"/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特色小镇建设步伐</w:t>
      </w:r>
    </w:p>
    <w:p>
      <w:pPr>
        <w:widowControl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为全面落实国家发改委下发的《关于加快美丽特色小（城）镇建设的指导意见》及《福建省人民政府关于开展特色小镇规划建设的指导意见》，根据《德化县城总体规划修编（2008-2020）》，本次成片开发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规划建设的观音岐片区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属于德化县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规划建设的陶瓷旅游文化区域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，规划功能定位为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商业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旅游服务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、居住、餐饮娱乐等用途。成片开发实施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进一步加快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建设特色小镇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步伐，助推德化县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瓷都旅游项目开发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进程。</w:t>
      </w:r>
      <w:bookmarkStart w:id="8" w:name="_Toc20629"/>
    </w:p>
    <w:p>
      <w:pPr>
        <w:pStyle w:val="5"/>
        <w:numPr>
          <w:ilvl w:val="0"/>
          <w:numId w:val="0"/>
        </w:numPr>
        <w:ind w:left="621" w:leftChars="0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（二）改善观音岐片区人文景观环境</w:t>
      </w:r>
      <w:bookmarkEnd w:id="8"/>
    </w:p>
    <w:p>
      <w:pPr>
        <w:widowControl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本次成片开发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以创建陶瓷品牌文化小镇、复合型情景式旅游目的地和康养幸福小镇为主导，贯彻合理定位、切实可行、显山露水和功能集中的开发理念，强调观音岐片区的整体形象的塑造，以创造吸引人、富有特色的城市公共空间为主要任务，形成有序、和谐、高效且具有陶瓷文化和运动休闲指向特征的城市空间景观框架体系。</w:t>
      </w:r>
      <w:bookmarkStart w:id="9" w:name="_Toc29458"/>
    </w:p>
    <w:p>
      <w:pPr>
        <w:pStyle w:val="5"/>
        <w:numPr>
          <w:ilvl w:val="0"/>
          <w:numId w:val="0"/>
        </w:numPr>
        <w:ind w:left="621" w:leftChars="0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（三）改善产业结构，提升区域品质</w:t>
      </w:r>
      <w:bookmarkEnd w:id="9"/>
    </w:p>
    <w:p>
      <w:pPr>
        <w:widowControl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综合考虑观音岐片区的发展需求、现状用地条件、自然生态环境特色等要素，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规划布局注重合理分区，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加快建设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陶瓷小镇风情带，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为德化县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城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镇综合业态提供高品质的发展空间，将各产业板块有机镶嵌在秀丽山林之中。</w:t>
      </w:r>
    </w:p>
    <w:p>
      <w:pPr>
        <w:pStyle w:val="5"/>
        <w:numPr>
          <w:ilvl w:val="0"/>
          <w:numId w:val="0"/>
        </w:numPr>
        <w:ind w:left="621" w:leftChars="0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bookmarkStart w:id="10" w:name="_Toc18956"/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（四）盘活土地资产，</w:t>
      </w:r>
      <w:bookmarkEnd w:id="10"/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真正体现城市土地固有价值</w:t>
      </w:r>
    </w:p>
    <w:p>
      <w:pPr>
        <w:widowControl w:val="0"/>
        <w:spacing w:line="360" w:lineRule="auto"/>
        <w:ind w:firstLine="640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本次成片开发区域内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大部分为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尚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未开发利用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的土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地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部分为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旧建筑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，土地利用不充分，效益低下。本次成片开发依据城市控制性详细规划，合理确定容积率，通过成片开发的实施，合理配置土地资源，做到地尽其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利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，真正体现城市土地的固有价值。</w:t>
      </w:r>
    </w:p>
    <w:bookmarkEnd w:id="7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四、功能分析</w:t>
      </w:r>
    </w:p>
    <w:p>
      <w:pPr>
        <w:pStyle w:val="5"/>
        <w:spacing w:line="550" w:lineRule="exact"/>
        <w:ind w:firstLine="560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主要用途：本次成片开发区域主要为住宅、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商业、工业用地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。</w:t>
      </w:r>
    </w:p>
    <w:p>
      <w:pPr>
        <w:pStyle w:val="5"/>
        <w:spacing w:line="550" w:lineRule="exact"/>
        <w:ind w:firstLine="560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本次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成片开发范围内规划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居住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用地面积2.9042公顷；商业服务业用地面积4.3888公顷；工矿用地面积0.6503公顷；绿地与开敞空间用地面积3.9015公顷；交通运输用地1.5428公顷。</w:t>
      </w:r>
    </w:p>
    <w:p>
      <w:pPr>
        <w:pStyle w:val="5"/>
        <w:spacing w:line="550" w:lineRule="exact"/>
        <w:ind w:firstLine="560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实现功能：项目是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观音岐片区建设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内容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之一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，项目实施有益于改善观音岐周边人文景观环境，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提升居住条件，并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带动相关产业高质量发展。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五、公益性用地情况</w:t>
      </w:r>
    </w:p>
    <w:bookmarkEnd w:id="3"/>
    <w:bookmarkEnd w:id="4"/>
    <w:bookmarkEnd w:id="5"/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次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成片开发规划公益性用地，包括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防护绿地、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公园绿地、城镇道路用地、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社会停车场用地</w:t>
      </w:r>
      <w:bookmarkStart w:id="11" w:name="_GoBack"/>
      <w:bookmarkEnd w:id="11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共4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类，面积合计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5.4443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公顷，占用地总面积的4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0.67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%，符合自然资规〔2020〕5号文公益性用地占比一般不低于40%的规定。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六、效益评估</w:t>
      </w:r>
    </w:p>
    <w:p>
      <w:pPr>
        <w:pStyle w:val="5"/>
        <w:numPr>
          <w:ilvl w:val="0"/>
          <w:numId w:val="0"/>
        </w:numPr>
        <w:ind w:left="621" w:leftChars="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（一）土地利用效益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依据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《德化观音岐片区控制性详细规划》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，成片开发范围内拟建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设旅游商业、生态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住宅、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环保型陶瓷工业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等项目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，综合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容积率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为0.5-3.0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，合理安排用地规模、结构和布局，优化土地利用空间格局，因地制宜配置土地，提高土地利用效率和效益，推动土地利用由粗放型向集约型的根本转变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经济效益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本次成片开发可供出让经营性住宅用地面积2.9042公顷，商业用地4.3888公顷，两项合计销售收入约8.60亿元，可新增税收近3100万元；可供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出让工业用地面积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0.6503公顷，预计可吸引项目投资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约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1300万元，可创造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产值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约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1500万元，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财税收入可达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约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160万元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numPr>
          <w:ilvl w:val="0"/>
          <w:numId w:val="0"/>
        </w:numPr>
        <w:ind w:left="621" w:leftChars="0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（三）社会效益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本次成片开发社会效益显著，主要体现在以下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个方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面：一是成片开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发区域内规划商业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旅游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用地，是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城市改造建设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的重要组成部分，建成后将推动区域商贸的持续繁荣，提供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约700个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就业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岗位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。二是成片开发的实施有利于推动特色小镇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进程，促进第三产业发展，对改善区域环境，提升区域品质起到重要作用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numPr>
          <w:ilvl w:val="0"/>
          <w:numId w:val="0"/>
        </w:numPr>
        <w:ind w:leftChars="200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生态效益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本次成片开发具有一定生态效益，主要体现在以下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个方面：一是注重生态保护。经过对区域生态环境的现状调查，本次成片开发范围内不涉及生态保护红线、自然保护地、饮用水源保护地、重要湿地、生态公益林等生态价值高、需要严格保护的区域，也未发现受国家及省市重点保护的文物古迹、古树名木等以及其它需要特殊保护的目标。二是注重公园绿地配套。本次成片开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尽量保留原有绿地，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规划建设公园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及防护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绿地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3.9015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公顷，建成后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能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有效提升区域生态环境。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是注重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环境保护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要求引进陶瓷工业项目采用科学环保节能的生产工艺，排出的废气、废水经生态处理达标后排放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643"/>
        <w:textAlignment w:val="auto"/>
        <w:rPr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七、永久基本农田及生态保护情况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本次成开发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范围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不涉及占用永久基本农田、生态保护红线、自然保护地、生态公益林、饮用水源保护地等法律法规规定需严格保护的区域。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结论</w:t>
      </w:r>
    </w:p>
    <w:p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《德化县2021年度第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五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批次土地征收成片开发方案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(草案）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》符合自然资源部土地征收“成片开发”的标准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C213E"/>
    <w:rsid w:val="419403AE"/>
    <w:rsid w:val="596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2021-08-02T01:58:00Z</dcterms:created>
  <dc:creator>Administrator</dc:creator>
  <cp:lastModifiedBy>Administrator</cp:lastModifiedBy>
  <cp:lastPrinted>2021-08-02T07:46:31Z</cp:lastPrinted>
  <dcterms:modified xsi:type="dcterms:W3CDTF">2021-08-02T07:58:34Z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